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8FC" w:rsidRDefault="00ED38FC" w:rsidP="00ED38FC">
      <w:p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  <w:lang w:bidi="en-US"/>
        </w:rPr>
        <w:t xml:space="preserve">Appendix </w:t>
      </w:r>
      <w:proofErr w:type="gramStart"/>
      <w:r>
        <w:rPr>
          <w:rFonts w:ascii="Times New Roman" w:hAnsi="Times New Roman" w:cs="Times New Roman"/>
          <w:b/>
          <w:bCs/>
          <w:color w:val="auto"/>
          <w:sz w:val="20"/>
          <w:szCs w:val="20"/>
          <w:lang w:bidi="en-US"/>
        </w:rPr>
        <w:t>A</w:t>
      </w:r>
      <w:r>
        <w:rPr>
          <w:rFonts w:ascii="Times New Roman" w:eastAsia="SimSun" w:hAnsi="Times New Roman" w:cs="Times New Roman"/>
          <w:b/>
          <w:bCs/>
          <w:color w:val="auto"/>
          <w:sz w:val="20"/>
          <w:szCs w:val="20"/>
          <w:lang w:eastAsia="zh-CN" w:bidi="en-US"/>
        </w:rPr>
        <w:t xml:space="preserve">  </w:t>
      </w:r>
      <w:r>
        <w:rPr>
          <w:rFonts w:ascii="Times New Roman" w:hAnsi="Times New Roman" w:cs="Times New Roman"/>
          <w:color w:val="auto"/>
          <w:sz w:val="20"/>
          <w:szCs w:val="20"/>
        </w:rPr>
        <w:t>Definitions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of environmental performance variables</w:t>
      </w:r>
    </w:p>
    <w:tbl>
      <w:tblPr>
        <w:tblW w:w="4950" w:type="pct"/>
        <w:tblBorders>
          <w:top w:val="single" w:sz="12" w:space="0" w:color="000000" w:themeColor="text1"/>
          <w:bottom w:val="single" w:sz="12" w:space="0" w:color="000000" w:themeColor="text1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496"/>
        <w:gridCol w:w="1523"/>
        <w:gridCol w:w="1329"/>
        <w:gridCol w:w="5449"/>
      </w:tblGrid>
      <w:tr w:rsidR="00ED38FC" w:rsidTr="00ED38FC">
        <w:trPr>
          <w:trHeight w:val="1269"/>
        </w:trPr>
        <w:tc>
          <w:tcPr>
            <w:tcW w:w="524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>Variable name</w:t>
            </w:r>
          </w:p>
        </w:tc>
        <w:tc>
          <w:tcPr>
            <w:tcW w:w="454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>Data source</w:t>
            </w:r>
          </w:p>
        </w:tc>
        <w:tc>
          <w:tcPr>
            <w:tcW w:w="616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>Accounting method</w:t>
            </w:r>
          </w:p>
        </w:tc>
        <w:tc>
          <w:tcPr>
            <w:tcW w:w="3405" w:type="pct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>Variable definition</w:t>
            </w:r>
          </w:p>
        </w:tc>
      </w:tr>
      <w:tr w:rsidR="00ED38FC" w:rsidTr="00ED38FC">
        <w:trPr>
          <w:trHeight w:val="272"/>
        </w:trPr>
        <w:tc>
          <w:tcPr>
            <w:tcW w:w="524" w:type="pct"/>
            <w:vMerge w:val="restart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E1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CSMAR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E1 = summary scores by item / theoretically optimal scores</w:t>
            </w:r>
          </w:p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(9 marks)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Annual report</w:t>
            </w:r>
          </w:p>
        </w:tc>
        <w:tc>
          <w:tcPr>
            <w:tcW w:w="26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1 mark for disclosure of environment-related information in annual reports of listed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corporations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, 0 mark otherwise</w:t>
            </w:r>
          </w:p>
        </w:tc>
      </w:tr>
      <w:tr w:rsidR="00ED38FC" w:rsidTr="00ED38FC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Social responsibility report</w:t>
            </w: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1 mark for socially responsible disclosure of environment-related information by listed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corporations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, 0 mark otherwise</w:t>
            </w:r>
          </w:p>
        </w:tc>
      </w:tr>
      <w:tr w:rsidR="00ED38FC" w:rsidTr="00ED38FC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ISO14001 certified or not</w:t>
            </w: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1 mark for passing ISO14001 audit, 0 mark otherwise</w:t>
            </w:r>
          </w:p>
        </w:tc>
      </w:tr>
      <w:tr w:rsidR="00ED38FC" w:rsidTr="00ED38FC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Environmental protection concept</w:t>
            </w: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1 mark for disclosing the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corporate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 environmental protection philosophy, environmental policy,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organizational structure of environmental management, circular economy development model, green development, etc., 0 mark otherwise </w:t>
            </w:r>
          </w:p>
        </w:tc>
      </w:tr>
      <w:tr w:rsidR="00ED38FC" w:rsidTr="00ED38FC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Environmental management system</w:t>
            </w: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1 mark for disclosing that the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corporation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 has developed a series of management systems such as relevant environmental management systems,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regulations and responsibilities, 0 marks otherwise</w:t>
            </w:r>
          </w:p>
        </w:tc>
      </w:tr>
      <w:tr w:rsidR="00ED38FC" w:rsidTr="00ED38FC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Environmental education and training</w:t>
            </w: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1 mark for disclosure of environmental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related education and training in which the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corporation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 is involved, 0 mark otherwise</w:t>
            </w:r>
          </w:p>
        </w:tc>
      </w:tr>
      <w:tr w:rsidR="00ED38FC" w:rsidTr="00ED38FC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Environmental emergency</w:t>
            </w: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1 mark for disclosure of the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corporate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 establishment of an emergency response mechanism for major environment-related emergencies, emergency response measures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 xml:space="preserve">are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taken, treatment of pollutants, etc., 0 mark otherwise</w:t>
            </w:r>
          </w:p>
        </w:tc>
      </w:tr>
      <w:tr w:rsidR="00ED38FC" w:rsidTr="00ED38FC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Implementation of the "three simultaneous" policy</w:t>
            </w: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1 mark for disclosure of the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corporate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 implementation of the "three simultaneous" system, 0 mark otherwise</w:t>
            </w:r>
          </w:p>
        </w:tc>
      </w:tr>
      <w:tr w:rsidR="00ED38FC" w:rsidTr="00ED38FC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Whether environmental violations have occurred</w:t>
            </w:r>
          </w:p>
        </w:tc>
        <w:tc>
          <w:tcPr>
            <w:tcW w:w="2622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1 mark for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occurrence of environmental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offence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, 0 mark otherwise</w:t>
            </w:r>
          </w:p>
        </w:tc>
      </w:tr>
    </w:tbl>
    <w:p w:rsidR="00ED38FC" w:rsidRDefault="00ED38FC" w:rsidP="00ED38FC">
      <w:pPr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16"/>
          <w:lang w:bidi="en-US"/>
        </w:rPr>
      </w:pPr>
    </w:p>
    <w:p w:rsidR="00ED38FC" w:rsidRDefault="00ED38FC" w:rsidP="00ED38FC">
      <w:pPr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16"/>
          <w:lang w:bidi="en-US"/>
        </w:rPr>
      </w:pPr>
    </w:p>
    <w:p w:rsidR="00ED38FC" w:rsidRDefault="00ED38FC" w:rsidP="00ED38FC">
      <w:pPr>
        <w:spacing w:line="360" w:lineRule="auto"/>
        <w:rPr>
          <w:rFonts w:ascii="Times New Roman" w:hAnsi="Times New Roman" w:cs="Times New Roman"/>
          <w:color w:val="auto"/>
          <w:sz w:val="20"/>
          <w:szCs w:val="16"/>
          <w:lang w:bidi="en-US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16"/>
          <w:lang w:bidi="en-US"/>
        </w:rPr>
        <w:t xml:space="preserve">Appendix </w:t>
      </w:r>
      <w:proofErr w:type="gramStart"/>
      <w:r>
        <w:rPr>
          <w:rFonts w:ascii="Times New Roman" w:hAnsi="Times New Roman" w:cs="Times New Roman"/>
          <w:b/>
          <w:bCs/>
          <w:color w:val="auto"/>
          <w:sz w:val="20"/>
          <w:szCs w:val="16"/>
          <w:lang w:bidi="en-US"/>
        </w:rPr>
        <w:t>B</w:t>
      </w:r>
      <w:r>
        <w:rPr>
          <w:rFonts w:ascii="Times New Roman" w:eastAsia="SimSun" w:hAnsi="Times New Roman" w:cs="Times New Roman"/>
          <w:b/>
          <w:bCs/>
          <w:color w:val="auto"/>
          <w:sz w:val="20"/>
          <w:szCs w:val="16"/>
          <w:lang w:eastAsia="zh-CN" w:bidi="en-US"/>
        </w:rPr>
        <w:t xml:space="preserve">  </w:t>
      </w:r>
      <w:r>
        <w:rPr>
          <w:rFonts w:ascii="Times New Roman" w:hAnsi="Times New Roman" w:cs="Times New Roman"/>
          <w:color w:val="auto"/>
          <w:sz w:val="20"/>
          <w:szCs w:val="16"/>
          <w:lang w:bidi="en-US"/>
        </w:rPr>
        <w:t>Definitions</w:t>
      </w:r>
      <w:proofErr w:type="gramEnd"/>
      <w:r>
        <w:rPr>
          <w:rFonts w:ascii="Times New Roman" w:hAnsi="Times New Roman" w:cs="Times New Roman"/>
          <w:color w:val="auto"/>
          <w:sz w:val="20"/>
          <w:szCs w:val="16"/>
          <w:lang w:bidi="en-US"/>
        </w:rPr>
        <w:t xml:space="preserve"> of social responsibility performance variables</w:t>
      </w:r>
    </w:p>
    <w:tbl>
      <w:tblPr>
        <w:tblW w:w="4950" w:type="pct"/>
        <w:jc w:val="center"/>
        <w:tblBorders>
          <w:top w:val="single" w:sz="12" w:space="0" w:color="000000"/>
          <w:bottom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"/>
        <w:gridCol w:w="646"/>
        <w:gridCol w:w="2899"/>
        <w:gridCol w:w="1222"/>
        <w:gridCol w:w="3844"/>
      </w:tblGrid>
      <w:tr w:rsidR="00ED38FC" w:rsidTr="00ED38FC">
        <w:trPr>
          <w:trHeight w:val="272"/>
          <w:jc w:val="center"/>
        </w:trPr>
        <w:tc>
          <w:tcPr>
            <w:tcW w:w="55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>Variable name</w:t>
            </w:r>
          </w:p>
        </w:tc>
        <w:tc>
          <w:tcPr>
            <w:tcW w:w="445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 xml:space="preserve">Data source </w:t>
            </w:r>
          </w:p>
        </w:tc>
        <w:tc>
          <w:tcPr>
            <w:tcW w:w="1288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>Accounting method</w:t>
            </w:r>
          </w:p>
        </w:tc>
        <w:tc>
          <w:tcPr>
            <w:tcW w:w="2714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>Variable definition</w:t>
            </w:r>
          </w:p>
        </w:tc>
      </w:tr>
      <w:tr w:rsidR="00ED38FC" w:rsidTr="00ED38FC">
        <w:trPr>
          <w:trHeight w:val="272"/>
          <w:jc w:val="center"/>
        </w:trPr>
        <w:tc>
          <w:tcPr>
            <w:tcW w:w="552" w:type="pct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S1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CSMAR</w:t>
            </w:r>
          </w:p>
        </w:tc>
        <w:tc>
          <w:tcPr>
            <w:tcW w:w="1288" w:type="pct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Principal component analysis, the first major principal component was selected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Shareholder protection policy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Disclosure of shareholder protection, assigned a value of 1, otherwise 0</w:t>
            </w:r>
          </w:p>
        </w:tc>
      </w:tr>
      <w:tr w:rsidR="00ED38FC" w:rsidTr="00ED38FC">
        <w:trPr>
          <w:trHeight w:val="2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Creditor protection policy</w:t>
            </w:r>
          </w:p>
        </w:tc>
        <w:tc>
          <w:tcPr>
            <w:tcW w:w="20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Disclosure of creditor protection, assigned a value of 1, otherwise 0</w:t>
            </w:r>
          </w:p>
        </w:tc>
      </w:tr>
      <w:tr w:rsidR="00ED38FC" w:rsidTr="00ED38FC">
        <w:trPr>
          <w:trHeight w:val="2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Employee protection policy</w:t>
            </w:r>
          </w:p>
        </w:tc>
        <w:tc>
          <w:tcPr>
            <w:tcW w:w="20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Disclosure of employee protection, assigned a value of 1, otherwise 0</w:t>
            </w:r>
          </w:p>
        </w:tc>
      </w:tr>
      <w:tr w:rsidR="00ED38FC" w:rsidTr="00ED38FC">
        <w:trPr>
          <w:trHeight w:val="2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Supplier Protection Policy</w:t>
            </w:r>
          </w:p>
        </w:tc>
        <w:tc>
          <w:tcPr>
            <w:tcW w:w="20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Disclosure of supplier protection, assigned a value of 1, otherwise 0</w:t>
            </w:r>
          </w:p>
        </w:tc>
      </w:tr>
      <w:tr w:rsidR="00ED38FC" w:rsidTr="00ED38FC">
        <w:trPr>
          <w:trHeight w:val="2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Production safety policy</w:t>
            </w:r>
          </w:p>
        </w:tc>
        <w:tc>
          <w:tcPr>
            <w:tcW w:w="20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Disclosure of safe production content, assigned a value of 1, otherwise 0</w:t>
            </w:r>
          </w:p>
        </w:tc>
      </w:tr>
      <w:tr w:rsidR="00ED38FC" w:rsidTr="00ED38FC">
        <w:trPr>
          <w:trHeight w:val="2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Consumer protection policy</w:t>
            </w:r>
          </w:p>
        </w:tc>
        <w:tc>
          <w:tcPr>
            <w:tcW w:w="20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Disclosure of customer and consumer protection, assigned a value of 1, otherwise 0</w:t>
            </w:r>
          </w:p>
        </w:tc>
      </w:tr>
      <w:tr w:rsidR="00ED38FC" w:rsidTr="00ED38FC">
        <w:trPr>
          <w:trHeight w:val="2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General social issues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1 mark for disclosure of public relations, philanthropy and social responsibility systems, 0 marks otherwise</w:t>
            </w:r>
          </w:p>
        </w:tc>
      </w:tr>
    </w:tbl>
    <w:p w:rsidR="00ED38FC" w:rsidRDefault="00ED38FC" w:rsidP="00ED38FC">
      <w:pPr>
        <w:jc w:val="center"/>
        <w:rPr>
          <w:rFonts w:ascii="Times New Roman" w:hAnsi="Times New Roman" w:cs="Times New Roman"/>
          <w:b/>
          <w:bCs/>
          <w:color w:val="auto"/>
          <w:sz w:val="20"/>
          <w:szCs w:val="16"/>
          <w:lang w:bidi="en-US"/>
        </w:rPr>
      </w:pPr>
    </w:p>
    <w:p w:rsidR="00ED38FC" w:rsidRDefault="00ED38FC" w:rsidP="00ED38FC">
      <w:pPr>
        <w:spacing w:line="360" w:lineRule="auto"/>
        <w:rPr>
          <w:rFonts w:ascii="Times New Roman" w:hAnsi="Times New Roman" w:cs="Times New Roman"/>
          <w:color w:val="auto"/>
          <w:sz w:val="20"/>
          <w:szCs w:val="16"/>
          <w:lang w:bidi="en-US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16"/>
          <w:lang w:bidi="en-US"/>
        </w:rPr>
        <w:t xml:space="preserve">Appendix </w:t>
      </w:r>
      <w:proofErr w:type="gramStart"/>
      <w:r>
        <w:rPr>
          <w:rFonts w:ascii="Times New Roman" w:hAnsi="Times New Roman" w:cs="Times New Roman"/>
          <w:b/>
          <w:bCs/>
          <w:color w:val="auto"/>
          <w:sz w:val="20"/>
          <w:szCs w:val="16"/>
          <w:lang w:bidi="en-US"/>
        </w:rPr>
        <w:t>C</w:t>
      </w:r>
      <w:r>
        <w:rPr>
          <w:rFonts w:ascii="Times New Roman" w:eastAsia="SimSun" w:hAnsi="Times New Roman" w:cs="Times New Roman"/>
          <w:b/>
          <w:bCs/>
          <w:color w:val="auto"/>
          <w:sz w:val="20"/>
          <w:szCs w:val="16"/>
          <w:lang w:eastAsia="zh-CN" w:bidi="en-US"/>
        </w:rPr>
        <w:t xml:space="preserve">  </w:t>
      </w:r>
      <w:r>
        <w:rPr>
          <w:rFonts w:ascii="Times New Roman" w:hAnsi="Times New Roman" w:cs="Times New Roman"/>
          <w:color w:val="auto"/>
          <w:sz w:val="20"/>
          <w:szCs w:val="16"/>
          <w:lang w:bidi="en-US"/>
        </w:rPr>
        <w:t>Definitions</w:t>
      </w:r>
      <w:proofErr w:type="gramEnd"/>
      <w:r>
        <w:rPr>
          <w:rFonts w:ascii="Times New Roman" w:hAnsi="Times New Roman" w:cs="Times New Roman"/>
          <w:color w:val="auto"/>
          <w:sz w:val="20"/>
          <w:szCs w:val="16"/>
          <w:lang w:bidi="en-US"/>
        </w:rPr>
        <w:t xml:space="preserve"> of corporate governance performance variables</w:t>
      </w:r>
    </w:p>
    <w:tbl>
      <w:tblPr>
        <w:tblpPr w:leftFromText="180" w:rightFromText="180" w:vertAnchor="text" w:horzAnchor="page" w:tblpX="937" w:tblpY="172"/>
        <w:tblOverlap w:val="never"/>
        <w:tblW w:w="4950" w:type="pct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623"/>
        <w:gridCol w:w="544"/>
        <w:gridCol w:w="4904"/>
        <w:gridCol w:w="958"/>
        <w:gridCol w:w="2331"/>
      </w:tblGrid>
      <w:tr w:rsidR="00ED38FC" w:rsidTr="00ED38FC">
        <w:trPr>
          <w:trHeight w:val="270"/>
        </w:trPr>
        <w:tc>
          <w:tcPr>
            <w:tcW w:w="545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>Variable name</w:t>
            </w:r>
          </w:p>
        </w:tc>
        <w:tc>
          <w:tcPr>
            <w:tcW w:w="456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>Data source</w:t>
            </w:r>
          </w:p>
        </w:tc>
        <w:tc>
          <w:tcPr>
            <w:tcW w:w="2011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>Accounting method</w:t>
            </w:r>
          </w:p>
        </w:tc>
        <w:tc>
          <w:tcPr>
            <w:tcW w:w="1986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  <w:t>Variable definition</w:t>
            </w:r>
          </w:p>
        </w:tc>
      </w:tr>
      <w:tr w:rsidR="00ED38FC" w:rsidTr="00ED38FC">
        <w:trPr>
          <w:trHeight w:val="270"/>
        </w:trPr>
        <w:tc>
          <w:tcPr>
            <w:tcW w:w="545" w:type="pct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G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1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CSMAR</w:t>
            </w:r>
          </w:p>
        </w:tc>
        <w:tc>
          <w:tcPr>
            <w:tcW w:w="2011" w:type="pct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Step 1: we conduct principal component analysis and extract the </w:t>
            </w: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top two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 principal components with eigenvalues greater than 1, so as to obtain the score of each principal component; </w:t>
            </w:r>
          </w:p>
          <w:p w:rsidR="00ED38FC" w:rsidRDefault="00ED38F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Step2</w:t>
            </w:r>
            <w:r>
              <w:rPr>
                <w:rFonts w:ascii="MS Gothic" w:eastAsia="MS Gothic" w:hAnsi="MS Gothic" w:cs="MS Gothic" w:hint="eastAsia"/>
                <w:color w:val="auto"/>
                <w:sz w:val="20"/>
                <w:szCs w:val="20"/>
                <w:lang w:bidi="en-US"/>
              </w:rPr>
              <w:t>：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 xml:space="preserve"> the variance contribution rate of each principal component is taken as the weight, and then the weighted average summation method is used to calculate the total score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Independent directors ratio</w:t>
            </w:r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 w:bidi="en-US"/>
              </w:rPr>
              <w:t>The r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atio of the number of independent directors to the number of board members</w:t>
            </w:r>
          </w:p>
        </w:tc>
      </w:tr>
      <w:tr w:rsidR="00ED38FC" w:rsidTr="00ED38FC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Board size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Committee size</w:t>
            </w:r>
          </w:p>
        </w:tc>
      </w:tr>
      <w:tr w:rsidR="00ED38FC" w:rsidTr="00ED38FC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Executive shareholding ratio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Executive shareholding as a percentage of total shares</w:t>
            </w:r>
          </w:p>
        </w:tc>
      </w:tr>
      <w:tr w:rsidR="00ED38FC" w:rsidTr="00ED38FC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D38FC" w:rsidRDefault="00ED38FC">
            <w:pPr>
              <w:kinsoku/>
              <w:autoSpaceDE/>
              <w:autoSpaceDN/>
              <w:adjustRightInd/>
              <w:snapToGri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D38FC" w:rsidRDefault="00ED38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State-controlled or not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D38FC" w:rsidRDefault="00ED38F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en-US"/>
              </w:rPr>
              <w:t>1 if state-controlled, 0 otherwise</w:t>
            </w:r>
          </w:p>
        </w:tc>
      </w:tr>
    </w:tbl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FC"/>
    <w:rsid w:val="00AD1398"/>
    <w:rsid w:val="00ED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412EEE-7C66-4C2E-8CE0-2852E12D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8FC"/>
    <w:pPr>
      <w:kinsoku w:val="0"/>
      <w:autoSpaceDE w:val="0"/>
      <w:autoSpaceDN w:val="0"/>
      <w:adjustRightInd w:val="0"/>
      <w:snapToGrid w:val="0"/>
      <w:spacing w:after="0" w:line="240" w:lineRule="auto"/>
    </w:pPr>
    <w:rPr>
      <w:rFonts w:ascii="Arial" w:eastAsia="Arial" w:hAnsi="Arial" w:cs="Arial"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0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2022-08-03T11:45:00Z</dcterms:created>
  <dcterms:modified xsi:type="dcterms:W3CDTF">2022-08-03T11:45:00Z</dcterms:modified>
</cp:coreProperties>
</file>