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Information. </w:t>
      </w: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144780</wp:posOffset>
                </wp:positionV>
                <wp:extent cx="4514850" cy="2552700"/>
                <wp:effectExtent l="0" t="0" r="1905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55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5223" w:rsidRDefault="005A5223" w:rsidP="005A5223">
                            <w:r>
                              <w:rPr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>
                                  <wp:extent cx="4326255" cy="2456815"/>
                                  <wp:effectExtent l="0" t="0" r="0" b="635"/>
                                  <wp:docPr id="3" name="Picture 3" descr="Chart, line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 descr="Chart, line char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6255" cy="2456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-.75pt;margin-top:11.4pt;width:355.5pt;height:2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" fillcolor="white [3201]" strokeweight=".5pt">
                <v:textbox>
                  <w:txbxContent>
                    <w:p w:rsidR="005A5223" w:rsidRDefault="005A5223" w:rsidP="005A5223">
                      <w:r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>
                            <wp:extent cx="4326255" cy="2456815"/>
                            <wp:effectExtent l="0" t="0" r="0" b="635"/>
                            <wp:docPr id="3" name="Picture 3" descr="Chart, line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 descr="Chart, line char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6255" cy="2456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Figure 1. Time series of correlation values between the ONI and SLA with example for the North Pacific Basin SLA (NPBSLA). </w:t>
      </w:r>
      <w:r>
        <w:rPr>
          <w:rFonts w:ascii="Times New Roman" w:hAnsi="Times New Roman" w:cs="Times New Roman"/>
          <w:i/>
          <w:iCs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=0.48 (p&lt;.013) (strongest correlation is at 9-month lag). </w:t>
      </w: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78740</wp:posOffset>
                </wp:positionV>
                <wp:extent cx="4543425" cy="2724150"/>
                <wp:effectExtent l="0" t="0" r="28575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5223" w:rsidRDefault="005A5223" w:rsidP="005A5223">
                            <w:r>
                              <w:rPr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>
                                  <wp:extent cx="4353560" cy="2599690"/>
                                  <wp:effectExtent l="0" t="0" r="8890" b="0"/>
                                  <wp:docPr id="2" name="Picture 2" descr="Chart, line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 descr="Chart, line char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53560" cy="2599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margin-left:.75pt;margin-top:6.2pt;width:357.75pt;height:21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" fillcolor="white [3201]" strokeweight=".5pt">
                <v:textbox>
                  <w:txbxContent>
                    <w:p w:rsidR="005A5223" w:rsidRDefault="005A5223" w:rsidP="005A5223">
                      <w:r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>
                            <wp:extent cx="4353560" cy="2599690"/>
                            <wp:effectExtent l="0" t="0" r="8890" b="0"/>
                            <wp:docPr id="2" name="Picture 2" descr="Chart, line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 descr="Chart, line char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53560" cy="2599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Figure 2. Time series of correlation values between the ONI and SLA with example for the Pacific Basin SLA (PBSLA). </w:t>
      </w:r>
      <w:r>
        <w:rPr>
          <w:rFonts w:ascii="Times New Roman" w:hAnsi="Times New Roman" w:cs="Times New Roman"/>
          <w:i/>
          <w:iCs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=0.67 (p&lt;.0001) (strongest correlation is at 6-month lag). </w:t>
      </w: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9525</wp:posOffset>
                </wp:positionV>
                <wp:extent cx="4552950" cy="2590800"/>
                <wp:effectExtent l="0" t="0" r="1905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5223" w:rsidRDefault="005A5223" w:rsidP="005A5223">
                            <w:r>
                              <w:rPr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>
                                  <wp:extent cx="4360545" cy="2470150"/>
                                  <wp:effectExtent l="0" t="0" r="1905" b="6350"/>
                                  <wp:docPr id="1" name="Picture 1" descr="Chart, line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Chart, line char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0545" cy="247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28" type="#_x0000_t202" style="position:absolute;margin-left:3.75pt;margin-top:.75pt;width:358.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" fillcolor="white [3201]" strokeweight=".5pt">
                <v:textbox>
                  <w:txbxContent>
                    <w:p w:rsidR="005A5223" w:rsidRDefault="005A5223" w:rsidP="005A5223">
                      <w:r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>
                            <wp:extent cx="4360545" cy="2470150"/>
                            <wp:effectExtent l="0" t="0" r="1905" b="6350"/>
                            <wp:docPr id="1" name="Picture 1" descr="Chart, line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 descr="Chart, line char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0545" cy="247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Figure 3. Time series of correlation values between the ONI and SLA with example for the Pacific Basin SLA (PBSLA). </w:t>
      </w:r>
      <w:r>
        <w:rPr>
          <w:rFonts w:ascii="Times New Roman" w:hAnsi="Times New Roman" w:cs="Times New Roman"/>
          <w:i/>
          <w:iCs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=0.65 (p&lt;.0001) (strongest correlation is at 6-month lag). </w:t>
      </w: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</w:t>
            </w:r>
            <w:r>
              <w:rPr>
                <w:rFonts w:ascii="Times New Roman" w:hAnsi="Times New Roman" w:cs="Times New Roman"/>
                <w:highlight w:val="lightGray"/>
              </w:rPr>
              <w:t>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1(a). Spearman-Rank Correlation coefficient values for the aggregate western Pacific Rim region. Values for each 6-month validity period and associated with preceding 3-month averaged detrended full Pacific Basin Sea-Level Height Anomaly (PBSLA) values. Analysis for earthquakes M ≥4.7 </w:t>
      </w:r>
      <w:r>
        <w:rPr>
          <w:rFonts w:ascii="Times New Roman" w:hAnsi="Times New Roman" w:cs="Times New Roman"/>
        </w:rPr>
        <w:lastRenderedPageBreak/>
        <w:t>(5-month lead time). Values statistically significant at p&lt;.05 shaded in italics (for example) -</w:t>
      </w:r>
      <w:r>
        <w:rPr>
          <w:rFonts w:ascii="Times New Roman" w:hAnsi="Times New Roman" w:cs="Times New Roman"/>
          <w:i/>
          <w:iCs/>
        </w:rPr>
        <w:t>0</w:t>
      </w:r>
      <w:r>
        <w:rPr>
          <w:rFonts w:ascii="Times New Roman" w:hAnsi="Times New Roman" w:cs="Times New Roman"/>
          <w:i/>
          <w:iCs/>
          <w:highlight w:val="lightGray"/>
        </w:rPr>
        <w:t>.60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i/>
          <w:iCs/>
          <w:highlight w:val="lightGray"/>
        </w:rPr>
        <w:t>-0.37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993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1 (b). Spearman Rank Correlation coefficient values related to earthquakes for the aggregate western Pacific Rim for each 6-month validity period and associated with preceding 3-month averaged detrended North Pacific Basin Sea-Level Height anomalies (NPBSLA)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99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Table 1 (c). Spearman Rank Correlation coefficient values related to earthquakes for the aggregate western Pacific Rim for each 6-month validity period and associated with preceding 3-month averaged detrended ‘Pacific Tropics’ SLA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-0.45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709"/>
        <w:gridCol w:w="708"/>
        <w:gridCol w:w="851"/>
        <w:gridCol w:w="850"/>
        <w:gridCol w:w="709"/>
        <w:gridCol w:w="709"/>
        <w:gridCol w:w="709"/>
        <w:gridCol w:w="708"/>
        <w:gridCol w:w="709"/>
        <w:gridCol w:w="851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rPr>
          <w:trHeight w:val="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rPr>
          <w:trHeight w:val="1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1 (d). Spearman Rank Correlation coefficient values related to earthquakes for the aggregate </w:t>
      </w:r>
      <w:r>
        <w:rPr>
          <w:rFonts w:ascii="Times New Roman" w:hAnsi="Times New Roman" w:cs="Times New Roman"/>
          <w:i/>
          <w:iCs/>
        </w:rPr>
        <w:t>eastern</w:t>
      </w:r>
      <w:r>
        <w:rPr>
          <w:rFonts w:ascii="Times New Roman" w:hAnsi="Times New Roman" w:cs="Times New Roman"/>
        </w:rPr>
        <w:t xml:space="preserve"> Pacific Rim for each 6-month validity period and associated with preceding 3-month averaged detrended ‘Pacific Tropics’ SLA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-0.41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72"/>
        <w:gridCol w:w="768"/>
        <w:gridCol w:w="700"/>
        <w:gridCol w:w="779"/>
        <w:gridCol w:w="709"/>
        <w:gridCol w:w="709"/>
        <w:gridCol w:w="704"/>
        <w:gridCol w:w="733"/>
        <w:gridCol w:w="754"/>
        <w:gridCol w:w="726"/>
        <w:gridCol w:w="726"/>
        <w:gridCol w:w="760"/>
        <w:gridCol w:w="700"/>
      </w:tblGrid>
      <w:tr w:rsidR="005A5223" w:rsidTr="005A522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r-value by (a)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rPr>
          <w:trHeight w:val="33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0-20km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</w:tr>
      <w:tr w:rsidR="005A5223" w:rsidTr="005A522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r-value by (b)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rPr>
          <w:trHeight w:val="39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0-20km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r-value by (c)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rPr>
          <w:trHeight w:val="47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0-20km</w:t>
            </w:r>
          </w:p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2. Correlation coefficient values for each 6-month period and associated with preceding 3-month averaged detrended for the aggregated Western Pacific Rim region. Analysis for large earthquakes M ≥6.5 and 0-20km focal depth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(a) North Pacific SLA Region (NPBSLA) (b) ‘Pacific Tropics’ Sea-Level Height Anomaly values and (c) Pacific Basin Sea-Level Height Anomaly (PBSLA). Analysis for earthquakes M ≥6.5 (5-month lead time) and 0-20km depth. Values significant at p&lt;.05 shaded in italics (for example) -0</w:t>
      </w:r>
      <w:r>
        <w:rPr>
          <w:rFonts w:ascii="Times New Roman" w:hAnsi="Times New Roman" w:cs="Times New Roman"/>
          <w:i/>
          <w:iCs/>
          <w:highlight w:val="lightGray"/>
        </w:rPr>
        <w:t>.52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(There were not enough cases to provide data for ≥20km focal depth. </w:t>
      </w: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223" w:rsidRDefault="005A5223" w:rsidP="005A522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5240" w:type="dxa"/>
        <w:tblInd w:w="0" w:type="dxa"/>
        <w:tblLook w:val="04A0" w:firstRow="1" w:lastRow="0" w:firstColumn="1" w:lastColumn="0" w:noHBand="0" w:noVBand="1"/>
      </w:tblPr>
      <w:tblGrid>
        <w:gridCol w:w="948"/>
        <w:gridCol w:w="748"/>
        <w:gridCol w:w="709"/>
        <w:gridCol w:w="709"/>
        <w:gridCol w:w="709"/>
        <w:gridCol w:w="708"/>
        <w:gridCol w:w="709"/>
      </w:tblGrid>
      <w:tr w:rsidR="005A5223" w:rsidTr="005A5223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Jun-Sep</w:t>
            </w:r>
          </w:p>
        </w:tc>
      </w:tr>
      <w:tr w:rsidR="005A5223" w:rsidTr="005A5223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 xml:space="preserve">-0.42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 xml:space="preserve">-0.56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</w:tr>
      <w:tr w:rsidR="005A5223" w:rsidTr="005A5223">
        <w:trPr>
          <w:trHeight w:val="301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>-0.58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 xml:space="preserve">-0.36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 xml:space="preserve">-0.50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A5223" w:rsidTr="005A5223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 xml:space="preserve">-0.36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darkGray"/>
              </w:rPr>
              <w:t xml:space="preserve">-0.44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>-0.60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3. Japan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 Rank Correlation coefficient values for each 6-month validity period and associated with preceding 3-month averaged, detrended, PBSLA values. Analysis for earthquakes M ≥6.0 (5-month lead time). Values significant at p&lt;.05 shaded in italics (for example) -0</w:t>
      </w:r>
      <w:r>
        <w:rPr>
          <w:rFonts w:ascii="Times New Roman" w:hAnsi="Times New Roman" w:cs="Times New Roman"/>
          <w:highlight w:val="lightGray"/>
        </w:rPr>
        <w:t>.</w:t>
      </w:r>
      <w:r>
        <w:rPr>
          <w:rFonts w:ascii="Times New Roman" w:hAnsi="Times New Roman" w:cs="Times New Roman"/>
          <w:i/>
          <w:iCs/>
          <w:highlight w:val="lightGray"/>
        </w:rPr>
        <w:t>63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</w:t>
      </w:r>
      <w:r>
        <w:rPr>
          <w:rFonts w:ascii="Times New Roman" w:hAnsi="Times New Roman" w:cs="Times New Roman"/>
        </w:rPr>
        <w:t xml:space="preserve">35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87"/>
        <w:gridCol w:w="692"/>
        <w:gridCol w:w="696"/>
        <w:gridCol w:w="701"/>
        <w:gridCol w:w="697"/>
        <w:gridCol w:w="707"/>
        <w:gridCol w:w="693"/>
        <w:gridCol w:w="726"/>
        <w:gridCol w:w="726"/>
        <w:gridCol w:w="726"/>
        <w:gridCol w:w="726"/>
        <w:gridCol w:w="726"/>
        <w:gridCol w:w="695"/>
      </w:tblGrid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rPr>
          <w:trHeight w:val="1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-0.27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≥60km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4(a) Kuril/Kamchatka/Aleutian Arc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-0.78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darkGray"/>
        </w:rPr>
        <w:t>-0.34</w:t>
      </w:r>
      <w:r>
        <w:rPr>
          <w:rFonts w:ascii="Times New Roman" w:hAnsi="Times New Roman" w:cs="Times New Roman"/>
        </w:rPr>
        <w:t>.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977"/>
        <w:gridCol w:w="676"/>
        <w:gridCol w:w="682"/>
        <w:gridCol w:w="692"/>
        <w:gridCol w:w="686"/>
        <w:gridCol w:w="693"/>
        <w:gridCol w:w="726"/>
        <w:gridCol w:w="675"/>
        <w:gridCol w:w="707"/>
        <w:gridCol w:w="843"/>
        <w:gridCol w:w="726"/>
        <w:gridCol w:w="707"/>
        <w:gridCol w:w="708"/>
      </w:tblGrid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</w:tr>
      <w:tr w:rsidR="005A5223" w:rsidTr="005A5223">
        <w:trPr>
          <w:trHeight w:val="167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</w:tr>
      <w:tr w:rsidR="005A5223" w:rsidTr="005A522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4(b) Japan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-0.73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darkGray"/>
        </w:rPr>
        <w:t>-0.34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991"/>
        <w:gridCol w:w="704"/>
        <w:gridCol w:w="705"/>
        <w:gridCol w:w="706"/>
        <w:gridCol w:w="705"/>
        <w:gridCol w:w="708"/>
        <w:gridCol w:w="746"/>
        <w:gridCol w:w="682"/>
        <w:gridCol w:w="716"/>
        <w:gridCol w:w="709"/>
        <w:gridCol w:w="721"/>
        <w:gridCol w:w="706"/>
        <w:gridCol w:w="699"/>
      </w:tblGrid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rPr>
          <w:trHeight w:val="16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≥40km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4(c) Sumatra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-0.73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darkGray"/>
        </w:rPr>
        <w:t>-0.34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9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</w:tr>
      <w:tr w:rsidR="005A5223" w:rsidTr="005A5223">
        <w:trPr>
          <w:trHeight w:val="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4(d) Philippine Plate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-0.46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darkGray"/>
        </w:rPr>
        <w:t>-0.34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987"/>
        <w:gridCol w:w="696"/>
        <w:gridCol w:w="698"/>
        <w:gridCol w:w="703"/>
        <w:gridCol w:w="699"/>
        <w:gridCol w:w="693"/>
        <w:gridCol w:w="770"/>
        <w:gridCol w:w="709"/>
        <w:gridCol w:w="708"/>
        <w:gridCol w:w="761"/>
        <w:gridCol w:w="675"/>
        <w:gridCol w:w="686"/>
        <w:gridCol w:w="855"/>
      </w:tblGrid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rPr>
          <w:trHeight w:val="1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≥30km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rPr>
          <w:trHeight w:val="10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4(e) New Guinea Plate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-0.46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lightGray"/>
        </w:rPr>
        <w:t>-0.34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987"/>
        <w:gridCol w:w="696"/>
        <w:gridCol w:w="698"/>
        <w:gridCol w:w="702"/>
        <w:gridCol w:w="699"/>
        <w:gridCol w:w="693"/>
        <w:gridCol w:w="771"/>
        <w:gridCol w:w="709"/>
        <w:gridCol w:w="708"/>
        <w:gridCol w:w="762"/>
        <w:gridCol w:w="798"/>
        <w:gridCol w:w="708"/>
        <w:gridCol w:w="709"/>
      </w:tblGrid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rPr>
          <w:trHeight w:val="1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</w:tr>
      <w:tr w:rsidR="005A5223" w:rsidTr="005A5223">
        <w:trPr>
          <w:trHeight w:val="10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-0.40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-0.40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4(f) Australia Plate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-0.46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darkGray"/>
        </w:rPr>
        <w:t>-0.34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89"/>
        <w:gridCol w:w="703"/>
        <w:gridCol w:w="719"/>
        <w:gridCol w:w="709"/>
        <w:gridCol w:w="708"/>
        <w:gridCol w:w="709"/>
        <w:gridCol w:w="709"/>
        <w:gridCol w:w="709"/>
        <w:gridCol w:w="708"/>
        <w:gridCol w:w="753"/>
        <w:gridCol w:w="680"/>
        <w:gridCol w:w="687"/>
        <w:gridCol w:w="715"/>
      </w:tblGrid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rPr>
          <w:trHeight w:val="167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≥20km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</w:tr>
      <w:tr w:rsidR="005A5223" w:rsidTr="005A5223">
        <w:trPr>
          <w:trHeight w:val="10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-0.41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-0.40</w:t>
            </w:r>
          </w:p>
        </w:tc>
      </w:tr>
      <w:tr w:rsidR="005A5223" w:rsidTr="005A522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-0.42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4(g) Eastern Margins of the Australia Plate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-0.65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darkGray"/>
        </w:rPr>
        <w:t>-0.34</w:t>
      </w:r>
      <w:r>
        <w:rPr>
          <w:rFonts w:ascii="Times New Roman" w:hAnsi="Times New Roman" w:cs="Times New Roman"/>
        </w:rPr>
        <w:t>.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93"/>
        <w:gridCol w:w="709"/>
        <w:gridCol w:w="709"/>
        <w:gridCol w:w="709"/>
        <w:gridCol w:w="708"/>
        <w:gridCol w:w="709"/>
        <w:gridCol w:w="709"/>
        <w:gridCol w:w="709"/>
        <w:gridCol w:w="708"/>
        <w:gridCol w:w="747"/>
        <w:gridCol w:w="684"/>
        <w:gridCol w:w="688"/>
        <w:gridCol w:w="716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rPr>
          <w:trHeight w:val="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rPr>
          <w:trHeight w:val="1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4(h) Polynesia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-0.65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darkGray"/>
        </w:rPr>
        <w:t>-0.34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93"/>
        <w:gridCol w:w="709"/>
        <w:gridCol w:w="709"/>
        <w:gridCol w:w="709"/>
        <w:gridCol w:w="708"/>
        <w:gridCol w:w="709"/>
        <w:gridCol w:w="709"/>
        <w:gridCol w:w="709"/>
        <w:gridCol w:w="708"/>
        <w:gridCol w:w="747"/>
        <w:gridCol w:w="684"/>
        <w:gridCol w:w="688"/>
        <w:gridCol w:w="716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rPr>
          <w:trHeight w:val="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rPr>
          <w:trHeight w:val="1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4(i) Fiji/Tonga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-0.65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darkGray"/>
        </w:rPr>
        <w:t>-0.34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72"/>
        <w:gridCol w:w="724"/>
        <w:gridCol w:w="706"/>
        <w:gridCol w:w="707"/>
        <w:gridCol w:w="706"/>
        <w:gridCol w:w="726"/>
        <w:gridCol w:w="705"/>
        <w:gridCol w:w="705"/>
        <w:gridCol w:w="706"/>
        <w:gridCol w:w="706"/>
        <w:gridCol w:w="705"/>
        <w:gridCol w:w="726"/>
        <w:gridCol w:w="704"/>
      </w:tblGrid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</w:tr>
      <w:tr w:rsidR="005A5223" w:rsidTr="005A5223">
        <w:trPr>
          <w:trHeight w:val="16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</w:tr>
      <w:tr w:rsidR="005A5223" w:rsidTr="005A5223">
        <w:trPr>
          <w:trHeight w:val="10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</w:tr>
      <w:tr w:rsidR="005A5223" w:rsidTr="005A5223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4(j) New Zealand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detrended PBSLA values. Analysis for earthquakes M ≥4.7 (example for 5-month lead time). Values significant at p≤.05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-0.65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values significant at p≤.10 shaded as (for example) </w:t>
      </w:r>
      <w:r>
        <w:rPr>
          <w:rFonts w:ascii="Times New Roman" w:hAnsi="Times New Roman" w:cs="Times New Roman"/>
          <w:highlight w:val="darkGray"/>
        </w:rPr>
        <w:t>-0.34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r-value by focal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</w:tr>
      <w:tr w:rsidR="005A5223" w:rsidTr="005A5223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5(a) Aleutian Arc/Kuril-Kamchatka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-.65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-.30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39" w:type="dxa"/>
        <w:tblInd w:w="-572" w:type="dxa"/>
        <w:tblLook w:val="04A0" w:firstRow="1" w:lastRow="0" w:firstColumn="1" w:lastColumn="0" w:noHBand="0" w:noVBand="1"/>
      </w:tblPr>
      <w:tblGrid>
        <w:gridCol w:w="987"/>
        <w:gridCol w:w="809"/>
        <w:gridCol w:w="694"/>
        <w:gridCol w:w="700"/>
        <w:gridCol w:w="696"/>
        <w:gridCol w:w="706"/>
        <w:gridCol w:w="691"/>
        <w:gridCol w:w="726"/>
        <w:gridCol w:w="726"/>
        <w:gridCol w:w="726"/>
        <w:gridCol w:w="726"/>
        <w:gridCol w:w="726"/>
        <w:gridCol w:w="726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</w:tr>
      <w:tr w:rsidR="005A5223" w:rsidTr="005A5223">
        <w:trPr>
          <w:trHeight w:val="2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5(b) Japan </w:t>
      </w:r>
      <w:r>
        <w:rPr>
          <w:rFonts w:ascii="Times New Roman" w:hAnsi="Times New Roman" w:cs="Times New Roman"/>
        </w:rPr>
        <w:t>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-0.65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darkGray"/>
        </w:rPr>
        <w:t>-0.30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0"/>
        <w:gridCol w:w="703"/>
        <w:gridCol w:w="706"/>
        <w:gridCol w:w="720"/>
        <w:gridCol w:w="709"/>
        <w:gridCol w:w="708"/>
        <w:gridCol w:w="709"/>
        <w:gridCol w:w="709"/>
        <w:gridCol w:w="709"/>
        <w:gridCol w:w="708"/>
        <w:gridCol w:w="709"/>
        <w:gridCol w:w="851"/>
        <w:gridCol w:w="850"/>
      </w:tblGrid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rPr>
          <w:trHeight w:val="139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rPr>
          <w:trHeight w:val="13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5(c) Philippine </w:t>
      </w:r>
      <w:r>
        <w:rPr>
          <w:rFonts w:ascii="Times New Roman" w:hAnsi="Times New Roman" w:cs="Times New Roman"/>
        </w:rPr>
        <w:t>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darkGray"/>
        </w:rPr>
        <w:t>-0.33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985"/>
        <w:gridCol w:w="810"/>
        <w:gridCol w:w="726"/>
        <w:gridCol w:w="700"/>
        <w:gridCol w:w="696"/>
        <w:gridCol w:w="707"/>
        <w:gridCol w:w="690"/>
        <w:gridCol w:w="690"/>
        <w:gridCol w:w="769"/>
        <w:gridCol w:w="712"/>
        <w:gridCol w:w="730"/>
        <w:gridCol w:w="785"/>
        <w:gridCol w:w="782"/>
      </w:tblGrid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rPr>
          <w:trHeight w:val="16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</w:tr>
      <w:tr w:rsidR="005A5223" w:rsidTr="005A5223">
        <w:trPr>
          <w:trHeight w:val="25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</w:tr>
      <w:tr w:rsidR="005A5223" w:rsidTr="005A5223">
        <w:trPr>
          <w:trHeight w:val="13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5(d) Sumatra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-0.65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-0.33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1106"/>
        <w:gridCol w:w="692"/>
        <w:gridCol w:w="696"/>
        <w:gridCol w:w="724"/>
        <w:gridCol w:w="700"/>
        <w:gridCol w:w="708"/>
        <w:gridCol w:w="689"/>
        <w:gridCol w:w="9"/>
        <w:gridCol w:w="672"/>
        <w:gridCol w:w="26"/>
        <w:gridCol w:w="677"/>
        <w:gridCol w:w="27"/>
        <w:gridCol w:w="671"/>
        <w:gridCol w:w="27"/>
        <w:gridCol w:w="724"/>
        <w:gridCol w:w="783"/>
        <w:gridCol w:w="850"/>
      </w:tblGrid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rPr>
          <w:trHeight w:val="26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rPr>
          <w:trHeight w:val="12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  <w:tr w:rsidR="005A5223" w:rsidTr="005A5223">
        <w:trPr>
          <w:trHeight w:val="13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5(e) Australia Plate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-.032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1084"/>
        <w:gridCol w:w="679"/>
        <w:gridCol w:w="685"/>
        <w:gridCol w:w="693"/>
        <w:gridCol w:w="726"/>
        <w:gridCol w:w="726"/>
        <w:gridCol w:w="738"/>
        <w:gridCol w:w="691"/>
        <w:gridCol w:w="728"/>
        <w:gridCol w:w="713"/>
        <w:gridCol w:w="772"/>
        <w:gridCol w:w="706"/>
        <w:gridCol w:w="841"/>
      </w:tblGrid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rPr>
          <w:trHeight w:val="19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A5223" w:rsidTr="005A5223">
        <w:trPr>
          <w:trHeight w:val="22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rPr>
          <w:trHeight w:val="13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≥110km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</w:tr>
      <w:tr w:rsidR="005A5223" w:rsidTr="005A5223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5(f) New Guinea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-0.50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39" w:type="dxa"/>
        <w:tblInd w:w="-572" w:type="dxa"/>
        <w:tblLook w:val="04A0" w:firstRow="1" w:lastRow="0" w:firstColumn="1" w:lastColumn="0" w:noHBand="0" w:noVBand="1"/>
      </w:tblPr>
      <w:tblGrid>
        <w:gridCol w:w="99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5(g) Eastern Margins of the Australia Plate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-0.60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987"/>
        <w:gridCol w:w="715"/>
        <w:gridCol w:w="709"/>
        <w:gridCol w:w="709"/>
        <w:gridCol w:w="708"/>
        <w:gridCol w:w="709"/>
        <w:gridCol w:w="768"/>
        <w:gridCol w:w="693"/>
        <w:gridCol w:w="704"/>
        <w:gridCol w:w="698"/>
        <w:gridCol w:w="727"/>
        <w:gridCol w:w="804"/>
        <w:gridCol w:w="709"/>
      </w:tblGrid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</w:tr>
      <w:tr w:rsidR="005A5223" w:rsidTr="005A5223">
        <w:trPr>
          <w:trHeight w:val="13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</w:tr>
      <w:tr w:rsidR="005A5223" w:rsidTr="005A5223">
        <w:trPr>
          <w:trHeight w:val="13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≥70km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5(h) Polynesia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60"/>
        <w:gridCol w:w="699"/>
      </w:tblGrid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rPr>
          <w:trHeight w:val="1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</w:tr>
      <w:tr w:rsidR="005A5223" w:rsidTr="005A5223">
        <w:trPr>
          <w:trHeight w:val="1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5(i) Fiji/Tonga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5(j) New Zealand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‘Pacific Tropics’ 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987"/>
        <w:gridCol w:w="830"/>
        <w:gridCol w:w="695"/>
        <w:gridCol w:w="701"/>
        <w:gridCol w:w="696"/>
        <w:gridCol w:w="706"/>
        <w:gridCol w:w="692"/>
        <w:gridCol w:w="692"/>
        <w:gridCol w:w="750"/>
        <w:gridCol w:w="750"/>
        <w:gridCol w:w="726"/>
        <w:gridCol w:w="726"/>
        <w:gridCol w:w="830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6(a) Aleutian Arc/Kuril-Kamchatka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-0.65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1064"/>
        <w:gridCol w:w="726"/>
        <w:gridCol w:w="675"/>
        <w:gridCol w:w="689"/>
        <w:gridCol w:w="688"/>
        <w:gridCol w:w="695"/>
        <w:gridCol w:w="726"/>
        <w:gridCol w:w="726"/>
        <w:gridCol w:w="726"/>
        <w:gridCol w:w="726"/>
        <w:gridCol w:w="807"/>
        <w:gridCol w:w="726"/>
        <w:gridCol w:w="807"/>
      </w:tblGrid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rPr>
          <w:trHeight w:val="139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</w:tr>
      <w:tr w:rsidR="005A5223" w:rsidTr="005A5223">
        <w:trPr>
          <w:trHeight w:val="133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6(b) Japan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-0.47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982"/>
        <w:gridCol w:w="726"/>
        <w:gridCol w:w="726"/>
        <w:gridCol w:w="726"/>
        <w:gridCol w:w="726"/>
        <w:gridCol w:w="704"/>
        <w:gridCol w:w="726"/>
        <w:gridCol w:w="680"/>
        <w:gridCol w:w="698"/>
        <w:gridCol w:w="726"/>
        <w:gridCol w:w="818"/>
        <w:gridCol w:w="726"/>
        <w:gridCol w:w="817"/>
      </w:tblGrid>
      <w:tr w:rsidR="005A5223" w:rsidTr="005A5223">
        <w:trPr>
          <w:trHeight w:val="5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6(c) Sumatra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-0.47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r-value by focal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6(d) Philippine Plate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-0.47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39" w:type="dxa"/>
        <w:tblInd w:w="-572" w:type="dxa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6(e) Australia Plate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-0.47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984"/>
        <w:gridCol w:w="798"/>
        <w:gridCol w:w="726"/>
        <w:gridCol w:w="697"/>
        <w:gridCol w:w="692"/>
        <w:gridCol w:w="706"/>
        <w:gridCol w:w="686"/>
        <w:gridCol w:w="684"/>
        <w:gridCol w:w="701"/>
        <w:gridCol w:w="726"/>
        <w:gridCol w:w="731"/>
        <w:gridCol w:w="783"/>
        <w:gridCol w:w="726"/>
      </w:tblGrid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</w:tr>
      <w:tr w:rsidR="005A5223" w:rsidTr="005A5223">
        <w:trPr>
          <w:trHeight w:val="1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+0.37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+0.31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+0.35</w:t>
            </w:r>
          </w:p>
        </w:tc>
      </w:tr>
      <w:tr w:rsidR="005A5223" w:rsidTr="005A5223">
        <w:trPr>
          <w:trHeight w:val="1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6(f) New Guinea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-0.47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</w:tblGrid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</w:tr>
      <w:tr w:rsidR="005A5223" w:rsidTr="005A5223">
        <w:trPr>
          <w:trHeight w:val="1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rPr>
          <w:trHeight w:val="1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</w:tr>
      <w:tr w:rsidR="005A5223" w:rsidTr="005A52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 Table 6(g) Eastern Margins of the Australia Plate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Spearman-Rank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-0.47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709"/>
        <w:gridCol w:w="708"/>
        <w:gridCol w:w="709"/>
        <w:gridCol w:w="851"/>
        <w:gridCol w:w="708"/>
        <w:gridCol w:w="851"/>
        <w:gridCol w:w="709"/>
        <w:gridCol w:w="708"/>
        <w:gridCol w:w="709"/>
        <w:gridCol w:w="709"/>
        <w:gridCol w:w="709"/>
        <w:gridCol w:w="850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-.07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-.30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-.41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6(h) Polynesia: Spearman-Rank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-.47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-714" w:type="dxa"/>
        <w:tblLook w:val="04A0" w:firstRow="1" w:lastRow="0" w:firstColumn="1" w:lastColumn="0" w:noHBand="0" w:noVBand="1"/>
      </w:tblPr>
      <w:tblGrid>
        <w:gridCol w:w="99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focal depth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</w:tr>
      <w:tr w:rsidR="005A5223" w:rsidTr="005A5223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</w:tr>
      <w:tr w:rsidR="005A5223" w:rsidTr="005A5223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≥120km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6(i) Fiji/Tonga: Spearman-Rank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-0.47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-0.32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1"/>
        <w:gridCol w:w="71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rPr>
          <w:trHeight w:val="26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rPr>
          <w:trHeight w:val="21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rPr>
          <w:trHeight w:val="13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</w:tr>
      <w:tr w:rsidR="005A5223" w:rsidTr="005A522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Table 6(j) New Zealand Region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Correlation coefficient values for each 6-month validity period and associated with preceding 3-month averaged NPBSLA values. Analysis for earthquakes M ≥4.7 (example for 5-month lead time). Values significant at p&lt;.05 shaded (for example) </w:t>
      </w:r>
      <w:r>
        <w:rPr>
          <w:rFonts w:ascii="Times New Roman" w:hAnsi="Times New Roman" w:cs="Times New Roman"/>
          <w:i/>
          <w:iCs/>
          <w:highlight w:val="darkGray"/>
        </w:rPr>
        <w:t>-0.47</w:t>
      </w:r>
      <w:r>
        <w:rPr>
          <w:rFonts w:ascii="Times New Roman" w:hAnsi="Times New Roman" w:cs="Times New Roman"/>
        </w:rPr>
        <w:t xml:space="preserve"> and values significant at p&gt;.10 shaded as (for example) </w:t>
      </w:r>
      <w:r>
        <w:rPr>
          <w:rFonts w:ascii="Times New Roman" w:hAnsi="Times New Roman" w:cs="Times New Roman"/>
          <w:highlight w:val="darkGray"/>
        </w:rPr>
        <w:t>-0.32</w:t>
      </w:r>
      <w:r>
        <w:rPr>
          <w:rFonts w:ascii="Times New Roman" w:hAnsi="Times New Roman" w:cs="Times New Roman"/>
        </w:rPr>
        <w:t xml:space="preserve"> (Aftershocks removed).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692"/>
        <w:gridCol w:w="726"/>
        <w:gridCol w:w="726"/>
        <w:gridCol w:w="726"/>
        <w:gridCol w:w="726"/>
        <w:gridCol w:w="726"/>
        <w:gridCol w:w="781"/>
        <w:gridCol w:w="698"/>
        <w:gridCol w:w="844"/>
        <w:gridCol w:w="726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</w:tr>
      <w:tr w:rsidR="005A5223" w:rsidTr="005A5223">
        <w:trPr>
          <w:trHeight w:val="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rPr>
          <w:trHeight w:val="1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ind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-0.42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7(a). Spearman Rank Correlation coefficient values related to earthquakes for the aggregated Eastern Pacific Rim for each 6-month validity period and associated with preceding 3-month averaged detrended North Pacific Basin Sea-Level Height anomalies (NPBSLA) values. Analysis for earthquakes M ≥4.7 (5-month lead time). Values significant at p&lt;.05 shaded in italics (for example)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976"/>
        <w:gridCol w:w="726"/>
        <w:gridCol w:w="683"/>
        <w:gridCol w:w="726"/>
        <w:gridCol w:w="726"/>
        <w:gridCol w:w="726"/>
        <w:gridCol w:w="726"/>
        <w:gridCol w:w="726"/>
        <w:gridCol w:w="789"/>
        <w:gridCol w:w="709"/>
        <w:gridCol w:w="787"/>
        <w:gridCol w:w="726"/>
        <w:gridCol w:w="755"/>
      </w:tblGrid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rPr>
          <w:trHeight w:val="16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rPr>
          <w:trHeight w:val="10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</w:tr>
      <w:tr w:rsidR="005A5223" w:rsidTr="005A522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7(b). Spearman Rank Correlation coefficient values related to earthquakes for the aggregated Eastern Pacific Rim for each 6-month validity period and associated with preceding 3-month averaged detrended Pacific Basin Sea-Level Height anomalies PBSLA) values. Analysis for earthquakes M ≥4.7 (5-month lead time). Values significant at p&lt;.05 shaded in italics (for example)      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960"/>
        <w:gridCol w:w="726"/>
        <w:gridCol w:w="726"/>
        <w:gridCol w:w="677"/>
        <w:gridCol w:w="739"/>
        <w:gridCol w:w="844"/>
        <w:gridCol w:w="726"/>
        <w:gridCol w:w="705"/>
        <w:gridCol w:w="708"/>
        <w:gridCol w:w="707"/>
        <w:gridCol w:w="706"/>
        <w:gridCol w:w="690"/>
        <w:gridCol w:w="726"/>
      </w:tblGrid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rPr>
          <w:trHeight w:val="1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rPr>
          <w:trHeight w:val="1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≥60km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</w:tr>
      <w:tr w:rsidR="005A5223" w:rsidTr="005A52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7(c). Spearman Rank Correlation coefficient values related to earthquakes for the aggregated Eastern Pacific Rim for each 6-month validity period and associated with preceding 3-month averaged detrended Pacific Tropics (‘Tropics’)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tbl>
      <w:tblPr>
        <w:tblStyle w:val="TableGrid"/>
        <w:tblW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709"/>
        <w:gridCol w:w="708"/>
        <w:gridCol w:w="851"/>
        <w:gridCol w:w="709"/>
        <w:gridCol w:w="708"/>
        <w:gridCol w:w="709"/>
        <w:gridCol w:w="709"/>
        <w:gridCol w:w="850"/>
        <w:gridCol w:w="851"/>
        <w:gridCol w:w="850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rPr>
          <w:trHeight w:val="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rPr>
          <w:trHeight w:val="1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7(d). Spearman Rank Correlation coefficient values related to earthquakes for the Central South America sub-region for each 6-month validity period and associated with preceding 3-month averaged detrended ‘Pacific Tropics’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-0.52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1029"/>
        <w:gridCol w:w="726"/>
        <w:gridCol w:w="714"/>
        <w:gridCol w:w="726"/>
        <w:gridCol w:w="726"/>
        <w:gridCol w:w="726"/>
        <w:gridCol w:w="726"/>
        <w:gridCol w:w="678"/>
        <w:gridCol w:w="683"/>
        <w:gridCol w:w="798"/>
        <w:gridCol w:w="797"/>
        <w:gridCol w:w="726"/>
        <w:gridCol w:w="726"/>
      </w:tblGrid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rPr>
          <w:trHeight w:val="16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≥30km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rPr>
          <w:trHeight w:val="101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-.13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</w:tr>
      <w:tr w:rsidR="005A5223" w:rsidTr="005A5223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7(e). Spearman Rank Correlation coefficient values related to earthquakes for the Central South America sub-region for each 6-month validity period and associated with preceding 3-month averaged detrended North Pacific Basin sea-level anomaly (NPBSLA) values. Analysis for earthquakes M ≥4.7 (5-month lead time). Values significant at p&lt;.05 shaded in italics (for example)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tbl>
      <w:tblPr>
        <w:tblStyle w:val="TableGrid"/>
        <w:tblW w:w="9730" w:type="dxa"/>
        <w:tblInd w:w="-714" w:type="dxa"/>
        <w:tblLook w:val="04A0" w:firstRow="1" w:lastRow="0" w:firstColumn="1" w:lastColumn="0" w:noHBand="0" w:noVBand="1"/>
      </w:tblPr>
      <w:tblGrid>
        <w:gridCol w:w="988"/>
        <w:gridCol w:w="726"/>
        <w:gridCol w:w="804"/>
        <w:gridCol w:w="691"/>
        <w:gridCol w:w="726"/>
        <w:gridCol w:w="726"/>
        <w:gridCol w:w="726"/>
        <w:gridCol w:w="726"/>
        <w:gridCol w:w="677"/>
        <w:gridCol w:w="694"/>
        <w:gridCol w:w="733"/>
        <w:gridCol w:w="726"/>
        <w:gridCol w:w="787"/>
      </w:tblGrid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rPr>
          <w:trHeight w:val="1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A5223" w:rsidTr="005A5223">
        <w:trPr>
          <w:trHeight w:val="1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+0.35</w:t>
            </w:r>
          </w:p>
        </w:tc>
      </w:tr>
      <w:tr w:rsidR="005A5223" w:rsidTr="005A522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+0.34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 (f). Spearman Rank Correlation coefficient values related to earthquakes for the Central South America sub-region for each 6-month validity period and associated with preceding 3-month averaged detrended Pacific Basin sea-level anomaly (PBSLA)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709"/>
        <w:gridCol w:w="708"/>
        <w:gridCol w:w="797"/>
        <w:gridCol w:w="763"/>
        <w:gridCol w:w="753"/>
        <w:gridCol w:w="806"/>
        <w:gridCol w:w="850"/>
        <w:gridCol w:w="851"/>
        <w:gridCol w:w="850"/>
        <w:gridCol w:w="851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r-value by depth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</w:tr>
      <w:tr w:rsidR="005A5223" w:rsidTr="005A5223">
        <w:trPr>
          <w:trHeight w:val="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+0.32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+0.40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</w:tr>
      <w:tr w:rsidR="005A5223" w:rsidTr="005A5223">
        <w:trPr>
          <w:trHeight w:val="1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7(g). Spearman Rank Correlation coefficient values related to earthquakes for the Mexico/Central America sub-region for each 6-month validity period and associated with preceding 3-month averaged detrended North Pacific Basin sea-level anomaly (NPBSLA)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tbl>
      <w:tblPr>
        <w:tblStyle w:val="TableGrid"/>
        <w:tblW w:w="9639" w:type="dxa"/>
        <w:tblInd w:w="-572" w:type="dxa"/>
        <w:tblLook w:val="04A0" w:firstRow="1" w:lastRow="0" w:firstColumn="1" w:lastColumn="0" w:noHBand="0" w:noVBand="1"/>
      </w:tblPr>
      <w:tblGrid>
        <w:gridCol w:w="972"/>
        <w:gridCol w:w="750"/>
        <w:gridCol w:w="750"/>
        <w:gridCol w:w="726"/>
        <w:gridCol w:w="726"/>
        <w:gridCol w:w="742"/>
        <w:gridCol w:w="686"/>
        <w:gridCol w:w="686"/>
        <w:gridCol w:w="700"/>
        <w:gridCol w:w="690"/>
        <w:gridCol w:w="687"/>
        <w:gridCol w:w="726"/>
        <w:gridCol w:w="798"/>
      </w:tblGrid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</w:tr>
      <w:tr w:rsidR="005A5223" w:rsidTr="005A5223">
        <w:trPr>
          <w:trHeight w:val="1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+0.31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+0.28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+0.39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+0.41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+0.37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</w:tr>
      <w:tr w:rsidR="005A5223" w:rsidTr="005A5223">
        <w:trPr>
          <w:trHeight w:val="101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+0.14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</w:tr>
      <w:tr w:rsidR="005A5223" w:rsidTr="005A522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7(h). Spearman Rank Correlation coefficient values related to earthquakes for the Mexico/Central America sub-region for each 6-month validity period and associated with preceding 3-month averaged detrended Pacific ‘Tropics’ sea-level anomaly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tbl>
      <w:tblPr>
        <w:tblStyle w:val="TableGrid"/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7"/>
        <w:gridCol w:w="726"/>
        <w:gridCol w:w="726"/>
        <w:gridCol w:w="726"/>
        <w:gridCol w:w="726"/>
        <w:gridCol w:w="745"/>
        <w:gridCol w:w="726"/>
        <w:gridCol w:w="726"/>
        <w:gridCol w:w="704"/>
        <w:gridCol w:w="686"/>
        <w:gridCol w:w="726"/>
        <w:gridCol w:w="726"/>
        <w:gridCol w:w="842"/>
      </w:tblGrid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5A5223" w:rsidTr="005A5223">
        <w:trPr>
          <w:trHeight w:val="167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A5223" w:rsidTr="005A5223">
        <w:trPr>
          <w:trHeight w:val="101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7(i). Spearman Rank Correlation coefficient values related to earthquakes for the Mexico/Central America sub-region for each 6-month validity period and associated with preceding 3-month averaged detrended Pacific Basin sea-level anomaly (PBSLA)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tbl>
      <w:tblPr>
        <w:tblStyle w:val="TableGrid"/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78"/>
        <w:gridCol w:w="726"/>
        <w:gridCol w:w="726"/>
        <w:gridCol w:w="679"/>
        <w:gridCol w:w="726"/>
        <w:gridCol w:w="726"/>
        <w:gridCol w:w="685"/>
        <w:gridCol w:w="709"/>
        <w:gridCol w:w="708"/>
        <w:gridCol w:w="709"/>
        <w:gridCol w:w="709"/>
        <w:gridCol w:w="850"/>
        <w:gridCol w:w="851"/>
      </w:tblGrid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rPr>
          <w:trHeight w:val="1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darkGray"/>
              </w:rPr>
              <w:t>-0.42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rPr>
          <w:trHeight w:val="101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7(j). Spearman Rank Correlation coefficient values related to earthquakes for the Nazca Plate/Northern South America sub-region for each 6-month validity period and associated with preceding 3-month averaged detrended North Pacific Basin sea-level anomaly (NPBSLA) values. Analysis </w:t>
      </w:r>
      <w:r>
        <w:rPr>
          <w:rFonts w:ascii="Times New Roman" w:hAnsi="Times New Roman" w:cs="Times New Roman"/>
        </w:rPr>
        <w:lastRenderedPageBreak/>
        <w:t xml:space="preserve">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7"/>
        <w:gridCol w:w="726"/>
        <w:gridCol w:w="726"/>
        <w:gridCol w:w="726"/>
        <w:gridCol w:w="726"/>
        <w:gridCol w:w="726"/>
        <w:gridCol w:w="800"/>
        <w:gridCol w:w="681"/>
        <w:gridCol w:w="705"/>
        <w:gridCol w:w="700"/>
        <w:gridCol w:w="705"/>
        <w:gridCol w:w="726"/>
        <w:gridCol w:w="726"/>
      </w:tblGrid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</w:tr>
      <w:tr w:rsidR="005A5223" w:rsidTr="005A5223">
        <w:trPr>
          <w:trHeight w:val="16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</w:tr>
      <w:tr w:rsidR="005A5223" w:rsidTr="005A5223">
        <w:trPr>
          <w:trHeight w:val="101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+0.04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+0.22</w:t>
            </w:r>
          </w:p>
        </w:tc>
      </w:tr>
      <w:tr w:rsidR="005A5223" w:rsidTr="005A5223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7(k). Spearman Rank Correlation coefficient values related to earthquakes for the Nazca Plate/Northern South America sub-region for each 6-month validity period and associated with preceding 3-month averaged detrended Pacific Tropics sea-level anomaly (‘Tropics’)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-0.55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:rsidR="005A5223" w:rsidRDefault="005A5223" w:rsidP="005A52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993"/>
        <w:gridCol w:w="795"/>
        <w:gridCol w:w="678"/>
        <w:gridCol w:w="726"/>
        <w:gridCol w:w="734"/>
        <w:gridCol w:w="726"/>
        <w:gridCol w:w="726"/>
        <w:gridCol w:w="726"/>
        <w:gridCol w:w="681"/>
        <w:gridCol w:w="700"/>
        <w:gridCol w:w="720"/>
        <w:gridCol w:w="726"/>
        <w:gridCol w:w="850"/>
      </w:tblGrid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Jan-Jun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Feb-Jul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Mar-Aug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Apr-Sep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May-Oct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Jun-Nov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Jul-Dec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Aug-Jan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Sep-Feb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Oct-Mar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Nov-Apr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Dec-May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r-value by depth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rPr>
          <w:trHeight w:val="1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highlight w:val="darkGray"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-0.38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≥50km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highlight w:val="darkGray"/>
              </w:rPr>
              <w:t>-0.41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-0.35</w:t>
            </w:r>
          </w:p>
        </w:tc>
      </w:tr>
      <w:tr w:rsidR="005A5223" w:rsidTr="005A5223">
        <w:trPr>
          <w:trHeight w:val="1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≥60km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≥110km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A5223" w:rsidTr="005A52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≥120km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+0.21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23" w:rsidRDefault="005A52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+0.03</w:t>
            </w:r>
          </w:p>
        </w:tc>
      </w:tr>
    </w:tbl>
    <w:p w:rsidR="005A5223" w:rsidRDefault="005A5223" w:rsidP="005A52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>
        <w:rPr>
          <w:rFonts w:ascii="Times New Roman" w:hAnsi="Times New Roman" w:cs="Times New Roman"/>
        </w:rPr>
        <w:lastRenderedPageBreak/>
        <w:t xml:space="preserve">Supplementary Table 7(l). Spearman Rank Correlation coefficient values related to earthquakes for the Nazca Plate/Northern South America sub-region for each 6-month validity period and associated with preceding 3-month averaged detrended Pacific Basin sea-level anomaly (PBSLA) values. Analysis for earthquakes M ≥4.7 (5-month lead time). Values significant at p&lt;.05 shaded in italics (for example) </w:t>
      </w:r>
      <w:r>
        <w:rPr>
          <w:rFonts w:ascii="Times New Roman" w:hAnsi="Times New Roman" w:cs="Times New Roman"/>
          <w:i/>
          <w:iCs/>
          <w:highlight w:val="darkGray"/>
        </w:rPr>
        <w:t>0.55</w:t>
      </w:r>
      <w:r>
        <w:rPr>
          <w:rFonts w:ascii="Times New Roman" w:hAnsi="Times New Roman" w:cs="Times New Roman"/>
        </w:rPr>
        <w:t xml:space="preserve"> and values significant at p&lt;.10 shaded as (for example) </w:t>
      </w:r>
      <w:r>
        <w:rPr>
          <w:rFonts w:ascii="Times New Roman" w:hAnsi="Times New Roman" w:cs="Times New Roman"/>
          <w:highlight w:val="lightGray"/>
        </w:rPr>
        <w:t>-0.35</w:t>
      </w:r>
      <w:r>
        <w:rPr>
          <w:rFonts w:ascii="Times New Roman" w:hAnsi="Times New Roman" w:cs="Times New Roman"/>
        </w:rPr>
        <w:t xml:space="preserve"> (Aftershocks removed). </w:t>
      </w: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23"/>
    <w:rsid w:val="005A522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5ABFF0-6B57-413C-AE11-95D5B13F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223"/>
    <w:pPr>
      <w:spacing w:after="200" w:line="276" w:lineRule="auto"/>
    </w:pPr>
    <w:rPr>
      <w:rFonts w:eastAsiaTheme="minorEastAsia"/>
      <w:lang w:val="en-AU"/>
    </w:rPr>
  </w:style>
  <w:style w:type="paragraph" w:styleId="Heading1">
    <w:name w:val="heading 1"/>
    <w:basedOn w:val="Normal"/>
    <w:link w:val="Heading1Char"/>
    <w:uiPriority w:val="9"/>
    <w:qFormat/>
    <w:rsid w:val="005A52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223"/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character" w:styleId="Hyperlink">
    <w:name w:val="Hyperlink"/>
    <w:basedOn w:val="DefaultParagraphFont"/>
    <w:uiPriority w:val="99"/>
    <w:semiHidden/>
    <w:unhideWhenUsed/>
    <w:rsid w:val="005A5223"/>
    <w:rPr>
      <w:color w:val="00009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522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5A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52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5223"/>
    <w:rPr>
      <w:rFonts w:eastAsiaTheme="minorEastAsia"/>
      <w:sz w:val="20"/>
      <w:szCs w:val="20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223"/>
    <w:rPr>
      <w:rFonts w:eastAsiaTheme="minorEastAsia"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5A5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5223"/>
    <w:rPr>
      <w:rFonts w:eastAsiaTheme="minorEastAsia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5A5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5223"/>
    <w:rPr>
      <w:rFonts w:eastAsiaTheme="minorEastAsia"/>
      <w:lang w:val="en-A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522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semiHidden/>
    <w:unhideWhenUsed/>
    <w:qFormat/>
    <w:rsid w:val="005A52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A5223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A522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A5223"/>
    <w:rPr>
      <w:rFonts w:ascii="Calibri" w:eastAsiaTheme="minorEastAsia" w:hAnsi="Calibri"/>
      <w:szCs w:val="21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223"/>
    <w:rPr>
      <w:rFonts w:eastAsiaTheme="minorEastAsia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223"/>
    <w:rPr>
      <w:rFonts w:ascii="Tahoma" w:eastAsiaTheme="minorEastAsia" w:hAnsi="Tahoma" w:cs="Tahoma"/>
      <w:sz w:val="16"/>
      <w:szCs w:val="16"/>
      <w:lang w:val="en-AU"/>
    </w:rPr>
  </w:style>
  <w:style w:type="paragraph" w:styleId="NoSpacing">
    <w:name w:val="No Spacing"/>
    <w:uiPriority w:val="1"/>
    <w:qFormat/>
    <w:rsid w:val="005A5223"/>
    <w:pPr>
      <w:spacing w:after="0" w:line="240" w:lineRule="auto"/>
    </w:pPr>
    <w:rPr>
      <w:rFonts w:eastAsiaTheme="minorEastAsia"/>
      <w:lang w:val="en-AU"/>
    </w:rPr>
  </w:style>
  <w:style w:type="paragraph" w:styleId="Revision">
    <w:name w:val="Revision"/>
    <w:uiPriority w:val="99"/>
    <w:semiHidden/>
    <w:rsid w:val="005A5223"/>
    <w:pPr>
      <w:spacing w:after="0" w:line="240" w:lineRule="auto"/>
    </w:pPr>
    <w:rPr>
      <w:rFonts w:eastAsiaTheme="minorEastAsia"/>
      <w:lang w:val="en-AU"/>
    </w:rPr>
  </w:style>
  <w:style w:type="paragraph" w:styleId="ListParagraph">
    <w:name w:val="List Paragraph"/>
    <w:basedOn w:val="Normal"/>
    <w:uiPriority w:val="34"/>
    <w:qFormat/>
    <w:rsid w:val="005A5223"/>
    <w:pPr>
      <w:ind w:left="720"/>
      <w:contextualSpacing/>
    </w:pPr>
  </w:style>
  <w:style w:type="paragraph" w:customStyle="1" w:styleId="Default">
    <w:name w:val="Default"/>
    <w:rsid w:val="005A5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5A522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A5223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rsid w:val="005A5223"/>
    <w:rPr>
      <w:color w:val="808080"/>
      <w:shd w:val="clear" w:color="auto" w:fill="E6E6E6"/>
    </w:rPr>
  </w:style>
  <w:style w:type="character" w:customStyle="1" w:styleId="current-selection">
    <w:name w:val="current-selection"/>
    <w:basedOn w:val="DefaultParagraphFont"/>
    <w:rsid w:val="005A5223"/>
  </w:style>
  <w:style w:type="character" w:customStyle="1" w:styleId="cs1-format">
    <w:name w:val="cs1-format"/>
    <w:basedOn w:val="DefaultParagraphFont"/>
    <w:rsid w:val="005A5223"/>
  </w:style>
  <w:style w:type="character" w:customStyle="1" w:styleId="author">
    <w:name w:val="author"/>
    <w:basedOn w:val="DefaultParagraphFont"/>
    <w:rsid w:val="005A5223"/>
  </w:style>
  <w:style w:type="character" w:customStyle="1" w:styleId="pubyear">
    <w:name w:val="pubyear"/>
    <w:basedOn w:val="DefaultParagraphFont"/>
    <w:rsid w:val="005A5223"/>
  </w:style>
  <w:style w:type="character" w:customStyle="1" w:styleId="booktitle">
    <w:name w:val="booktitle"/>
    <w:basedOn w:val="DefaultParagraphFont"/>
    <w:rsid w:val="005A5223"/>
  </w:style>
  <w:style w:type="character" w:customStyle="1" w:styleId="publisherlocation">
    <w:name w:val="publisherlocation"/>
    <w:basedOn w:val="DefaultParagraphFont"/>
    <w:rsid w:val="005A5223"/>
  </w:style>
  <w:style w:type="character" w:customStyle="1" w:styleId="a">
    <w:name w:val="_"/>
    <w:basedOn w:val="DefaultParagraphFont"/>
    <w:rsid w:val="005A5223"/>
  </w:style>
  <w:style w:type="character" w:customStyle="1" w:styleId="UnresolvedMention">
    <w:name w:val="Unresolved Mention"/>
    <w:basedOn w:val="DefaultParagraphFont"/>
    <w:uiPriority w:val="99"/>
    <w:semiHidden/>
    <w:rsid w:val="005A5223"/>
    <w:rPr>
      <w:color w:val="605E5C"/>
      <w:shd w:val="clear" w:color="auto" w:fill="E1DFDD"/>
    </w:rPr>
  </w:style>
  <w:style w:type="character" w:customStyle="1" w:styleId="authors">
    <w:name w:val="authors"/>
    <w:basedOn w:val="DefaultParagraphFont"/>
    <w:rsid w:val="005A5223"/>
  </w:style>
  <w:style w:type="character" w:customStyle="1" w:styleId="Date1">
    <w:name w:val="Date1"/>
    <w:basedOn w:val="DefaultParagraphFont"/>
    <w:rsid w:val="005A5223"/>
  </w:style>
  <w:style w:type="character" w:customStyle="1" w:styleId="arttitle">
    <w:name w:val="art_title"/>
    <w:basedOn w:val="DefaultParagraphFont"/>
    <w:rsid w:val="005A5223"/>
  </w:style>
  <w:style w:type="character" w:customStyle="1" w:styleId="serialtitle">
    <w:name w:val="serial_title"/>
    <w:basedOn w:val="DefaultParagraphFont"/>
    <w:rsid w:val="005A5223"/>
  </w:style>
  <w:style w:type="character" w:customStyle="1" w:styleId="volumeissue">
    <w:name w:val="volume_issue"/>
    <w:basedOn w:val="DefaultParagraphFont"/>
    <w:rsid w:val="005A5223"/>
  </w:style>
  <w:style w:type="character" w:customStyle="1" w:styleId="pagerange">
    <w:name w:val="page_range"/>
    <w:basedOn w:val="DefaultParagraphFont"/>
    <w:rsid w:val="005A5223"/>
  </w:style>
  <w:style w:type="character" w:customStyle="1" w:styleId="doilink">
    <w:name w:val="doi_link"/>
    <w:basedOn w:val="DefaultParagraphFont"/>
    <w:rsid w:val="005A5223"/>
  </w:style>
  <w:style w:type="character" w:customStyle="1" w:styleId="core-enumeration">
    <w:name w:val="core-enumeration"/>
    <w:basedOn w:val="DefaultParagraphFont"/>
    <w:rsid w:val="005A5223"/>
  </w:style>
  <w:style w:type="character" w:customStyle="1" w:styleId="delimiter">
    <w:name w:val="delimiter"/>
    <w:basedOn w:val="DefaultParagraphFont"/>
    <w:rsid w:val="005A5223"/>
  </w:style>
  <w:style w:type="character" w:customStyle="1" w:styleId="total-text">
    <w:name w:val="total-text"/>
    <w:basedOn w:val="DefaultParagraphFont"/>
    <w:rsid w:val="005A5223"/>
  </w:style>
  <w:style w:type="character" w:customStyle="1" w:styleId="accordion-tabbedtab-mobile">
    <w:name w:val="accordion-tabbed__tab-mobile"/>
    <w:basedOn w:val="DefaultParagraphFont"/>
    <w:rsid w:val="005A5223"/>
  </w:style>
  <w:style w:type="character" w:customStyle="1" w:styleId="epub-state">
    <w:name w:val="epub-state"/>
    <w:basedOn w:val="DefaultParagraphFont"/>
    <w:rsid w:val="005A5223"/>
  </w:style>
  <w:style w:type="character" w:customStyle="1" w:styleId="epub-date">
    <w:name w:val="epub-date"/>
    <w:basedOn w:val="DefaultParagraphFont"/>
    <w:rsid w:val="005A5223"/>
  </w:style>
  <w:style w:type="table" w:styleId="TableGrid">
    <w:name w:val="Table Grid"/>
    <w:basedOn w:val="TableNormal"/>
    <w:uiPriority w:val="59"/>
    <w:rsid w:val="005A5223"/>
    <w:pPr>
      <w:spacing w:after="0" w:line="240" w:lineRule="auto"/>
    </w:pPr>
    <w:rPr>
      <w:rFonts w:eastAsiaTheme="minorEastAsia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11283</Words>
  <Characters>64316</Characters>
  <Application>Microsoft Office Word</Application>
  <DocSecurity>0</DocSecurity>
  <Lines>535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2022-08-02T06:28:00Z</dcterms:created>
  <dcterms:modified xsi:type="dcterms:W3CDTF">2022-08-02T06:28:00Z</dcterms:modified>
</cp:coreProperties>
</file>