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E29D8B" w14:textId="3CF9CFD3" w:rsidR="00272C90" w:rsidRPr="00853F85" w:rsidRDefault="00272C90" w:rsidP="00272C90">
      <w:pPr>
        <w:spacing w:line="480" w:lineRule="auto"/>
        <w:rPr>
          <w:b/>
          <w:bCs/>
          <w:sz w:val="20"/>
          <w:szCs w:val="20"/>
        </w:rPr>
      </w:pPr>
      <w:r w:rsidRPr="00853F85">
        <w:rPr>
          <w:b/>
          <w:bCs/>
          <w:sz w:val="20"/>
          <w:szCs w:val="20"/>
        </w:rPr>
        <w:t>Supplemental data</w:t>
      </w:r>
    </w:p>
    <w:p w14:paraId="27C28A28" w14:textId="7534B902" w:rsidR="00272C90" w:rsidRPr="00853F85" w:rsidRDefault="002C47CD" w:rsidP="00272C90">
      <w:pPr>
        <w:spacing w:line="480" w:lineRule="auto"/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drawing>
          <wp:inline distT="0" distB="0" distL="0" distR="0" wp14:anchorId="02AA7412" wp14:editId="2C5E9971">
            <wp:extent cx="5727700" cy="366585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66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ED526" w14:textId="0B57686C" w:rsidR="00A600C9" w:rsidRPr="00853F85" w:rsidRDefault="00272C90" w:rsidP="00853F85">
      <w:pPr>
        <w:spacing w:line="480" w:lineRule="auto"/>
        <w:rPr>
          <w:sz w:val="20"/>
          <w:szCs w:val="20"/>
        </w:rPr>
      </w:pPr>
      <w:r w:rsidRPr="00853F85">
        <w:rPr>
          <w:b/>
          <w:bCs/>
          <w:sz w:val="20"/>
          <w:szCs w:val="20"/>
        </w:rPr>
        <w:t>Supplemental F</w:t>
      </w:r>
      <w:r w:rsidR="00871DF1" w:rsidRPr="00853F85">
        <w:rPr>
          <w:b/>
          <w:bCs/>
          <w:sz w:val="20"/>
          <w:szCs w:val="20"/>
        </w:rPr>
        <w:t>ig</w:t>
      </w:r>
      <w:r w:rsidR="004B5EB2" w:rsidRPr="00853F85">
        <w:rPr>
          <w:b/>
          <w:bCs/>
          <w:sz w:val="20"/>
          <w:szCs w:val="20"/>
        </w:rPr>
        <w:t>.</w:t>
      </w:r>
      <w:r w:rsidRPr="00853F85">
        <w:rPr>
          <w:b/>
          <w:bCs/>
          <w:sz w:val="20"/>
          <w:szCs w:val="20"/>
        </w:rPr>
        <w:t xml:space="preserve"> 1 </w:t>
      </w:r>
      <w:r w:rsidRPr="00853F85">
        <w:rPr>
          <w:color w:val="000000" w:themeColor="text1"/>
          <w:sz w:val="20"/>
          <w:szCs w:val="20"/>
        </w:rPr>
        <w:t xml:space="preserve">Voxel-wise frequency of tumor occurrence for LGGs in younger (n = 25, age &lt; 52 years) and older patients (n = 26, age ≥ 52 years). </w:t>
      </w:r>
      <w:r w:rsidR="00871DF1" w:rsidRPr="00853F85">
        <w:rPr>
          <w:b/>
          <w:bCs/>
          <w:color w:val="000000" w:themeColor="text1"/>
          <w:sz w:val="20"/>
          <w:szCs w:val="20"/>
        </w:rPr>
        <w:t>a</w:t>
      </w:r>
      <w:r w:rsidRPr="00853F85">
        <w:rPr>
          <w:b/>
          <w:bCs/>
          <w:color w:val="000000" w:themeColor="text1"/>
          <w:sz w:val="20"/>
          <w:szCs w:val="20"/>
        </w:rPr>
        <w:t>)</w:t>
      </w:r>
      <w:r w:rsidRPr="00853F85">
        <w:rPr>
          <w:color w:val="000000" w:themeColor="text1"/>
          <w:sz w:val="20"/>
          <w:szCs w:val="20"/>
        </w:rPr>
        <w:t xml:space="preserve"> </w:t>
      </w:r>
      <w:r w:rsidR="00536384" w:rsidRPr="00853F85">
        <w:rPr>
          <w:color w:val="000000" w:themeColor="text1"/>
          <w:sz w:val="20"/>
          <w:szCs w:val="20"/>
        </w:rPr>
        <w:t xml:space="preserve">Frequency of tumor occurrence </w:t>
      </w:r>
      <w:r w:rsidRPr="00853F85">
        <w:rPr>
          <w:color w:val="000000" w:themeColor="text1"/>
          <w:sz w:val="20"/>
          <w:szCs w:val="20"/>
        </w:rPr>
        <w:t>for LGGs in younger patient</w:t>
      </w:r>
      <w:r w:rsidR="00536384" w:rsidRPr="00853F85">
        <w:rPr>
          <w:color w:val="000000" w:themeColor="text1"/>
          <w:sz w:val="20"/>
          <w:szCs w:val="20"/>
        </w:rPr>
        <w:t>s</w:t>
      </w:r>
      <w:r w:rsidRPr="00853F85">
        <w:rPr>
          <w:color w:val="000000" w:themeColor="text1"/>
          <w:sz w:val="20"/>
          <w:szCs w:val="20"/>
        </w:rPr>
        <w:t xml:space="preserve">. </w:t>
      </w:r>
      <w:r w:rsidR="00871DF1" w:rsidRPr="00853F85">
        <w:rPr>
          <w:b/>
          <w:bCs/>
          <w:color w:val="000000" w:themeColor="text1"/>
          <w:sz w:val="20"/>
          <w:szCs w:val="20"/>
        </w:rPr>
        <w:t>b</w:t>
      </w:r>
      <w:r w:rsidRPr="00853F85">
        <w:rPr>
          <w:b/>
          <w:bCs/>
          <w:color w:val="000000" w:themeColor="text1"/>
          <w:sz w:val="20"/>
          <w:szCs w:val="20"/>
        </w:rPr>
        <w:t>)</w:t>
      </w:r>
      <w:r w:rsidRPr="00853F85">
        <w:rPr>
          <w:color w:val="000000" w:themeColor="text1"/>
          <w:sz w:val="20"/>
          <w:szCs w:val="20"/>
        </w:rPr>
        <w:t xml:space="preserve"> </w:t>
      </w:r>
      <w:r w:rsidR="00536384" w:rsidRPr="00853F85">
        <w:rPr>
          <w:color w:val="000000" w:themeColor="text1"/>
          <w:sz w:val="20"/>
          <w:szCs w:val="20"/>
        </w:rPr>
        <w:t xml:space="preserve">Frequency of tumor occurrence </w:t>
      </w:r>
      <w:r w:rsidRPr="00853F85">
        <w:rPr>
          <w:color w:val="000000" w:themeColor="text1"/>
          <w:sz w:val="20"/>
          <w:szCs w:val="20"/>
        </w:rPr>
        <w:t>for LGGs in older patients.</w:t>
      </w:r>
      <w:r w:rsidRPr="00853F85">
        <w:rPr>
          <w:color w:val="FF0000"/>
          <w:sz w:val="20"/>
          <w:szCs w:val="20"/>
        </w:rPr>
        <w:t xml:space="preserve"> </w:t>
      </w:r>
      <w:r w:rsidRPr="00853F85">
        <w:rPr>
          <w:color w:val="000000" w:themeColor="text1"/>
          <w:sz w:val="20"/>
          <w:szCs w:val="20"/>
        </w:rPr>
        <w:t xml:space="preserve">Note: </w:t>
      </w:r>
      <w:r w:rsidR="00536384" w:rsidRPr="00853F85">
        <w:rPr>
          <w:color w:val="000000" w:themeColor="text1"/>
          <w:sz w:val="20"/>
          <w:szCs w:val="20"/>
        </w:rPr>
        <w:t>A</w:t>
      </w:r>
      <w:r w:rsidRPr="00853F85">
        <w:rPr>
          <w:color w:val="000000" w:themeColor="text1"/>
          <w:sz w:val="20"/>
          <w:szCs w:val="20"/>
        </w:rPr>
        <w:t>ll ROIs in the left hemisphere are flipped to the right hemisphere</w:t>
      </w:r>
      <w:r w:rsidR="00320BAE" w:rsidRPr="00853F85">
        <w:rPr>
          <w:color w:val="000000" w:themeColor="text1"/>
          <w:sz w:val="20"/>
          <w:szCs w:val="20"/>
        </w:rPr>
        <w:t>.</w:t>
      </w:r>
    </w:p>
    <w:p w14:paraId="3A27F62E" w14:textId="77777777" w:rsidR="00871DF1" w:rsidRPr="00853F85" w:rsidRDefault="00871DF1">
      <w:pPr>
        <w:spacing w:after="160" w:line="259" w:lineRule="auto"/>
        <w:jc w:val="both"/>
        <w:rPr>
          <w:sz w:val="20"/>
          <w:szCs w:val="20"/>
        </w:rPr>
      </w:pPr>
    </w:p>
    <w:p w14:paraId="76FA0A25" w14:textId="1F048D07" w:rsidR="00272C90" w:rsidRPr="00853F85" w:rsidRDefault="002C47CD" w:rsidP="00706CA3">
      <w:pPr>
        <w:spacing w:line="480" w:lineRule="auto"/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drawing>
          <wp:inline distT="0" distB="0" distL="0" distR="0" wp14:anchorId="0CA30589" wp14:editId="2D3F956A">
            <wp:extent cx="2838801" cy="1862356"/>
            <wp:effectExtent l="0" t="0" r="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007" cy="1875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2D2FD" w14:textId="12CAE232" w:rsidR="00272C90" w:rsidRPr="00853F85" w:rsidRDefault="00272C90" w:rsidP="00272C90">
      <w:pPr>
        <w:spacing w:line="480" w:lineRule="auto"/>
        <w:rPr>
          <w:sz w:val="20"/>
          <w:szCs w:val="20"/>
        </w:rPr>
      </w:pPr>
      <w:r w:rsidRPr="00853F85">
        <w:rPr>
          <w:b/>
          <w:bCs/>
          <w:sz w:val="20"/>
          <w:szCs w:val="20"/>
        </w:rPr>
        <w:t>Supplemental F</w:t>
      </w:r>
      <w:r w:rsidR="00871DF1" w:rsidRPr="00853F85">
        <w:rPr>
          <w:b/>
          <w:bCs/>
          <w:sz w:val="20"/>
          <w:szCs w:val="20"/>
        </w:rPr>
        <w:t>ig</w:t>
      </w:r>
      <w:r w:rsidR="004B5EB2" w:rsidRPr="00853F85">
        <w:rPr>
          <w:b/>
          <w:bCs/>
          <w:sz w:val="20"/>
          <w:szCs w:val="20"/>
        </w:rPr>
        <w:t>.</w:t>
      </w:r>
      <w:r w:rsidRPr="00853F85">
        <w:rPr>
          <w:b/>
          <w:bCs/>
          <w:sz w:val="20"/>
          <w:szCs w:val="20"/>
        </w:rPr>
        <w:t xml:space="preserve"> 2 </w:t>
      </w:r>
      <w:r w:rsidRPr="00853F85">
        <w:rPr>
          <w:color w:val="000000" w:themeColor="text1"/>
          <w:sz w:val="20"/>
          <w:szCs w:val="20"/>
        </w:rPr>
        <w:t>ADIFFI statistical analysis isolates three spatially distinct clusters</w:t>
      </w:r>
      <w:r w:rsidR="004B6D1B" w:rsidRPr="00853F85">
        <w:rPr>
          <w:color w:val="000000" w:themeColor="text1"/>
          <w:sz w:val="20"/>
          <w:szCs w:val="20"/>
        </w:rPr>
        <w:t xml:space="preserve"> for different age groups</w:t>
      </w:r>
      <w:r w:rsidRPr="00853F85">
        <w:rPr>
          <w:color w:val="000000" w:themeColor="text1"/>
          <w:sz w:val="20"/>
          <w:szCs w:val="20"/>
        </w:rPr>
        <w:t>. ADIFFI statistical analysis illustrates significant clusters occurring at high frequencies</w:t>
      </w:r>
      <w:r w:rsidRPr="00853F85">
        <w:rPr>
          <w:b/>
          <w:bCs/>
          <w:color w:val="000000" w:themeColor="text1"/>
          <w:sz w:val="20"/>
          <w:szCs w:val="20"/>
        </w:rPr>
        <w:t xml:space="preserve"> </w:t>
      </w:r>
      <w:r w:rsidRPr="00853F85">
        <w:rPr>
          <w:color w:val="000000" w:themeColor="text1"/>
          <w:sz w:val="20"/>
          <w:szCs w:val="20"/>
        </w:rPr>
        <w:t xml:space="preserve">in the superior frontal gyrus, </w:t>
      </w:r>
      <w:r w:rsidR="00A17741" w:rsidRPr="00853F85">
        <w:rPr>
          <w:color w:val="000000" w:themeColor="text1"/>
          <w:sz w:val="20"/>
          <w:szCs w:val="20"/>
        </w:rPr>
        <w:t xml:space="preserve">from </w:t>
      </w:r>
      <w:r w:rsidRPr="00853F85">
        <w:rPr>
          <w:color w:val="000000" w:themeColor="text1"/>
          <w:sz w:val="20"/>
          <w:szCs w:val="20"/>
        </w:rPr>
        <w:t>the pars orbitalis to pars triangularis (the Broca’s area in the left hemisphere), and in the fusiform gyrus for LGGs in younger patient</w:t>
      </w:r>
      <w:r w:rsidR="00A17741" w:rsidRPr="00853F85">
        <w:rPr>
          <w:color w:val="000000" w:themeColor="text1"/>
          <w:sz w:val="20"/>
          <w:szCs w:val="20"/>
        </w:rPr>
        <w:t>s</w:t>
      </w:r>
      <w:r w:rsidRPr="00853F85">
        <w:rPr>
          <w:color w:val="000000" w:themeColor="text1"/>
          <w:sz w:val="20"/>
          <w:szCs w:val="20"/>
        </w:rPr>
        <w:t xml:space="preserve"> (n = 25, age &lt; 52). LGGs in older patient</w:t>
      </w:r>
      <w:r w:rsidR="00A17741" w:rsidRPr="00853F85">
        <w:rPr>
          <w:color w:val="000000" w:themeColor="text1"/>
          <w:sz w:val="20"/>
          <w:szCs w:val="20"/>
        </w:rPr>
        <w:t>s</w:t>
      </w:r>
      <w:r w:rsidRPr="00853F85">
        <w:rPr>
          <w:color w:val="000000" w:themeColor="text1"/>
          <w:sz w:val="20"/>
          <w:szCs w:val="20"/>
        </w:rPr>
        <w:t xml:space="preserve"> (n = 26, age ≥ 52 years) have no significant clusters</w:t>
      </w:r>
      <w:r w:rsidR="00320BAE" w:rsidRPr="00853F85">
        <w:rPr>
          <w:color w:val="000000" w:themeColor="text1"/>
          <w:sz w:val="20"/>
          <w:szCs w:val="20"/>
        </w:rPr>
        <w:t>.</w:t>
      </w:r>
    </w:p>
    <w:p w14:paraId="7D5B28FE" w14:textId="7E66B8CF" w:rsidR="00272C90" w:rsidRPr="00853F85" w:rsidRDefault="002C47CD" w:rsidP="002C47CD">
      <w:pPr>
        <w:spacing w:line="480" w:lineRule="auto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lastRenderedPageBreak/>
        <w:drawing>
          <wp:inline distT="0" distB="0" distL="0" distR="0" wp14:anchorId="1EFCF9C2" wp14:editId="55F04A7E">
            <wp:extent cx="5727700" cy="3665855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66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F3E72" w14:textId="1F0847E4" w:rsidR="00300D78" w:rsidRPr="00853F85" w:rsidRDefault="00272C90" w:rsidP="00272C90">
      <w:pPr>
        <w:spacing w:line="480" w:lineRule="auto"/>
        <w:rPr>
          <w:sz w:val="20"/>
          <w:szCs w:val="20"/>
        </w:rPr>
      </w:pPr>
      <w:r w:rsidRPr="00853F85">
        <w:rPr>
          <w:b/>
          <w:bCs/>
          <w:sz w:val="20"/>
          <w:szCs w:val="20"/>
        </w:rPr>
        <w:t>Supplemental F</w:t>
      </w:r>
      <w:r w:rsidR="00871DF1" w:rsidRPr="00853F85">
        <w:rPr>
          <w:b/>
          <w:bCs/>
          <w:sz w:val="20"/>
          <w:szCs w:val="20"/>
        </w:rPr>
        <w:t>ig</w:t>
      </w:r>
      <w:r w:rsidR="004B5EB2" w:rsidRPr="00853F85">
        <w:rPr>
          <w:b/>
          <w:bCs/>
          <w:sz w:val="20"/>
          <w:szCs w:val="20"/>
        </w:rPr>
        <w:t>.</w:t>
      </w:r>
      <w:r w:rsidRPr="00853F85">
        <w:rPr>
          <w:b/>
          <w:bCs/>
          <w:sz w:val="20"/>
          <w:szCs w:val="20"/>
        </w:rPr>
        <w:t xml:space="preserve"> 3 </w:t>
      </w:r>
      <w:r w:rsidRPr="00853F85">
        <w:rPr>
          <w:color w:val="000000" w:themeColor="text1"/>
          <w:sz w:val="20"/>
          <w:szCs w:val="20"/>
        </w:rPr>
        <w:t xml:space="preserve">Voxel-wise frequency of tumor occurrence for smaller (volume &lt; 29 mL) and larger LGGs (volume &gt; 29 mL). </w:t>
      </w:r>
      <w:r w:rsidR="00871DF1" w:rsidRPr="00853F85">
        <w:rPr>
          <w:b/>
          <w:bCs/>
          <w:color w:val="000000" w:themeColor="text1"/>
          <w:sz w:val="20"/>
          <w:szCs w:val="20"/>
        </w:rPr>
        <w:t>a</w:t>
      </w:r>
      <w:r w:rsidRPr="00853F85">
        <w:rPr>
          <w:b/>
          <w:bCs/>
          <w:color w:val="000000" w:themeColor="text1"/>
          <w:sz w:val="20"/>
          <w:szCs w:val="20"/>
        </w:rPr>
        <w:t>)</w:t>
      </w:r>
      <w:r w:rsidRPr="00853F85">
        <w:rPr>
          <w:color w:val="000000" w:themeColor="text1"/>
          <w:sz w:val="20"/>
          <w:szCs w:val="20"/>
        </w:rPr>
        <w:t xml:space="preserve"> </w:t>
      </w:r>
      <w:r w:rsidR="004E40EE" w:rsidRPr="00853F85">
        <w:rPr>
          <w:color w:val="000000" w:themeColor="text1"/>
          <w:sz w:val="20"/>
          <w:szCs w:val="20"/>
        </w:rPr>
        <w:t>Frequency of tumor occurrence</w:t>
      </w:r>
      <w:r w:rsidRPr="00853F85">
        <w:rPr>
          <w:color w:val="000000" w:themeColor="text1"/>
          <w:sz w:val="20"/>
          <w:szCs w:val="20"/>
        </w:rPr>
        <w:t xml:space="preserve"> for smaller LGGs. </w:t>
      </w:r>
      <w:r w:rsidR="00871DF1" w:rsidRPr="00853F85">
        <w:rPr>
          <w:b/>
          <w:bCs/>
          <w:color w:val="000000" w:themeColor="text1"/>
          <w:sz w:val="20"/>
          <w:szCs w:val="20"/>
        </w:rPr>
        <w:t>b</w:t>
      </w:r>
      <w:r w:rsidRPr="00853F85">
        <w:rPr>
          <w:b/>
          <w:bCs/>
          <w:color w:val="000000" w:themeColor="text1"/>
          <w:sz w:val="20"/>
          <w:szCs w:val="20"/>
        </w:rPr>
        <w:t>)</w:t>
      </w:r>
      <w:r w:rsidRPr="00853F85">
        <w:rPr>
          <w:color w:val="000000" w:themeColor="text1"/>
          <w:sz w:val="20"/>
          <w:szCs w:val="20"/>
        </w:rPr>
        <w:t xml:space="preserve"> </w:t>
      </w:r>
      <w:r w:rsidR="004E40EE" w:rsidRPr="00853F85">
        <w:rPr>
          <w:color w:val="000000" w:themeColor="text1"/>
          <w:sz w:val="20"/>
          <w:szCs w:val="20"/>
        </w:rPr>
        <w:t xml:space="preserve">Frequency of tumor occurrence </w:t>
      </w:r>
      <w:r w:rsidRPr="00853F85">
        <w:rPr>
          <w:color w:val="000000" w:themeColor="text1"/>
          <w:sz w:val="20"/>
          <w:szCs w:val="20"/>
        </w:rPr>
        <w:t xml:space="preserve">for larger LGGs. Note: </w:t>
      </w:r>
      <w:r w:rsidR="00A17741" w:rsidRPr="00853F85">
        <w:rPr>
          <w:color w:val="000000" w:themeColor="text1"/>
          <w:sz w:val="20"/>
          <w:szCs w:val="20"/>
        </w:rPr>
        <w:t>A</w:t>
      </w:r>
      <w:r w:rsidRPr="00853F85">
        <w:rPr>
          <w:color w:val="000000" w:themeColor="text1"/>
          <w:sz w:val="20"/>
          <w:szCs w:val="20"/>
        </w:rPr>
        <w:t>ll ROIs in the left hemisphere are flipped to the right hemisphere</w:t>
      </w:r>
      <w:r w:rsidR="00320BAE" w:rsidRPr="00853F85">
        <w:rPr>
          <w:color w:val="000000" w:themeColor="text1"/>
          <w:sz w:val="20"/>
          <w:szCs w:val="20"/>
        </w:rPr>
        <w:t>.</w:t>
      </w:r>
    </w:p>
    <w:p w14:paraId="64FDF8DF" w14:textId="45CCD2C3" w:rsidR="00853F85" w:rsidRDefault="00853F85" w:rsidP="005F32C4">
      <w:pPr>
        <w:spacing w:after="160" w:line="259" w:lineRule="auto"/>
        <w:jc w:val="both"/>
        <w:rPr>
          <w:sz w:val="20"/>
          <w:szCs w:val="20"/>
        </w:rPr>
      </w:pPr>
    </w:p>
    <w:p w14:paraId="5DBE5C87" w14:textId="77777777" w:rsidR="002C47CD" w:rsidRPr="00853F85" w:rsidRDefault="002C47CD" w:rsidP="005F32C4">
      <w:pPr>
        <w:spacing w:after="160" w:line="259" w:lineRule="auto"/>
        <w:jc w:val="both"/>
        <w:rPr>
          <w:sz w:val="20"/>
          <w:szCs w:val="20"/>
        </w:rPr>
      </w:pPr>
    </w:p>
    <w:p w14:paraId="066FD037" w14:textId="7C656E2A" w:rsidR="00272C90" w:rsidRPr="00853F85" w:rsidRDefault="002C47CD" w:rsidP="00272C90">
      <w:pPr>
        <w:spacing w:line="480" w:lineRule="auto"/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drawing>
          <wp:inline distT="0" distB="0" distL="0" distR="0" wp14:anchorId="5A404535" wp14:editId="243AA256">
            <wp:extent cx="2835478" cy="1991750"/>
            <wp:effectExtent l="0" t="0" r="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051" cy="200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B2751" w14:textId="642997C5" w:rsidR="00706CA3" w:rsidRPr="00853F85" w:rsidRDefault="00272C90" w:rsidP="00272C90">
      <w:pPr>
        <w:spacing w:line="480" w:lineRule="auto"/>
        <w:rPr>
          <w:sz w:val="20"/>
          <w:szCs w:val="20"/>
        </w:rPr>
      </w:pPr>
      <w:r w:rsidRPr="00853F85">
        <w:rPr>
          <w:b/>
          <w:bCs/>
          <w:sz w:val="20"/>
          <w:szCs w:val="20"/>
        </w:rPr>
        <w:t>Supplemental F</w:t>
      </w:r>
      <w:r w:rsidR="00871DF1" w:rsidRPr="00853F85">
        <w:rPr>
          <w:b/>
          <w:bCs/>
          <w:sz w:val="20"/>
          <w:szCs w:val="20"/>
        </w:rPr>
        <w:t>ig</w:t>
      </w:r>
      <w:r w:rsidR="004B5EB2" w:rsidRPr="00853F85">
        <w:rPr>
          <w:b/>
          <w:bCs/>
          <w:sz w:val="20"/>
          <w:szCs w:val="20"/>
        </w:rPr>
        <w:t>.</w:t>
      </w:r>
      <w:r w:rsidRPr="00853F85">
        <w:rPr>
          <w:b/>
          <w:bCs/>
          <w:sz w:val="20"/>
          <w:szCs w:val="20"/>
        </w:rPr>
        <w:t xml:space="preserve"> 4 </w:t>
      </w:r>
      <w:r w:rsidRPr="00853F85">
        <w:rPr>
          <w:color w:val="000000" w:themeColor="text1"/>
          <w:sz w:val="20"/>
          <w:szCs w:val="20"/>
        </w:rPr>
        <w:t>ADIFFI statistical analysis isolates several spatially distinct clusters</w:t>
      </w:r>
      <w:r w:rsidR="004B6D1B" w:rsidRPr="00853F85">
        <w:rPr>
          <w:color w:val="000000" w:themeColor="text1"/>
          <w:sz w:val="20"/>
          <w:szCs w:val="20"/>
        </w:rPr>
        <w:t xml:space="preserve"> for different tumor volume</w:t>
      </w:r>
      <w:r w:rsidRPr="00853F85">
        <w:rPr>
          <w:color w:val="000000" w:themeColor="text1"/>
          <w:sz w:val="20"/>
          <w:szCs w:val="20"/>
        </w:rPr>
        <w:t>. All clusters occur at high frequencies for larger LGGs (volume &gt; 29 mL). Smaller LGGs (volume &lt; 29 mL) have no significant clusters</w:t>
      </w:r>
      <w:r w:rsidR="002C47CD">
        <w:rPr>
          <w:color w:val="000000" w:themeColor="text1"/>
          <w:sz w:val="20"/>
          <w:szCs w:val="20"/>
        </w:rPr>
        <w:t>.</w:t>
      </w:r>
    </w:p>
    <w:p w14:paraId="4D446962" w14:textId="7C7FCB24" w:rsidR="00871DF1" w:rsidRPr="00320BAE" w:rsidRDefault="002C47CD" w:rsidP="00272C90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4DA127CD" wp14:editId="019C104E">
            <wp:extent cx="5727700" cy="3665855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66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70E23" w14:textId="798E79E4" w:rsidR="00853F85" w:rsidRDefault="00EB44E9" w:rsidP="00F80DD9">
      <w:pPr>
        <w:spacing w:line="480" w:lineRule="auto"/>
        <w:rPr>
          <w:color w:val="000000" w:themeColor="text1"/>
          <w:sz w:val="20"/>
          <w:szCs w:val="20"/>
        </w:rPr>
      </w:pPr>
      <w:r w:rsidRPr="00853F85">
        <w:rPr>
          <w:b/>
          <w:bCs/>
          <w:sz w:val="20"/>
          <w:szCs w:val="20"/>
        </w:rPr>
        <w:t>Supplemental Fig</w:t>
      </w:r>
      <w:r w:rsidR="004B5EB2" w:rsidRPr="00853F85">
        <w:rPr>
          <w:b/>
          <w:bCs/>
          <w:sz w:val="20"/>
          <w:szCs w:val="20"/>
        </w:rPr>
        <w:t>.</w:t>
      </w:r>
      <w:r w:rsidRPr="00853F85">
        <w:rPr>
          <w:b/>
          <w:bCs/>
          <w:sz w:val="20"/>
          <w:szCs w:val="20"/>
        </w:rPr>
        <w:t xml:space="preserve"> 5 </w:t>
      </w:r>
      <w:r w:rsidRPr="00853F85">
        <w:rPr>
          <w:color w:val="000000" w:themeColor="text1"/>
          <w:sz w:val="20"/>
          <w:szCs w:val="20"/>
        </w:rPr>
        <w:t xml:space="preserve">Voxel-wise frequency of tumor occurrence for smaller (BTV &lt; 0.22 mL) and larger LGGs (BTV &gt; 0.22 mL). </w:t>
      </w:r>
      <w:r w:rsidRPr="00853F85">
        <w:rPr>
          <w:b/>
          <w:bCs/>
          <w:color w:val="000000" w:themeColor="text1"/>
          <w:sz w:val="20"/>
          <w:szCs w:val="20"/>
        </w:rPr>
        <w:t>a)</w:t>
      </w:r>
      <w:r w:rsidRPr="00853F85">
        <w:rPr>
          <w:color w:val="000000" w:themeColor="text1"/>
          <w:sz w:val="20"/>
          <w:szCs w:val="20"/>
        </w:rPr>
        <w:t xml:space="preserve"> Frequency of tumor occurrence for smaller LGGs (BTV &lt; 0.22 mL). </w:t>
      </w:r>
      <w:r w:rsidRPr="00853F85">
        <w:rPr>
          <w:b/>
          <w:bCs/>
          <w:color w:val="000000" w:themeColor="text1"/>
          <w:sz w:val="20"/>
          <w:szCs w:val="20"/>
        </w:rPr>
        <w:t>b)</w:t>
      </w:r>
      <w:r w:rsidRPr="00853F85">
        <w:rPr>
          <w:color w:val="000000" w:themeColor="text1"/>
          <w:sz w:val="20"/>
          <w:szCs w:val="20"/>
        </w:rPr>
        <w:t xml:space="preserve"> Frequency of tumor occurrence for larger LGGs (BTV &gt; 0.22 mL). ADIFFI statistical analysis isolates no spatially distinct clusters between gliomas with different BTV. Note: All ROIs in the left hemisphere are flipped to the right hemisphere</w:t>
      </w:r>
      <w:r w:rsidR="00320BAE" w:rsidRPr="00853F85">
        <w:rPr>
          <w:color w:val="000000" w:themeColor="text1"/>
          <w:sz w:val="20"/>
          <w:szCs w:val="20"/>
        </w:rPr>
        <w:t>.</w:t>
      </w:r>
    </w:p>
    <w:p w14:paraId="2DDE63C4" w14:textId="41AA8D75" w:rsidR="00320BAE" w:rsidRDefault="00320BAE" w:rsidP="00853F85">
      <w:pPr>
        <w:spacing w:after="160" w:line="259" w:lineRule="auto"/>
        <w:jc w:val="both"/>
        <w:rPr>
          <w:color w:val="000000" w:themeColor="text1"/>
          <w:sz w:val="20"/>
          <w:szCs w:val="20"/>
        </w:rPr>
      </w:pPr>
    </w:p>
    <w:p w14:paraId="47019F3D" w14:textId="2446C9EB" w:rsidR="002C47CD" w:rsidRDefault="002C47CD" w:rsidP="00853F85">
      <w:pPr>
        <w:spacing w:after="160" w:line="259" w:lineRule="auto"/>
        <w:jc w:val="both"/>
        <w:rPr>
          <w:color w:val="000000" w:themeColor="text1"/>
          <w:sz w:val="20"/>
          <w:szCs w:val="20"/>
        </w:rPr>
      </w:pPr>
    </w:p>
    <w:p w14:paraId="4ABCFF48" w14:textId="4F9A4EDD" w:rsidR="002C47CD" w:rsidRDefault="002C47CD" w:rsidP="00853F85">
      <w:pPr>
        <w:spacing w:after="160" w:line="259" w:lineRule="auto"/>
        <w:jc w:val="both"/>
        <w:rPr>
          <w:color w:val="000000" w:themeColor="text1"/>
          <w:sz w:val="20"/>
          <w:szCs w:val="20"/>
        </w:rPr>
      </w:pPr>
    </w:p>
    <w:p w14:paraId="6DD048BA" w14:textId="6A82FC9B" w:rsidR="002C47CD" w:rsidRDefault="002C47CD" w:rsidP="00853F85">
      <w:pPr>
        <w:spacing w:after="160" w:line="259" w:lineRule="auto"/>
        <w:jc w:val="both"/>
        <w:rPr>
          <w:color w:val="000000" w:themeColor="text1"/>
          <w:sz w:val="20"/>
          <w:szCs w:val="20"/>
        </w:rPr>
      </w:pPr>
    </w:p>
    <w:p w14:paraId="3E21BC05" w14:textId="2F36F35E" w:rsidR="002C47CD" w:rsidRDefault="002C47CD" w:rsidP="00853F85">
      <w:pPr>
        <w:spacing w:after="160" w:line="259" w:lineRule="auto"/>
        <w:jc w:val="both"/>
        <w:rPr>
          <w:color w:val="000000" w:themeColor="text1"/>
          <w:sz w:val="20"/>
          <w:szCs w:val="20"/>
        </w:rPr>
      </w:pPr>
    </w:p>
    <w:p w14:paraId="6A233809" w14:textId="77777777" w:rsidR="002C47CD" w:rsidRPr="00853F85" w:rsidRDefault="002C47CD" w:rsidP="00853F85">
      <w:pPr>
        <w:spacing w:after="160" w:line="259" w:lineRule="auto"/>
        <w:jc w:val="both"/>
        <w:rPr>
          <w:color w:val="000000" w:themeColor="text1"/>
          <w:sz w:val="20"/>
          <w:szCs w:val="20"/>
        </w:rPr>
      </w:pPr>
    </w:p>
    <w:p w14:paraId="35D61F7F" w14:textId="0DA08553" w:rsidR="00272C90" w:rsidRPr="00320BAE" w:rsidRDefault="002C47CD" w:rsidP="00300D78">
      <w:pPr>
        <w:spacing w:line="480" w:lineRule="auto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622766B1" wp14:editId="5B510507">
            <wp:extent cx="5727700" cy="244411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44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6CC58" w14:textId="47A61FDC" w:rsidR="00272C90" w:rsidRPr="00853F85" w:rsidRDefault="00272C90" w:rsidP="00272C90">
      <w:pPr>
        <w:spacing w:line="480" w:lineRule="auto"/>
        <w:rPr>
          <w:b/>
          <w:bCs/>
          <w:sz w:val="20"/>
          <w:szCs w:val="20"/>
        </w:rPr>
      </w:pPr>
      <w:r w:rsidRPr="00853F85">
        <w:rPr>
          <w:b/>
          <w:bCs/>
          <w:sz w:val="20"/>
          <w:szCs w:val="20"/>
        </w:rPr>
        <w:t>Supplemental F</w:t>
      </w:r>
      <w:r w:rsidR="00871DF1" w:rsidRPr="00853F85">
        <w:rPr>
          <w:b/>
          <w:bCs/>
          <w:sz w:val="20"/>
          <w:szCs w:val="20"/>
        </w:rPr>
        <w:t>ig</w:t>
      </w:r>
      <w:r w:rsidR="004B5EB2" w:rsidRPr="00853F85">
        <w:rPr>
          <w:b/>
          <w:bCs/>
          <w:sz w:val="20"/>
          <w:szCs w:val="20"/>
        </w:rPr>
        <w:t>.</w:t>
      </w:r>
      <w:r w:rsidRPr="00853F85">
        <w:rPr>
          <w:b/>
          <w:bCs/>
          <w:sz w:val="20"/>
          <w:szCs w:val="20"/>
        </w:rPr>
        <w:t xml:space="preserve"> </w:t>
      </w:r>
      <w:r w:rsidR="00EB44E9" w:rsidRPr="00853F85">
        <w:rPr>
          <w:b/>
          <w:bCs/>
          <w:sz w:val="20"/>
          <w:szCs w:val="20"/>
        </w:rPr>
        <w:t>6</w:t>
      </w:r>
      <w:r w:rsidRPr="00853F85">
        <w:rPr>
          <w:b/>
          <w:bCs/>
          <w:sz w:val="20"/>
          <w:szCs w:val="20"/>
        </w:rPr>
        <w:t xml:space="preserve"> </w:t>
      </w:r>
      <w:r w:rsidRPr="00853F85">
        <w:rPr>
          <w:color w:val="000000" w:themeColor="text1"/>
          <w:sz w:val="20"/>
          <w:szCs w:val="20"/>
        </w:rPr>
        <w:t xml:space="preserve">Voxel-wise frequency of tumor occurrence for LGGs with IDH wild-type (n = 21), mutant 1p19q non-codeleted (n = 16), and mutant 1p19q codeleted (n = 14). </w:t>
      </w:r>
      <w:r w:rsidR="00871DF1" w:rsidRPr="00853F85">
        <w:rPr>
          <w:b/>
          <w:bCs/>
          <w:color w:val="000000" w:themeColor="text1"/>
          <w:sz w:val="20"/>
          <w:szCs w:val="20"/>
        </w:rPr>
        <w:t>a</w:t>
      </w:r>
      <w:r w:rsidRPr="00853F85">
        <w:rPr>
          <w:b/>
          <w:bCs/>
          <w:color w:val="000000" w:themeColor="text1"/>
          <w:sz w:val="20"/>
          <w:szCs w:val="20"/>
        </w:rPr>
        <w:t>)</w:t>
      </w:r>
      <w:r w:rsidRPr="00853F85">
        <w:rPr>
          <w:color w:val="000000" w:themeColor="text1"/>
          <w:sz w:val="20"/>
          <w:szCs w:val="20"/>
        </w:rPr>
        <w:t xml:space="preserve"> </w:t>
      </w:r>
      <w:r w:rsidR="004E40EE" w:rsidRPr="00853F85">
        <w:rPr>
          <w:color w:val="000000" w:themeColor="text1"/>
          <w:sz w:val="20"/>
          <w:szCs w:val="20"/>
        </w:rPr>
        <w:t xml:space="preserve">Frequency of tumor occurrence </w:t>
      </w:r>
      <w:r w:rsidRPr="00853F85">
        <w:rPr>
          <w:color w:val="000000" w:themeColor="text1"/>
          <w:sz w:val="20"/>
          <w:szCs w:val="20"/>
        </w:rPr>
        <w:t xml:space="preserve">for LGGs with IDH wild-type. </w:t>
      </w:r>
      <w:r w:rsidR="00871DF1" w:rsidRPr="00853F85">
        <w:rPr>
          <w:b/>
          <w:bCs/>
          <w:color w:val="000000" w:themeColor="text1"/>
          <w:sz w:val="20"/>
          <w:szCs w:val="20"/>
        </w:rPr>
        <w:t>b</w:t>
      </w:r>
      <w:r w:rsidRPr="00853F85">
        <w:rPr>
          <w:b/>
          <w:bCs/>
          <w:color w:val="000000" w:themeColor="text1"/>
          <w:sz w:val="20"/>
          <w:szCs w:val="20"/>
        </w:rPr>
        <w:t>)</w:t>
      </w:r>
      <w:r w:rsidRPr="00853F85">
        <w:rPr>
          <w:color w:val="000000" w:themeColor="text1"/>
          <w:sz w:val="20"/>
          <w:szCs w:val="20"/>
        </w:rPr>
        <w:t xml:space="preserve"> </w:t>
      </w:r>
      <w:r w:rsidR="004E40EE" w:rsidRPr="00853F85">
        <w:rPr>
          <w:color w:val="000000" w:themeColor="text1"/>
          <w:sz w:val="20"/>
          <w:szCs w:val="20"/>
        </w:rPr>
        <w:t xml:space="preserve">Frequency of tumor occurrence </w:t>
      </w:r>
      <w:r w:rsidRPr="00853F85">
        <w:rPr>
          <w:color w:val="000000" w:themeColor="text1"/>
          <w:sz w:val="20"/>
          <w:szCs w:val="20"/>
        </w:rPr>
        <w:t>for LGGs with IDH mutant 1p19q non-codeleted.</w:t>
      </w:r>
      <w:r w:rsidRPr="00853F85">
        <w:rPr>
          <w:color w:val="FF0000"/>
          <w:sz w:val="20"/>
          <w:szCs w:val="20"/>
        </w:rPr>
        <w:t xml:space="preserve"> </w:t>
      </w:r>
      <w:r w:rsidR="00871DF1" w:rsidRPr="00853F85">
        <w:rPr>
          <w:b/>
          <w:bCs/>
          <w:color w:val="000000" w:themeColor="text1"/>
          <w:sz w:val="20"/>
          <w:szCs w:val="20"/>
        </w:rPr>
        <w:t>c</w:t>
      </w:r>
      <w:r w:rsidRPr="00853F85">
        <w:rPr>
          <w:b/>
          <w:bCs/>
          <w:color w:val="000000" w:themeColor="text1"/>
          <w:sz w:val="20"/>
          <w:szCs w:val="20"/>
        </w:rPr>
        <w:t>)</w:t>
      </w:r>
      <w:r w:rsidRPr="00853F85">
        <w:rPr>
          <w:color w:val="000000" w:themeColor="text1"/>
          <w:sz w:val="20"/>
          <w:szCs w:val="20"/>
        </w:rPr>
        <w:t xml:space="preserve"> </w:t>
      </w:r>
      <w:r w:rsidR="004E40EE" w:rsidRPr="00853F85">
        <w:rPr>
          <w:color w:val="000000" w:themeColor="text1"/>
          <w:sz w:val="20"/>
          <w:szCs w:val="20"/>
        </w:rPr>
        <w:t xml:space="preserve">Frequency of tumor occurrence </w:t>
      </w:r>
      <w:r w:rsidRPr="00853F85">
        <w:rPr>
          <w:color w:val="000000" w:themeColor="text1"/>
          <w:sz w:val="20"/>
          <w:szCs w:val="20"/>
        </w:rPr>
        <w:t>for LGGs with IDH mutant 1p19q codeleted. ADIFFI statistical analysis isolates no spatially distinct clusters between either pair of different molecular status</w:t>
      </w:r>
      <w:r w:rsidR="00A17741" w:rsidRPr="00853F85">
        <w:rPr>
          <w:color w:val="000000" w:themeColor="text1"/>
          <w:sz w:val="20"/>
          <w:szCs w:val="20"/>
        </w:rPr>
        <w:t>es</w:t>
      </w:r>
      <w:r w:rsidRPr="00853F85">
        <w:rPr>
          <w:color w:val="000000" w:themeColor="text1"/>
          <w:sz w:val="20"/>
          <w:szCs w:val="20"/>
        </w:rPr>
        <w:t xml:space="preserve">. Note: </w:t>
      </w:r>
      <w:r w:rsidR="004E40EE" w:rsidRPr="00853F85">
        <w:rPr>
          <w:color w:val="000000" w:themeColor="text1"/>
          <w:sz w:val="20"/>
          <w:szCs w:val="20"/>
        </w:rPr>
        <w:t>A</w:t>
      </w:r>
      <w:r w:rsidRPr="00853F85">
        <w:rPr>
          <w:color w:val="000000" w:themeColor="text1"/>
          <w:sz w:val="20"/>
          <w:szCs w:val="20"/>
        </w:rPr>
        <w:t>ll ROIs in the left hemisphere are flipped to the right hemisphere</w:t>
      </w:r>
      <w:r w:rsidR="00320BAE" w:rsidRPr="00853F85">
        <w:rPr>
          <w:color w:val="000000" w:themeColor="text1"/>
          <w:sz w:val="20"/>
          <w:szCs w:val="20"/>
        </w:rPr>
        <w:t>.</w:t>
      </w:r>
    </w:p>
    <w:p w14:paraId="27DA1B9F" w14:textId="77777777" w:rsidR="00272C90" w:rsidRPr="006F2DA5" w:rsidRDefault="00272C90" w:rsidP="00272C90">
      <w:pPr>
        <w:spacing w:line="480" w:lineRule="auto"/>
        <w:rPr>
          <w:b/>
          <w:bCs/>
          <w:sz w:val="20"/>
          <w:szCs w:val="20"/>
        </w:rPr>
      </w:pPr>
      <w:r w:rsidRPr="00F90566">
        <w:rPr>
          <w:b/>
          <w:bCs/>
          <w:sz w:val="20"/>
          <w:szCs w:val="20"/>
        </w:rPr>
        <w:br w:type="page"/>
      </w:r>
    </w:p>
    <w:tbl>
      <w:tblPr>
        <w:tblW w:w="10549" w:type="dxa"/>
        <w:jc w:val="center"/>
        <w:tblLook w:val="04A0" w:firstRow="1" w:lastRow="0" w:firstColumn="1" w:lastColumn="0" w:noHBand="0" w:noVBand="1"/>
      </w:tblPr>
      <w:tblGrid>
        <w:gridCol w:w="661"/>
        <w:gridCol w:w="687"/>
        <w:gridCol w:w="483"/>
        <w:gridCol w:w="599"/>
        <w:gridCol w:w="1170"/>
        <w:gridCol w:w="900"/>
        <w:gridCol w:w="2250"/>
        <w:gridCol w:w="847"/>
        <w:gridCol w:w="856"/>
        <w:gridCol w:w="1484"/>
        <w:gridCol w:w="829"/>
      </w:tblGrid>
      <w:tr w:rsidR="00871DF1" w:rsidRPr="00871DF1" w14:paraId="11C62131" w14:textId="77777777" w:rsidTr="00871DF1">
        <w:trPr>
          <w:trHeight w:val="200"/>
          <w:jc w:val="center"/>
        </w:trPr>
        <w:tc>
          <w:tcPr>
            <w:tcW w:w="45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ADBC8" w14:textId="1EA9C41F" w:rsidR="00871DF1" w:rsidRPr="00871DF1" w:rsidRDefault="00871DF1" w:rsidP="00871DF1">
            <w:pPr>
              <w:rPr>
                <w:sz w:val="16"/>
                <w:szCs w:val="16"/>
              </w:rPr>
            </w:pPr>
            <w:r w:rsidRPr="00871DF1">
              <w:rPr>
                <w:b/>
                <w:bCs/>
                <w:color w:val="000000"/>
                <w:sz w:val="16"/>
                <w:szCs w:val="16"/>
              </w:rPr>
              <w:lastRenderedPageBreak/>
              <w:t>Supplemental Table 1</w:t>
            </w:r>
            <w:r w:rsidRPr="00871DF1">
              <w:rPr>
                <w:color w:val="000000"/>
                <w:sz w:val="16"/>
                <w:szCs w:val="16"/>
              </w:rPr>
              <w:t xml:space="preserve"> Detailed patient demographics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E676A" w14:textId="77777777" w:rsidR="00871DF1" w:rsidRPr="00871DF1" w:rsidRDefault="00871DF1" w:rsidP="00871D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22C97" w14:textId="77777777" w:rsidR="00871DF1" w:rsidRPr="00871DF1" w:rsidRDefault="00871DF1" w:rsidP="00871DF1">
            <w:pPr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589F3" w14:textId="77777777" w:rsidR="00871DF1" w:rsidRPr="00871DF1" w:rsidRDefault="00871DF1" w:rsidP="00871DF1">
            <w:pPr>
              <w:rPr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A1B1A" w14:textId="77777777" w:rsidR="00871DF1" w:rsidRPr="00871DF1" w:rsidRDefault="00871DF1" w:rsidP="00871DF1">
            <w:pPr>
              <w:rPr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7687" w14:textId="77777777" w:rsidR="00871DF1" w:rsidRPr="00871DF1" w:rsidRDefault="00871DF1" w:rsidP="00871DF1">
            <w:pPr>
              <w:rPr>
                <w:sz w:val="16"/>
                <w:szCs w:val="16"/>
              </w:rPr>
            </w:pPr>
          </w:p>
        </w:tc>
      </w:tr>
      <w:tr w:rsidR="00871DF1" w:rsidRPr="00871DF1" w14:paraId="3BAF49A6" w14:textId="77777777" w:rsidTr="00871DF1">
        <w:trPr>
          <w:trHeight w:val="440"/>
          <w:jc w:val="center"/>
        </w:trPr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409E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Patient ID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D9A9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Sex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19138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Age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CC173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WHO grade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623C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IDH mutation status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78E23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1p/19q codeletion status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4D6DE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Initial symptom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3C9C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FDOPA metabolic states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0FD969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Surgical procedure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148B59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Date between PET scan and censored date (day)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32DF59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Final status</w:t>
            </w:r>
          </w:p>
        </w:tc>
      </w:tr>
      <w:tr w:rsidR="00871DF1" w:rsidRPr="00871DF1" w14:paraId="3C0A2063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949E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2D7D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C022E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C7C86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1E40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Wild type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638C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–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D5919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00B5E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F59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Biopsy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A263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860E6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LFU</w:t>
            </w:r>
          </w:p>
        </w:tc>
      </w:tr>
      <w:tr w:rsidR="00871DF1" w:rsidRPr="00871DF1" w14:paraId="60060C53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93EB8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800F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AFCB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D0C23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75BAD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Wild type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E83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–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C92A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36F0E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84A1E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05F88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642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96F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LFU</w:t>
            </w:r>
          </w:p>
        </w:tc>
      </w:tr>
      <w:tr w:rsidR="00871DF1" w:rsidRPr="00871DF1" w14:paraId="34673D7C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3B0A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C0096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F23C8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665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7B7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Wild type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45DD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–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533F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Other neurological symptoms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186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CD05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10719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1441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A2918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Deceased</w:t>
            </w:r>
          </w:p>
        </w:tc>
      </w:tr>
      <w:tr w:rsidR="00871DF1" w:rsidRPr="00871DF1" w14:paraId="34CCA196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E87A0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5ED32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9A2E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6EF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D5EC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Wild type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A296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–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3FD5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Other neurological symptoms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8632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E27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A35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187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EF07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871DF1" w:rsidRPr="00871DF1" w14:paraId="3AD610F6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FB77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EC82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F55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DA44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529C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Wild type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101F9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–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59443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Focal neurological deficit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589E8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872A2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7350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263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EA25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871DF1" w:rsidRPr="00871DF1" w14:paraId="25EE1E1B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579C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E5C1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F445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E2FC6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9B2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Wild type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C8B19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–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12D0D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Focal neurological deficit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A25F0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E365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Biopsy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76C6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488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6086E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LFU</w:t>
            </w:r>
          </w:p>
        </w:tc>
      </w:tr>
      <w:tr w:rsidR="00871DF1" w:rsidRPr="00871DF1" w14:paraId="215A94BB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C9D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741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B12D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E60F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B2A5D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Wild type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51FE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–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C7C0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Headache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9E5DE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5CAE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Biopsy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2953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391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0BC6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Deceased</w:t>
            </w:r>
          </w:p>
        </w:tc>
      </w:tr>
      <w:tr w:rsidR="00871DF1" w:rsidRPr="00871DF1" w14:paraId="612A0F55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88FB2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D574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76A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9282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54D76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Wild type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968AE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–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1B99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ADD82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0886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E093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796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4AAD3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Deceased</w:t>
            </w:r>
          </w:p>
        </w:tc>
      </w:tr>
      <w:tr w:rsidR="00871DF1" w:rsidRPr="00871DF1" w14:paraId="271F76F7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B0FF0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F3EC8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85B4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22D06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6199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Wild type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1A57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–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531ED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9225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679B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8E1F6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722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16AE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Deceased</w:t>
            </w:r>
          </w:p>
        </w:tc>
      </w:tr>
      <w:tr w:rsidR="00871DF1" w:rsidRPr="00871DF1" w14:paraId="360C4618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A13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BCF3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A032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76DD2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CE0C9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Wild type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8748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–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A71E0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Other neurological symptoms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F5F5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529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2375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1361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895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LFU</w:t>
            </w:r>
          </w:p>
        </w:tc>
      </w:tr>
      <w:tr w:rsidR="00871DF1" w:rsidRPr="00871DF1" w14:paraId="51914C43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9DEFD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C425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9C072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8C222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C81B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Wild type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605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–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5630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56A9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8367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6CB8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AACB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Deceased</w:t>
            </w:r>
          </w:p>
        </w:tc>
      </w:tr>
      <w:tr w:rsidR="00871DF1" w:rsidRPr="00871DF1" w14:paraId="08C36276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7875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129F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3DC7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EBFF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739AD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Wild type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C7E9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–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1FB9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Other neurological symptoms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CBBCD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D5DF2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E8C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875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3E84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Deceased</w:t>
            </w:r>
          </w:p>
        </w:tc>
      </w:tr>
      <w:tr w:rsidR="00871DF1" w:rsidRPr="00871DF1" w14:paraId="7C28F9CC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4FAD8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8103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36028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CA54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CE729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Wild type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CF858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–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029C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Incidental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E862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DC3D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GTR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D222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1594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35EC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871DF1" w:rsidRPr="00871DF1" w14:paraId="2C98420F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3F5B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5D820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1266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A40A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F831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Wild type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5C2B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–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B653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678C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4FC1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8088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A9F26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LFU</w:t>
            </w:r>
          </w:p>
        </w:tc>
      </w:tr>
      <w:tr w:rsidR="00871DF1" w:rsidRPr="00871DF1" w14:paraId="28DFCFA7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F756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F9FC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20AC3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3906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8077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Wild type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3AC69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–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10D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5A428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78372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AA25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226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32CF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LFU</w:t>
            </w:r>
          </w:p>
        </w:tc>
      </w:tr>
      <w:tr w:rsidR="00871DF1" w:rsidRPr="00871DF1" w14:paraId="6DD93553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DF2B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42C8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DABD6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5F45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B0E3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Wild type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D035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–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5CC4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Other neurological symptoms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B08D3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E6D9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F9CF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145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5786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871DF1" w:rsidRPr="00871DF1" w14:paraId="45EE5C01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FA18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53D0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B56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5AF99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E3423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Mutant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D4FE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Non-codel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1E98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Incidental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9539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8EB9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3BD3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1790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DC3D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871DF1" w:rsidRPr="00871DF1" w14:paraId="66D05E89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C70D9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2108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18AE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B652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BA2D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Mutant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4452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Non-codel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E168D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40533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5788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2ECB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747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059C3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871DF1" w:rsidRPr="00871DF1" w14:paraId="0136579E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79FA9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4F3D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AF943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952B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7D68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Mutant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CF56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Non-codel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EF810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Focal neurological deficit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F458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D2A2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Biopsy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F907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347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598DD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LFU</w:t>
            </w:r>
          </w:p>
        </w:tc>
      </w:tr>
      <w:tr w:rsidR="00871DF1" w:rsidRPr="00871DF1" w14:paraId="3AEDE51E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BE94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1B21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265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BB0E0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D5B3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Mutant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135A8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Non-codel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43E5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8F81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315D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A115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1336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9CA2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LFU</w:t>
            </w:r>
          </w:p>
        </w:tc>
      </w:tr>
      <w:tr w:rsidR="00871DF1" w:rsidRPr="00871DF1" w14:paraId="3E4A30E8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B89D0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C93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DA528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5E47E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A47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Mutant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067C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Non-codel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935B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Incidental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FCA09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6997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9DD59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159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D498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871DF1" w:rsidRPr="00871DF1" w14:paraId="69A3EAF5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19F6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7B88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E0F0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B3A3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63B50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Mutant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E16E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Non-codel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31AD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8A0CD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DA1F9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BD4EE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712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47186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871DF1" w:rsidRPr="00871DF1" w14:paraId="6D92E757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9AB92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CF76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ED063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D3CB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FB8C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Mutant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1C61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Non-codel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924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C9C0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E978D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DD0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4497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LFU</w:t>
            </w:r>
          </w:p>
        </w:tc>
      </w:tr>
      <w:tr w:rsidR="00871DF1" w:rsidRPr="00871DF1" w14:paraId="3274BDF9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1ECA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0291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4010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46952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961E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Mutant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CCE9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Non-codel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DD57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Headache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20313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CE47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68CFE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502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BB03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871DF1" w:rsidRPr="00871DF1" w14:paraId="3E95EEA3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BA92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A46F6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10FA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592D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6C3F9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Mutant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9233E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Non-codel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9B7B3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Headache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90E0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B8DF0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Biopsy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0BE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1149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25CF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LFU</w:t>
            </w:r>
          </w:p>
        </w:tc>
      </w:tr>
      <w:tr w:rsidR="00871DF1" w:rsidRPr="00871DF1" w14:paraId="0D570904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0BAC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57A3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DEA26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76C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60C10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Mutant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96BD9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Non-codel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39D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Focal neurological deficit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727C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CDC7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Biopsy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3D59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357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6F44E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LFU</w:t>
            </w:r>
          </w:p>
        </w:tc>
      </w:tr>
      <w:tr w:rsidR="00871DF1" w:rsidRPr="00871DF1" w14:paraId="621442DC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1862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4DD70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FE5E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D56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F1F2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Mutant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AADE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Codel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3A2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8DB3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E443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Biopsy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BC228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222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439A6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LFU</w:t>
            </w:r>
          </w:p>
        </w:tc>
      </w:tr>
      <w:tr w:rsidR="00871DF1" w:rsidRPr="00871DF1" w14:paraId="24FFA570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5E80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3E8B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415A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F07E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EE74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Mutant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C1DA8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Codel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AA812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Other neurological symptoms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EA5E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FC0B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GTR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15452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1232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CA2D6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LFU</w:t>
            </w:r>
          </w:p>
        </w:tc>
      </w:tr>
      <w:tr w:rsidR="00871DF1" w:rsidRPr="00871DF1" w14:paraId="3034FEBB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A8E4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13CC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1886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AA70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72D1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Mutant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96189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Codel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F959E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Headache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A7D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39E7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9C50" w14:textId="63E19162" w:rsidR="00871DF1" w:rsidRPr="00871DF1" w:rsidRDefault="00003CAB" w:rsidP="00871DF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09BC6" w14:textId="2517B1D7" w:rsidR="00871DF1" w:rsidRPr="00871DF1" w:rsidRDefault="00003CAB" w:rsidP="00871DF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871DF1" w:rsidRPr="00871DF1" w14:paraId="5037875C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D12E3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8F32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42709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751D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BB92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Mutant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9196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Codel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01CD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EDC1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E277D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DA4AD" w14:textId="5A74898E" w:rsidR="00871DF1" w:rsidRPr="00871DF1" w:rsidRDefault="00003CAB" w:rsidP="00871DF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3588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871DF1" w:rsidRPr="00871DF1" w14:paraId="5E9F082B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0B23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26B29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C2C2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D758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88FE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Mutant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E670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Codel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2F020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Incidental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D62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DE6BE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9BB53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1637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30B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LFU</w:t>
            </w:r>
          </w:p>
        </w:tc>
      </w:tr>
      <w:tr w:rsidR="00871DF1" w:rsidRPr="00871DF1" w14:paraId="236869EB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9525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8524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87D7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2808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947EE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Mutant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589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Codel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7E9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Headache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DF3C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DC93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GTR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E595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166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553B0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871DF1" w:rsidRPr="00871DF1" w14:paraId="36CD2963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43442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5CAA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C3A1E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5562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E6B3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Mutant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3016E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Codel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AF80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BB9D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15C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1D86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362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8929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871DF1" w:rsidRPr="00871DF1" w14:paraId="53DA31FE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99613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F5250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580D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C46F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A640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Mutant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CC15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Codel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18A5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5B2E8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D2CB3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8E4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6AC3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Deceased</w:t>
            </w:r>
          </w:p>
        </w:tc>
      </w:tr>
      <w:tr w:rsidR="00871DF1" w:rsidRPr="00871DF1" w14:paraId="44A45891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CC01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295B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55EAD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CF3D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4406E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Mutant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C408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Codel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53B59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Focal neurological deficit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2BA5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49DB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GTR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328B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740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E7110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871DF1" w:rsidRPr="00871DF1" w14:paraId="0E9E949A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67FC6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0CB9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031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3D7C8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9FD9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Mutant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2F728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Codel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076D2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Headache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B4676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ACD1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GTR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BF734" w14:textId="491FCF3A" w:rsidR="00871DF1" w:rsidRPr="00871DF1" w:rsidRDefault="00003CAB" w:rsidP="00871DF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750AB" w14:textId="531C3F47" w:rsidR="00871DF1" w:rsidRPr="00871DF1" w:rsidRDefault="00003CAB" w:rsidP="00871DF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871DF1" w:rsidRPr="00871DF1" w14:paraId="4CEEEB6D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7A1A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2397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49A4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F40CD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5DC5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Mutant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476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Codel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72B0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D25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3ED7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96E9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1110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506B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LFU</w:t>
            </w:r>
          </w:p>
        </w:tc>
      </w:tr>
      <w:tr w:rsidR="00871DF1" w:rsidRPr="00871DF1" w14:paraId="2B24559F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A8BBE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FB503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02EC0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E3C7D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35ED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Wild type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AAA10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–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AEBA0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Other neurological symptoms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E1B5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Hypo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C882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Biopsy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FA040" w14:textId="7ADEE1E5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2</w:t>
            </w:r>
            <w:r w:rsidR="00003CAB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828E" w14:textId="68F3CD84" w:rsidR="00871DF1" w:rsidRPr="00871DF1" w:rsidRDefault="00003CAB" w:rsidP="00871DF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871DF1" w:rsidRPr="00871DF1" w14:paraId="56FDB782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57042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5000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9B012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4727E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0EF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Wild type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0B0C3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–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A132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E026E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Hypo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1D6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259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763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D95EE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LFU</w:t>
            </w:r>
          </w:p>
        </w:tc>
      </w:tr>
      <w:tr w:rsidR="00871DF1" w:rsidRPr="00871DF1" w14:paraId="37792728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5CD3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B2C3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CBF6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AC3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A0B8E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Wild type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A224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–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2A408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Focal neurological deficit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BD2B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Hypo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FDAF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F6AA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474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B625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871DF1" w:rsidRPr="00871DF1" w14:paraId="70F0A70A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00B2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17B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05A1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D198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C6A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Wild type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60638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–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99CBD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EC50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Hypo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919C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F7DF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399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FC11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LFU</w:t>
            </w:r>
          </w:p>
        </w:tc>
      </w:tr>
      <w:tr w:rsidR="00871DF1" w:rsidRPr="00871DF1" w14:paraId="458602A6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5103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CB35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855B6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D09C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DB96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Wild type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EFD56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–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9A04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7EF42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Hypo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29AC8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8C266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399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6916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LFU</w:t>
            </w:r>
          </w:p>
        </w:tc>
      </w:tr>
      <w:tr w:rsidR="00871DF1" w:rsidRPr="00871DF1" w14:paraId="278D6687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08468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508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19D69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0AD99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0820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Mutant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8156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Non-codel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A4E10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Incidental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196E3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Hypo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6672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0BB42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1110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C9642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871DF1" w:rsidRPr="00871DF1" w14:paraId="5339DC65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308F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B768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EAC26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13D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9A189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Mutant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6CAAE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Non-codel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A3AB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Incidental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C7A72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Hypo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21EB6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GTR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107E9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1423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91650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LFU</w:t>
            </w:r>
          </w:p>
        </w:tc>
      </w:tr>
      <w:tr w:rsidR="00871DF1" w:rsidRPr="00871DF1" w14:paraId="09CBFA24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FDA8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8169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82CD2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5F70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61BE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Mutant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A8E4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Non-codel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0BD0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0150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Hypo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3677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5035D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1099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EFD66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LFU</w:t>
            </w:r>
          </w:p>
        </w:tc>
      </w:tr>
      <w:tr w:rsidR="00871DF1" w:rsidRPr="00871DF1" w14:paraId="6C48E924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E083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CEC96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D1F0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BC546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C1320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Mutant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A6D8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Non-codel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557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Incidental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A2AB2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Hypo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A33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GTR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4EF0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1921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2399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LFU</w:t>
            </w:r>
          </w:p>
        </w:tc>
      </w:tr>
      <w:tr w:rsidR="00871DF1" w:rsidRPr="00871DF1" w14:paraId="55DF0B6E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4F168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DE8D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A5393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159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AD2D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Mutant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56C18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Non-codel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098E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6BAF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Hypo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0A3C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Biopsy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6D1C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1530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B38CE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LFU</w:t>
            </w:r>
          </w:p>
        </w:tc>
      </w:tr>
      <w:tr w:rsidR="00871DF1" w:rsidRPr="00871DF1" w14:paraId="07B65C98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65792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A695D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8C8C9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A31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25B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Mutant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CAE5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Non-codel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A5F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636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Hypo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547DE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STR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3025D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656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E8739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871DF1" w:rsidRPr="00871DF1" w14:paraId="65176FCA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AE03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9D776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8609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1DBA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3EA49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Mutant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FC5D8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Codel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5A258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Other neurological symptoms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1F09E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Hypo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8D7C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GTR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F8B4" w14:textId="71150088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2</w:t>
            </w:r>
            <w:r w:rsidR="00003CAB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F95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871DF1" w:rsidRPr="00871DF1" w14:paraId="52B07779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890A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1D1D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D403D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310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40E0C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Mutant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BABC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Codel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A3E86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Incidental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D61DD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Hypo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02431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GTR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93B8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1713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D67B5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871DF1" w:rsidRPr="00871DF1" w14:paraId="047D081A" w14:textId="77777777" w:rsidTr="00871DF1">
        <w:trPr>
          <w:trHeight w:val="200"/>
          <w:jc w:val="center"/>
        </w:trPr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44C60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2DC8A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34F8E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FE7F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36984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Mutant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3C4EB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Codel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64EA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Other neurological symptoms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429FE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Hypo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BE07F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GTR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03F4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166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86A27" w14:textId="77777777" w:rsidR="00871DF1" w:rsidRPr="00871DF1" w:rsidRDefault="00871DF1" w:rsidP="00871DF1">
            <w:pPr>
              <w:jc w:val="center"/>
              <w:rPr>
                <w:color w:val="000000"/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Alive</w:t>
            </w:r>
          </w:p>
        </w:tc>
      </w:tr>
      <w:tr w:rsidR="00871DF1" w:rsidRPr="00871DF1" w14:paraId="5C603AA1" w14:textId="77777777" w:rsidTr="00871DF1">
        <w:trPr>
          <w:trHeight w:val="200"/>
          <w:jc w:val="center"/>
        </w:trPr>
        <w:tc>
          <w:tcPr>
            <w:tcW w:w="82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B941A" w14:textId="27A1217C" w:rsidR="00871DF1" w:rsidRPr="00871DF1" w:rsidRDefault="00871DF1" w:rsidP="00871DF1">
            <w:pPr>
              <w:rPr>
                <w:sz w:val="16"/>
                <w:szCs w:val="16"/>
              </w:rPr>
            </w:pPr>
            <w:r w:rsidRPr="00871DF1">
              <w:rPr>
                <w:color w:val="000000"/>
                <w:sz w:val="16"/>
                <w:szCs w:val="16"/>
              </w:rPr>
              <w:t>IDH = isocitrate dehydrogenase; STR = subtotal resection; GTR = gross total resection; LFU = lost to follow-up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6BAF" w14:textId="77777777" w:rsidR="00871DF1" w:rsidRPr="00871DF1" w:rsidRDefault="00871DF1" w:rsidP="00871DF1">
            <w:pPr>
              <w:rPr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8E1EE" w14:textId="77777777" w:rsidR="00871DF1" w:rsidRPr="00871DF1" w:rsidRDefault="00871DF1" w:rsidP="00871DF1">
            <w:pPr>
              <w:rPr>
                <w:sz w:val="16"/>
                <w:szCs w:val="16"/>
              </w:rPr>
            </w:pPr>
          </w:p>
        </w:tc>
      </w:tr>
    </w:tbl>
    <w:p w14:paraId="432F5676" w14:textId="77777777" w:rsidR="00272C90" w:rsidRPr="00586DD2" w:rsidRDefault="00272C90" w:rsidP="00272C90">
      <w:pPr>
        <w:spacing w:line="480" w:lineRule="auto"/>
        <w:rPr>
          <w:sz w:val="18"/>
          <w:szCs w:val="18"/>
        </w:rPr>
      </w:pPr>
    </w:p>
    <w:p w14:paraId="0A14CCEE" w14:textId="77777777" w:rsidR="00B84498" w:rsidRDefault="00B84498"/>
    <w:sectPr w:rsidR="00B84498" w:rsidSect="00EB44E9">
      <w:headerReference w:type="default" r:id="rId13"/>
      <w:footerReference w:type="default" r:id="rId14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12CDB" w14:textId="77777777" w:rsidR="00006F70" w:rsidRDefault="00006F70">
      <w:r>
        <w:separator/>
      </w:r>
    </w:p>
  </w:endnote>
  <w:endnote w:type="continuationSeparator" w:id="0">
    <w:p w14:paraId="31351039" w14:textId="77777777" w:rsidR="00006F70" w:rsidRDefault="00006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003FEC" w14:textId="77777777" w:rsidR="004B5EB2" w:rsidRDefault="004B5E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B4A370" w14:textId="77777777" w:rsidR="00006F70" w:rsidRDefault="00006F70">
      <w:r>
        <w:separator/>
      </w:r>
    </w:p>
  </w:footnote>
  <w:footnote w:type="continuationSeparator" w:id="0">
    <w:p w14:paraId="2EC24345" w14:textId="77777777" w:rsidR="00006F70" w:rsidRDefault="00006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564F2" w14:textId="77777777" w:rsidR="004B5EB2" w:rsidRDefault="004B5E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FD39D9"/>
    <w:multiLevelType w:val="hybridMultilevel"/>
    <w:tmpl w:val="F91664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C90"/>
    <w:rsid w:val="00003CAB"/>
    <w:rsid w:val="00006F70"/>
    <w:rsid w:val="001F4E64"/>
    <w:rsid w:val="00263B29"/>
    <w:rsid w:val="00272C90"/>
    <w:rsid w:val="002A3151"/>
    <w:rsid w:val="002C47CD"/>
    <w:rsid w:val="002C6B3D"/>
    <w:rsid w:val="00300D78"/>
    <w:rsid w:val="00320BAE"/>
    <w:rsid w:val="004A2BD5"/>
    <w:rsid w:val="004B5EB2"/>
    <w:rsid w:val="004B6D1B"/>
    <w:rsid w:val="004E40EE"/>
    <w:rsid w:val="00536384"/>
    <w:rsid w:val="005A7520"/>
    <w:rsid w:val="005E21D6"/>
    <w:rsid w:val="005F32C4"/>
    <w:rsid w:val="006148CC"/>
    <w:rsid w:val="006C4AC3"/>
    <w:rsid w:val="006F1C31"/>
    <w:rsid w:val="00706CA3"/>
    <w:rsid w:val="00822A3E"/>
    <w:rsid w:val="00822E19"/>
    <w:rsid w:val="00853F85"/>
    <w:rsid w:val="00871DF1"/>
    <w:rsid w:val="00876027"/>
    <w:rsid w:val="009A7B38"/>
    <w:rsid w:val="00A17741"/>
    <w:rsid w:val="00A600C9"/>
    <w:rsid w:val="00A80FDB"/>
    <w:rsid w:val="00AF124B"/>
    <w:rsid w:val="00AF7A0B"/>
    <w:rsid w:val="00B84498"/>
    <w:rsid w:val="00C22062"/>
    <w:rsid w:val="00D66591"/>
    <w:rsid w:val="00E50F18"/>
    <w:rsid w:val="00EB44E9"/>
    <w:rsid w:val="00F8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0F4D3"/>
  <w15:chartTrackingRefBased/>
  <w15:docId w15:val="{1AE64CC7-28DC-470F-8094-6A754277C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en-I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C9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geXofY">
    <w:name w:val="Page X of Y"/>
    <w:rsid w:val="002C6B3D"/>
    <w:pPr>
      <w:spacing w:after="0" w:line="240" w:lineRule="auto"/>
    </w:pPr>
    <w:rPr>
      <w:sz w:val="24"/>
      <w:szCs w:val="24"/>
      <w:lang w:val="en-US"/>
    </w:rPr>
  </w:style>
  <w:style w:type="character" w:customStyle="1" w:styleId="e24kjd">
    <w:name w:val="e24kjd"/>
    <w:basedOn w:val="DefaultParagraphFont"/>
    <w:rsid w:val="002C6B3D"/>
  </w:style>
  <w:style w:type="character" w:customStyle="1" w:styleId="kx21rb">
    <w:name w:val="kx21rb"/>
    <w:basedOn w:val="DefaultParagraphFont"/>
    <w:rsid w:val="002C6B3D"/>
  </w:style>
  <w:style w:type="paragraph" w:styleId="CommentText">
    <w:name w:val="annotation text"/>
    <w:basedOn w:val="Normal"/>
    <w:link w:val="CommentTextChar"/>
    <w:uiPriority w:val="99"/>
    <w:unhideWhenUsed/>
    <w:rsid w:val="002C6B3D"/>
    <w:pPr>
      <w:spacing w:after="160"/>
      <w:jc w:val="both"/>
    </w:pPr>
    <w:rPr>
      <w:rFonts w:eastAsiaTheme="minorHAnsi" w:cstheme="minorBidi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6B3D"/>
    <w:rPr>
      <w:rFonts w:ascii="Times New Roman" w:hAnsi="Times New Roman"/>
      <w:kern w:val="2"/>
      <w:sz w:val="24"/>
      <w:szCs w:val="20"/>
      <w:lang w:val="en-US" w:eastAsia="ko-KR"/>
    </w:rPr>
  </w:style>
  <w:style w:type="paragraph" w:styleId="Header">
    <w:name w:val="header"/>
    <w:basedOn w:val="Normal"/>
    <w:link w:val="HeaderChar"/>
    <w:uiPriority w:val="99"/>
    <w:unhideWhenUsed/>
    <w:rsid w:val="002C6B3D"/>
    <w:pPr>
      <w:tabs>
        <w:tab w:val="center" w:pos="4513"/>
        <w:tab w:val="right" w:pos="9026"/>
      </w:tabs>
      <w:snapToGrid w:val="0"/>
      <w:spacing w:after="160" w:line="259" w:lineRule="auto"/>
      <w:jc w:val="both"/>
    </w:pPr>
    <w:rPr>
      <w:rFonts w:asciiTheme="minorHAnsi" w:eastAsiaTheme="minorHAnsi" w:hAnsiTheme="minorHAnsi" w:cstheme="minorBidi"/>
      <w:sz w:val="20"/>
      <w:szCs w:val="20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C6B3D"/>
    <w:rPr>
      <w:kern w:val="2"/>
      <w:sz w:val="20"/>
      <w:szCs w:val="20"/>
      <w:lang w:val="en-US" w:eastAsia="ko-KR"/>
    </w:rPr>
  </w:style>
  <w:style w:type="paragraph" w:styleId="Footer">
    <w:name w:val="footer"/>
    <w:basedOn w:val="Normal"/>
    <w:link w:val="FooterChar"/>
    <w:uiPriority w:val="99"/>
    <w:unhideWhenUsed/>
    <w:rsid w:val="002C6B3D"/>
    <w:pPr>
      <w:tabs>
        <w:tab w:val="center" w:pos="4513"/>
        <w:tab w:val="right" w:pos="9026"/>
      </w:tabs>
      <w:snapToGrid w:val="0"/>
      <w:spacing w:after="160" w:line="259" w:lineRule="auto"/>
      <w:jc w:val="both"/>
    </w:pPr>
    <w:rPr>
      <w:rFonts w:asciiTheme="minorHAnsi" w:eastAsiaTheme="minorHAnsi" w:hAnsiTheme="minorHAnsi" w:cstheme="minorBidi"/>
      <w:sz w:val="20"/>
      <w:szCs w:val="20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C6B3D"/>
    <w:rPr>
      <w:kern w:val="2"/>
      <w:sz w:val="20"/>
      <w:szCs w:val="20"/>
      <w:lang w:val="en-US" w:eastAsia="ko-KR"/>
    </w:rPr>
  </w:style>
  <w:style w:type="character" w:styleId="CommentReference">
    <w:name w:val="annotation reference"/>
    <w:basedOn w:val="DefaultParagraphFont"/>
    <w:uiPriority w:val="99"/>
    <w:semiHidden/>
    <w:unhideWhenUsed/>
    <w:rsid w:val="002C6B3D"/>
    <w:rPr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2C6B3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6B3D"/>
    <w:pPr>
      <w:spacing w:line="259" w:lineRule="auto"/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6B3D"/>
    <w:rPr>
      <w:rFonts w:ascii="Times New Roman" w:hAnsi="Times New Roman"/>
      <w:b/>
      <w:bCs/>
      <w:kern w:val="2"/>
      <w:sz w:val="24"/>
      <w:szCs w:val="20"/>
      <w:lang w:val="en-US"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B3D"/>
    <w:pPr>
      <w:jc w:val="both"/>
    </w:pPr>
    <w:rPr>
      <w:rFonts w:asciiTheme="majorHAnsi" w:eastAsiaTheme="majorEastAsia" w:hAnsiTheme="majorHAnsi" w:cstheme="majorBidi"/>
      <w:sz w:val="18"/>
      <w:szCs w:val="18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B3D"/>
    <w:rPr>
      <w:rFonts w:asciiTheme="majorHAnsi" w:eastAsiaTheme="majorEastAsia" w:hAnsiTheme="majorHAnsi" w:cstheme="majorBidi"/>
      <w:kern w:val="2"/>
      <w:sz w:val="18"/>
      <w:szCs w:val="18"/>
      <w:lang w:val="en-US" w:eastAsia="ko-KR"/>
    </w:rPr>
  </w:style>
  <w:style w:type="paragraph" w:styleId="NoSpacing">
    <w:name w:val="No Spacing"/>
    <w:uiPriority w:val="1"/>
    <w:qFormat/>
    <w:rsid w:val="002C6B3D"/>
    <w:pPr>
      <w:widowControl w:val="0"/>
      <w:wordWrap w:val="0"/>
      <w:autoSpaceDE w:val="0"/>
      <w:autoSpaceDN w:val="0"/>
      <w:spacing w:after="0" w:line="240" w:lineRule="auto"/>
    </w:pPr>
    <w:rPr>
      <w:kern w:val="2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25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Tatekawa Hiroyuki</dc:creator>
  <cp:keywords/>
  <dc:description/>
  <cp:lastModifiedBy>Tatekawa Hiroyuki</cp:lastModifiedBy>
  <cp:revision>21</cp:revision>
  <dcterms:created xsi:type="dcterms:W3CDTF">2020-04-27T23:05:00Z</dcterms:created>
  <dcterms:modified xsi:type="dcterms:W3CDTF">2020-10-07T13:57:00Z</dcterms:modified>
</cp:coreProperties>
</file>