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F5E4F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  <w:r>
        <w:rPr>
          <w:rFonts w:eastAsiaTheme="minorHAnsi"/>
          <w:color w:val="000000"/>
          <w:lang w:val="en-US"/>
        </w:rPr>
        <w:t>Appendix 4</w:t>
      </w:r>
    </w:p>
    <w:p w14:paraId="0CE1EBF9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p w14:paraId="522658E4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  <w:r>
        <w:rPr>
          <w:rFonts w:eastAsiaTheme="minorHAnsi"/>
          <w:color w:val="000000"/>
          <w:lang w:val="en-US"/>
        </w:rPr>
        <w:t>Dataset with categories, sub-categories and sub-sub-categories</w:t>
      </w:r>
    </w:p>
    <w:p w14:paraId="242D0DD4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107"/>
        <w:gridCol w:w="4146"/>
        <w:gridCol w:w="2809"/>
      </w:tblGrid>
      <w:tr w:rsidR="00FC79EC" w:rsidRPr="002C1B2C" w14:paraId="237DCA9F" w14:textId="77777777" w:rsidTr="00475543">
        <w:trPr>
          <w:trHeight w:val="300"/>
        </w:trPr>
        <w:tc>
          <w:tcPr>
            <w:tcW w:w="2380" w:type="dxa"/>
            <w:hideMark/>
          </w:tcPr>
          <w:p w14:paraId="6F78402D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Main category</w:t>
            </w:r>
          </w:p>
        </w:tc>
        <w:tc>
          <w:tcPr>
            <w:tcW w:w="5140" w:type="dxa"/>
            <w:hideMark/>
          </w:tcPr>
          <w:p w14:paraId="7342E718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Sub category</w:t>
            </w:r>
          </w:p>
        </w:tc>
        <w:tc>
          <w:tcPr>
            <w:tcW w:w="3340" w:type="dxa"/>
            <w:hideMark/>
          </w:tcPr>
          <w:p w14:paraId="68A88185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Sub sub category</w:t>
            </w:r>
          </w:p>
        </w:tc>
      </w:tr>
      <w:tr w:rsidR="00FC79EC" w:rsidRPr="00A62F42" w14:paraId="127FE0DB" w14:textId="77777777" w:rsidTr="00475543">
        <w:trPr>
          <w:trHeight w:val="600"/>
        </w:trPr>
        <w:tc>
          <w:tcPr>
            <w:tcW w:w="2380" w:type="dxa"/>
            <w:hideMark/>
          </w:tcPr>
          <w:p w14:paraId="2BD3008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Domain 1: The condition</w:t>
            </w:r>
          </w:p>
        </w:tc>
        <w:tc>
          <w:tcPr>
            <w:tcW w:w="5140" w:type="dxa"/>
            <w:hideMark/>
          </w:tcPr>
          <w:p w14:paraId="58C8929C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innovation is not closely connected to any specific condition or specific patient group</w:t>
            </w:r>
          </w:p>
        </w:tc>
        <w:tc>
          <w:tcPr>
            <w:tcW w:w="3340" w:type="dxa"/>
            <w:hideMark/>
          </w:tcPr>
          <w:p w14:paraId="21AD5AC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1BC2357F" w14:textId="77777777" w:rsidTr="00475543">
        <w:trPr>
          <w:trHeight w:val="900"/>
        </w:trPr>
        <w:tc>
          <w:tcPr>
            <w:tcW w:w="2380" w:type="dxa"/>
            <w:hideMark/>
          </w:tcPr>
          <w:p w14:paraId="4EE1E84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B97F66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Regardless of the patient's condition, every patient's need ought to dictate how care for hin or her is delivered</w:t>
            </w:r>
          </w:p>
        </w:tc>
        <w:tc>
          <w:tcPr>
            <w:tcW w:w="3340" w:type="dxa"/>
            <w:hideMark/>
          </w:tcPr>
          <w:p w14:paraId="1FD3CF3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1947C9D7" w14:textId="77777777" w:rsidTr="00475543">
        <w:trPr>
          <w:trHeight w:val="600"/>
        </w:trPr>
        <w:tc>
          <w:tcPr>
            <w:tcW w:w="2380" w:type="dxa"/>
            <w:hideMark/>
          </w:tcPr>
          <w:p w14:paraId="048B16E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Domain 2: The technology</w:t>
            </w:r>
          </w:p>
        </w:tc>
        <w:tc>
          <w:tcPr>
            <w:tcW w:w="5140" w:type="dxa"/>
            <w:hideMark/>
          </w:tcPr>
          <w:p w14:paraId="66FAD750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technology works but is perceived as clumsy and needs to improve in functionality</w:t>
            </w:r>
          </w:p>
        </w:tc>
        <w:tc>
          <w:tcPr>
            <w:tcW w:w="3340" w:type="dxa"/>
            <w:hideMark/>
          </w:tcPr>
          <w:p w14:paraId="4022FCC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7B4C513C" w14:textId="77777777" w:rsidTr="00475543">
        <w:trPr>
          <w:trHeight w:val="600"/>
        </w:trPr>
        <w:tc>
          <w:tcPr>
            <w:tcW w:w="2380" w:type="dxa"/>
            <w:hideMark/>
          </w:tcPr>
          <w:p w14:paraId="7217006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7776DA8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Open's content ought to generate added knowledge</w:t>
            </w:r>
          </w:p>
        </w:tc>
        <w:tc>
          <w:tcPr>
            <w:tcW w:w="3340" w:type="dxa"/>
            <w:hideMark/>
          </w:tcPr>
          <w:p w14:paraId="25A9B9D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1E8285AE" w14:textId="77777777" w:rsidTr="00475543">
        <w:trPr>
          <w:trHeight w:val="300"/>
        </w:trPr>
        <w:tc>
          <w:tcPr>
            <w:tcW w:w="2380" w:type="dxa"/>
            <w:hideMark/>
          </w:tcPr>
          <w:p w14:paraId="39D577F6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D67FA4C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experiences tough competition</w:t>
            </w:r>
          </w:p>
        </w:tc>
        <w:tc>
          <w:tcPr>
            <w:tcW w:w="3340" w:type="dxa"/>
            <w:hideMark/>
          </w:tcPr>
          <w:p w14:paraId="28FA1EF6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2E0ED01B" w14:textId="77777777" w:rsidTr="00475543">
        <w:trPr>
          <w:trHeight w:val="600"/>
        </w:trPr>
        <w:tc>
          <w:tcPr>
            <w:tcW w:w="2380" w:type="dxa"/>
            <w:hideMark/>
          </w:tcPr>
          <w:p w14:paraId="104F348A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99F3AD2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will require continuous maintenance of the required software and hardware</w:t>
            </w:r>
          </w:p>
        </w:tc>
        <w:tc>
          <w:tcPr>
            <w:tcW w:w="3340" w:type="dxa"/>
            <w:hideMark/>
          </w:tcPr>
          <w:p w14:paraId="7CA055F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069BCE72" w14:textId="77777777" w:rsidTr="00475543">
        <w:trPr>
          <w:trHeight w:val="900"/>
        </w:trPr>
        <w:tc>
          <w:tcPr>
            <w:tcW w:w="2380" w:type="dxa"/>
            <w:hideMark/>
          </w:tcPr>
          <w:p w14:paraId="09525A8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3767A1C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Further development of Always Open's role in Region Stockholm is hindered because it is not available from a computer</w:t>
            </w:r>
          </w:p>
        </w:tc>
        <w:tc>
          <w:tcPr>
            <w:tcW w:w="3340" w:type="dxa"/>
            <w:hideMark/>
          </w:tcPr>
          <w:p w14:paraId="1DB6BDC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54D787DC" w14:textId="77777777" w:rsidTr="00475543">
        <w:trPr>
          <w:trHeight w:val="600"/>
        </w:trPr>
        <w:tc>
          <w:tcPr>
            <w:tcW w:w="2380" w:type="dxa"/>
            <w:hideMark/>
          </w:tcPr>
          <w:p w14:paraId="224B99A6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9522B8D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There is a perceived risk that people will give up on the app</w:t>
            </w:r>
          </w:p>
        </w:tc>
        <w:tc>
          <w:tcPr>
            <w:tcW w:w="3340" w:type="dxa"/>
            <w:hideMark/>
          </w:tcPr>
          <w:p w14:paraId="705DAD8A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7681A9A3" w14:textId="77777777" w:rsidTr="00475543">
        <w:trPr>
          <w:trHeight w:val="600"/>
        </w:trPr>
        <w:tc>
          <w:tcPr>
            <w:tcW w:w="2380" w:type="dxa"/>
            <w:hideMark/>
          </w:tcPr>
          <w:p w14:paraId="6B83DF28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Domain 3: The value proposition</w:t>
            </w:r>
          </w:p>
        </w:tc>
        <w:tc>
          <w:tcPr>
            <w:tcW w:w="5140" w:type="dxa"/>
            <w:hideMark/>
          </w:tcPr>
          <w:p w14:paraId="3D14F260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ought to contribute to accessibility and continuity</w:t>
            </w:r>
          </w:p>
        </w:tc>
        <w:tc>
          <w:tcPr>
            <w:tcW w:w="3340" w:type="dxa"/>
            <w:hideMark/>
          </w:tcPr>
          <w:p w14:paraId="67A315A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5A6A03A5" w14:textId="77777777" w:rsidTr="00475543">
        <w:trPr>
          <w:trHeight w:val="600"/>
        </w:trPr>
        <w:tc>
          <w:tcPr>
            <w:tcW w:w="2380" w:type="dxa"/>
            <w:hideMark/>
          </w:tcPr>
          <w:p w14:paraId="6755BE7C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5F79870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has resulted in new ways of delivering care</w:t>
            </w:r>
          </w:p>
        </w:tc>
        <w:tc>
          <w:tcPr>
            <w:tcW w:w="3340" w:type="dxa"/>
            <w:hideMark/>
          </w:tcPr>
          <w:p w14:paraId="543D9AD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253487CB" w14:textId="77777777" w:rsidTr="00475543">
        <w:trPr>
          <w:trHeight w:val="600"/>
        </w:trPr>
        <w:tc>
          <w:tcPr>
            <w:tcW w:w="2380" w:type="dxa"/>
            <w:hideMark/>
          </w:tcPr>
          <w:p w14:paraId="301AAD1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0A6FA85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provides staff with more detailed patient information</w:t>
            </w:r>
          </w:p>
        </w:tc>
        <w:tc>
          <w:tcPr>
            <w:tcW w:w="3340" w:type="dxa"/>
            <w:hideMark/>
          </w:tcPr>
          <w:p w14:paraId="78991E8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0D0BE860" w14:textId="77777777" w:rsidTr="00475543">
        <w:trPr>
          <w:trHeight w:val="600"/>
        </w:trPr>
        <w:tc>
          <w:tcPr>
            <w:tcW w:w="2380" w:type="dxa"/>
            <w:hideMark/>
          </w:tcPr>
          <w:p w14:paraId="6B4A487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1BCBEA22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har made care visits more accessible to patients</w:t>
            </w:r>
          </w:p>
        </w:tc>
        <w:tc>
          <w:tcPr>
            <w:tcW w:w="3340" w:type="dxa"/>
            <w:hideMark/>
          </w:tcPr>
          <w:p w14:paraId="78E1E49A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53AF463C" w14:textId="77777777" w:rsidTr="00475543">
        <w:trPr>
          <w:trHeight w:val="300"/>
        </w:trPr>
        <w:tc>
          <w:tcPr>
            <w:tcW w:w="2380" w:type="dxa"/>
            <w:hideMark/>
          </w:tcPr>
          <w:p w14:paraId="1CDE6B3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1BC4DE20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Digital visits save time and energy for patients</w:t>
            </w:r>
          </w:p>
        </w:tc>
        <w:tc>
          <w:tcPr>
            <w:tcW w:w="3340" w:type="dxa"/>
            <w:hideMark/>
          </w:tcPr>
          <w:p w14:paraId="6A8A38B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5CD3DF90" w14:textId="77777777" w:rsidTr="00475543">
        <w:trPr>
          <w:trHeight w:val="300"/>
        </w:trPr>
        <w:tc>
          <w:tcPr>
            <w:tcW w:w="2380" w:type="dxa"/>
            <w:hideMark/>
          </w:tcPr>
          <w:p w14:paraId="06263FA5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04645A3D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Digital visits can increase the quality of specific visits</w:t>
            </w:r>
          </w:p>
        </w:tc>
        <w:tc>
          <w:tcPr>
            <w:tcW w:w="3340" w:type="dxa"/>
            <w:hideMark/>
          </w:tcPr>
          <w:p w14:paraId="18E6799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222B26EE" w14:textId="77777777" w:rsidTr="00475543">
        <w:trPr>
          <w:trHeight w:val="600"/>
        </w:trPr>
        <w:tc>
          <w:tcPr>
            <w:tcW w:w="2380" w:type="dxa"/>
            <w:hideMark/>
          </w:tcPr>
          <w:p w14:paraId="4734704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1C3386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Digital group visits require more resources than physical ones</w:t>
            </w:r>
          </w:p>
        </w:tc>
        <w:tc>
          <w:tcPr>
            <w:tcW w:w="3340" w:type="dxa"/>
            <w:hideMark/>
          </w:tcPr>
          <w:p w14:paraId="795738C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2DF22345" w14:textId="77777777" w:rsidTr="00475543">
        <w:trPr>
          <w:trHeight w:val="600"/>
        </w:trPr>
        <w:tc>
          <w:tcPr>
            <w:tcW w:w="2380" w:type="dxa"/>
            <w:hideMark/>
          </w:tcPr>
          <w:p w14:paraId="6C81481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36B8373C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har affected daily work in a positive way</w:t>
            </w:r>
          </w:p>
        </w:tc>
        <w:tc>
          <w:tcPr>
            <w:tcW w:w="3340" w:type="dxa"/>
            <w:hideMark/>
          </w:tcPr>
          <w:p w14:paraId="542BC35A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54EA58FE" w14:textId="77777777" w:rsidTr="00475543">
        <w:trPr>
          <w:trHeight w:val="600"/>
        </w:trPr>
        <w:tc>
          <w:tcPr>
            <w:tcW w:w="2380" w:type="dxa"/>
            <w:hideMark/>
          </w:tcPr>
          <w:p w14:paraId="3D3FE42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5720C76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Always Open has the possibility to change SLSO's role in Region Stockholm</w:t>
            </w:r>
          </w:p>
        </w:tc>
        <w:tc>
          <w:tcPr>
            <w:tcW w:w="3340" w:type="dxa"/>
            <w:hideMark/>
          </w:tcPr>
          <w:p w14:paraId="1F8F3B80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0BAF0549" w14:textId="77777777" w:rsidTr="00475543">
        <w:trPr>
          <w:trHeight w:val="900"/>
        </w:trPr>
        <w:tc>
          <w:tcPr>
            <w:tcW w:w="2380" w:type="dxa"/>
            <w:hideMark/>
          </w:tcPr>
          <w:p w14:paraId="3D64EAA8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Domain 4: The adopters</w:t>
            </w:r>
          </w:p>
        </w:tc>
        <w:tc>
          <w:tcPr>
            <w:tcW w:w="5140" w:type="dxa"/>
            <w:hideMark/>
          </w:tcPr>
          <w:p w14:paraId="638AF576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Employees experience a lack of continuity and structure when working with and training in Always Open</w:t>
            </w:r>
          </w:p>
        </w:tc>
        <w:tc>
          <w:tcPr>
            <w:tcW w:w="3340" w:type="dxa"/>
            <w:hideMark/>
          </w:tcPr>
          <w:p w14:paraId="64F7A62D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9F6CCB" w14:paraId="2578AE05" w14:textId="77777777" w:rsidTr="00475543">
        <w:trPr>
          <w:trHeight w:val="900"/>
        </w:trPr>
        <w:tc>
          <w:tcPr>
            <w:tcW w:w="2380" w:type="dxa"/>
            <w:hideMark/>
          </w:tcPr>
          <w:p w14:paraId="546A7B70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140E613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Many patients have adapted well toward a new type of care visits but health care needs to be attentive to each patient's preferred type visit</w:t>
            </w:r>
          </w:p>
        </w:tc>
        <w:tc>
          <w:tcPr>
            <w:tcW w:w="3340" w:type="dxa"/>
            <w:hideMark/>
          </w:tcPr>
          <w:p w14:paraId="06B33EB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2E8A8EB6" w14:textId="77777777" w:rsidTr="00475543">
        <w:trPr>
          <w:trHeight w:val="600"/>
        </w:trPr>
        <w:tc>
          <w:tcPr>
            <w:tcW w:w="2380" w:type="dxa"/>
            <w:hideMark/>
          </w:tcPr>
          <w:p w14:paraId="21B8C59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Domain 5: The organisation</w:t>
            </w:r>
          </w:p>
        </w:tc>
        <w:tc>
          <w:tcPr>
            <w:tcW w:w="5140" w:type="dxa"/>
            <w:hideMark/>
          </w:tcPr>
          <w:p w14:paraId="48820308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organisation's capacity to change</w:t>
            </w:r>
          </w:p>
        </w:tc>
        <w:tc>
          <w:tcPr>
            <w:tcW w:w="3340" w:type="dxa"/>
            <w:hideMark/>
          </w:tcPr>
          <w:p w14:paraId="3EBB326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organisation has the capacity to change and improve rapidly</w:t>
            </w:r>
          </w:p>
        </w:tc>
      </w:tr>
      <w:tr w:rsidR="00FC79EC" w:rsidRPr="00A62F42" w14:paraId="17F98A7E" w14:textId="77777777" w:rsidTr="00475543">
        <w:trPr>
          <w:trHeight w:val="600"/>
        </w:trPr>
        <w:tc>
          <w:tcPr>
            <w:tcW w:w="2380" w:type="dxa"/>
            <w:hideMark/>
          </w:tcPr>
          <w:p w14:paraId="1491B36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349C8E1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75033AF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Employees' knowledge about their own organisation is too low</w:t>
            </w:r>
          </w:p>
        </w:tc>
      </w:tr>
      <w:tr w:rsidR="00FC79EC" w:rsidRPr="009F6CCB" w14:paraId="470E5E86" w14:textId="77777777" w:rsidTr="00475543">
        <w:trPr>
          <w:trHeight w:val="1200"/>
        </w:trPr>
        <w:tc>
          <w:tcPr>
            <w:tcW w:w="2380" w:type="dxa"/>
            <w:hideMark/>
          </w:tcPr>
          <w:p w14:paraId="5B42D452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2DD831BF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59F92BB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Accessibility and continuity is partly hindered du to non-standardised triage and services offered within the organisation</w:t>
            </w:r>
          </w:p>
        </w:tc>
      </w:tr>
      <w:tr w:rsidR="00FC79EC" w:rsidRPr="00A62F42" w14:paraId="10B80BD3" w14:textId="77777777" w:rsidTr="00475543">
        <w:trPr>
          <w:trHeight w:val="600"/>
        </w:trPr>
        <w:tc>
          <w:tcPr>
            <w:tcW w:w="2380" w:type="dxa"/>
            <w:hideMark/>
          </w:tcPr>
          <w:p w14:paraId="0D4D151F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613002F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organisation's readiness for the technology</w:t>
            </w:r>
          </w:p>
        </w:tc>
        <w:tc>
          <w:tcPr>
            <w:tcW w:w="3340" w:type="dxa"/>
            <w:hideMark/>
          </w:tcPr>
          <w:p w14:paraId="09EE296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technological readiness is high</w:t>
            </w:r>
          </w:p>
        </w:tc>
      </w:tr>
      <w:tr w:rsidR="00FC79EC" w:rsidRPr="00A62F42" w14:paraId="229B0E72" w14:textId="77777777" w:rsidTr="00475543">
        <w:trPr>
          <w:trHeight w:val="900"/>
        </w:trPr>
        <w:tc>
          <w:tcPr>
            <w:tcW w:w="2380" w:type="dxa"/>
            <w:hideMark/>
          </w:tcPr>
          <w:p w14:paraId="7FAA4D3A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361B76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16C51A9F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Practical knowledge about how the technology can facilitate the clinical work is insufficient</w:t>
            </w:r>
          </w:p>
        </w:tc>
      </w:tr>
      <w:tr w:rsidR="00FC79EC" w:rsidRPr="00A62F42" w14:paraId="0D0F6A01" w14:textId="77777777" w:rsidTr="00475543">
        <w:trPr>
          <w:trHeight w:val="600"/>
        </w:trPr>
        <w:tc>
          <w:tcPr>
            <w:tcW w:w="2380" w:type="dxa"/>
            <w:hideMark/>
          </w:tcPr>
          <w:p w14:paraId="3185E63C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78DE55D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extent of changes to work routines related to Always Open</w:t>
            </w:r>
          </w:p>
        </w:tc>
        <w:tc>
          <w:tcPr>
            <w:tcW w:w="3340" w:type="dxa"/>
            <w:hideMark/>
          </w:tcPr>
          <w:p w14:paraId="048F6B2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Worries regarding cos increases for each unit</w:t>
            </w:r>
          </w:p>
        </w:tc>
      </w:tr>
      <w:tr w:rsidR="00FC79EC" w:rsidRPr="00A62F42" w14:paraId="7254DBF0" w14:textId="77777777" w:rsidTr="00475543">
        <w:trPr>
          <w:trHeight w:val="900"/>
        </w:trPr>
        <w:tc>
          <w:tcPr>
            <w:tcW w:w="2380" w:type="dxa"/>
            <w:hideMark/>
          </w:tcPr>
          <w:p w14:paraId="236254DF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0E5EC4CF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64B0EBD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Worries that an increase in focus on continuity might result in a heavier case mix</w:t>
            </w:r>
          </w:p>
        </w:tc>
      </w:tr>
      <w:tr w:rsidR="00FC79EC" w:rsidRPr="00A62F42" w14:paraId="0DB410FB" w14:textId="77777777" w:rsidTr="00475543">
        <w:trPr>
          <w:trHeight w:val="600"/>
        </w:trPr>
        <w:tc>
          <w:tcPr>
            <w:tcW w:w="2380" w:type="dxa"/>
            <w:hideMark/>
          </w:tcPr>
          <w:p w14:paraId="3C868CE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10D890E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5F3BA19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Distance work creates new work environment challenges</w:t>
            </w:r>
          </w:p>
        </w:tc>
      </w:tr>
      <w:tr w:rsidR="00FC79EC" w:rsidRPr="009F6CCB" w14:paraId="02EF543B" w14:textId="77777777" w:rsidTr="00475543">
        <w:trPr>
          <w:trHeight w:val="600"/>
        </w:trPr>
        <w:tc>
          <w:tcPr>
            <w:tcW w:w="2380" w:type="dxa"/>
            <w:hideMark/>
          </w:tcPr>
          <w:p w14:paraId="4FFC13D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14923B2F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48F53B4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Digitalisation work is ever-ongoing and requires time</w:t>
            </w:r>
          </w:p>
        </w:tc>
      </w:tr>
      <w:tr w:rsidR="00FC79EC" w:rsidRPr="00A62F42" w14:paraId="7D2CF8B6" w14:textId="77777777" w:rsidTr="00475543">
        <w:trPr>
          <w:trHeight w:val="600"/>
        </w:trPr>
        <w:tc>
          <w:tcPr>
            <w:tcW w:w="2380" w:type="dxa"/>
            <w:hideMark/>
          </w:tcPr>
          <w:p w14:paraId="327F1B9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sv-SE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sv-SE"/>
              </w:rPr>
              <w:t>Domain 6: The wider system</w:t>
            </w:r>
          </w:p>
        </w:tc>
        <w:tc>
          <w:tcPr>
            <w:tcW w:w="5140" w:type="dxa"/>
            <w:hideMark/>
          </w:tcPr>
          <w:p w14:paraId="51519C76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Regulations may hinder further development of digital care</w:t>
            </w:r>
          </w:p>
        </w:tc>
        <w:tc>
          <w:tcPr>
            <w:tcW w:w="3340" w:type="dxa"/>
            <w:hideMark/>
          </w:tcPr>
          <w:p w14:paraId="42EC455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Integration of digital care is often hindered by GDPR regulations</w:t>
            </w:r>
          </w:p>
        </w:tc>
      </w:tr>
      <w:tr w:rsidR="00FC79EC" w:rsidRPr="00A62F42" w14:paraId="47B81BD7" w14:textId="77777777" w:rsidTr="00475543">
        <w:trPr>
          <w:trHeight w:val="1200"/>
        </w:trPr>
        <w:tc>
          <w:tcPr>
            <w:tcW w:w="2380" w:type="dxa"/>
            <w:hideMark/>
          </w:tcPr>
          <w:p w14:paraId="414E63B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7754383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3340" w:type="dxa"/>
            <w:hideMark/>
          </w:tcPr>
          <w:p w14:paraId="74FDCD41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Requirement to have a digital ID hinders some patients from being able to participate in digital visits and digital educational services</w:t>
            </w:r>
          </w:p>
        </w:tc>
      </w:tr>
      <w:tr w:rsidR="00FC79EC" w:rsidRPr="009F6CCB" w14:paraId="578A596E" w14:textId="77777777" w:rsidTr="00475543">
        <w:trPr>
          <w:trHeight w:val="600"/>
        </w:trPr>
        <w:tc>
          <w:tcPr>
            <w:tcW w:w="2380" w:type="dxa"/>
            <w:hideMark/>
          </w:tcPr>
          <w:p w14:paraId="7D10F03A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0DDCDB35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Micro managed reimbursement models may hinder further development of digital care</w:t>
            </w:r>
          </w:p>
        </w:tc>
        <w:tc>
          <w:tcPr>
            <w:tcW w:w="3340" w:type="dxa"/>
            <w:hideMark/>
          </w:tcPr>
          <w:p w14:paraId="6CD236B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74A60187" w14:textId="77777777" w:rsidTr="00475543">
        <w:trPr>
          <w:trHeight w:val="600"/>
        </w:trPr>
        <w:tc>
          <w:tcPr>
            <w:tcW w:w="2380" w:type="dxa"/>
            <w:hideMark/>
          </w:tcPr>
          <w:p w14:paraId="7195C579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19C59E1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Society is stuck on the idea of traditional primary care facilities</w:t>
            </w:r>
          </w:p>
        </w:tc>
        <w:tc>
          <w:tcPr>
            <w:tcW w:w="3340" w:type="dxa"/>
            <w:hideMark/>
          </w:tcPr>
          <w:p w14:paraId="4D4F420E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774BDB8C" w14:textId="77777777" w:rsidTr="00475543">
        <w:trPr>
          <w:trHeight w:val="900"/>
        </w:trPr>
        <w:tc>
          <w:tcPr>
            <w:tcW w:w="2380" w:type="dxa"/>
            <w:hideMark/>
          </w:tcPr>
          <w:p w14:paraId="1F958E35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477D4BF7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The region's acute hospitals do not have enough knowledge about Always Open and that they can use the app at their own facility</w:t>
            </w:r>
          </w:p>
        </w:tc>
        <w:tc>
          <w:tcPr>
            <w:tcW w:w="3340" w:type="dxa"/>
            <w:hideMark/>
          </w:tcPr>
          <w:p w14:paraId="2CD80BDD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5F1E2BD0" w14:textId="77777777" w:rsidTr="00475543">
        <w:trPr>
          <w:trHeight w:val="900"/>
        </w:trPr>
        <w:tc>
          <w:tcPr>
            <w:tcW w:w="2380" w:type="dxa"/>
            <w:hideMark/>
          </w:tcPr>
          <w:p w14:paraId="343287E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lang w:val="en-US"/>
              </w:rPr>
            </w:pPr>
            <w:r w:rsidRPr="002C1B2C">
              <w:rPr>
                <w:rFonts w:eastAsiaTheme="minorHAnsi"/>
                <w:b/>
                <w:bCs/>
                <w:color w:val="000000"/>
                <w:lang w:val="en-US"/>
              </w:rPr>
              <w:lastRenderedPageBreak/>
              <w:t>Domain 7: Embedding and adaptation over time</w:t>
            </w:r>
          </w:p>
        </w:tc>
        <w:tc>
          <w:tcPr>
            <w:tcW w:w="5140" w:type="dxa"/>
            <w:hideMark/>
          </w:tcPr>
          <w:p w14:paraId="1193FD63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Several improvements were made to the app during the first year of the pandemic</w:t>
            </w:r>
          </w:p>
        </w:tc>
        <w:tc>
          <w:tcPr>
            <w:tcW w:w="3340" w:type="dxa"/>
            <w:hideMark/>
          </w:tcPr>
          <w:p w14:paraId="756C8458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  <w:tr w:rsidR="00FC79EC" w:rsidRPr="00A62F42" w14:paraId="4B5FAA76" w14:textId="77777777" w:rsidTr="00475543">
        <w:trPr>
          <w:trHeight w:val="900"/>
        </w:trPr>
        <w:tc>
          <w:tcPr>
            <w:tcW w:w="2380" w:type="dxa"/>
            <w:hideMark/>
          </w:tcPr>
          <w:p w14:paraId="2383B08B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  <w:tc>
          <w:tcPr>
            <w:tcW w:w="5140" w:type="dxa"/>
            <w:hideMark/>
          </w:tcPr>
          <w:p w14:paraId="0E188024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  <w:r w:rsidRPr="002C1B2C">
              <w:rPr>
                <w:rFonts w:eastAsiaTheme="minorHAnsi"/>
                <w:color w:val="000000"/>
                <w:lang w:val="en-US"/>
              </w:rPr>
              <w:t>Several facilities have started using video visits combined with physical visits during their patient's care episodes</w:t>
            </w:r>
          </w:p>
        </w:tc>
        <w:tc>
          <w:tcPr>
            <w:tcW w:w="3340" w:type="dxa"/>
            <w:hideMark/>
          </w:tcPr>
          <w:p w14:paraId="5CF8AF08" w14:textId="77777777" w:rsidR="00FC79EC" w:rsidRPr="002C1B2C" w:rsidRDefault="00FC79EC" w:rsidP="00475543">
            <w:pPr>
              <w:spacing w:line="276" w:lineRule="auto"/>
              <w:jc w:val="both"/>
              <w:rPr>
                <w:rFonts w:eastAsiaTheme="minorHAnsi"/>
                <w:color w:val="000000"/>
                <w:lang w:val="en-US"/>
              </w:rPr>
            </w:pPr>
          </w:p>
        </w:tc>
      </w:tr>
    </w:tbl>
    <w:p w14:paraId="301B4191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p w14:paraId="20AF2335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p w14:paraId="79E65F53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p w14:paraId="15E3E067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p w14:paraId="62247C99" w14:textId="77777777" w:rsidR="00FC79EC" w:rsidRDefault="00FC79EC" w:rsidP="00FC79EC">
      <w:pPr>
        <w:spacing w:line="276" w:lineRule="auto"/>
        <w:jc w:val="both"/>
        <w:rPr>
          <w:rFonts w:eastAsiaTheme="minorHAnsi"/>
          <w:color w:val="000000"/>
          <w:lang w:val="en-US"/>
        </w:rPr>
      </w:pPr>
    </w:p>
    <w:p w14:paraId="317E244B" w14:textId="77777777" w:rsidR="00FC79EC" w:rsidRPr="00FC79EC" w:rsidRDefault="00FC79EC">
      <w:pPr>
        <w:rPr>
          <w:lang w:val="en-US"/>
        </w:rPr>
      </w:pPr>
    </w:p>
    <w:sectPr w:rsidR="00FC79EC" w:rsidRPr="00FC79EC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26204711"/>
      <w:docPartObj>
        <w:docPartGallery w:val="Page Numbers (Bottom of Page)"/>
        <w:docPartUnique/>
      </w:docPartObj>
    </w:sdtPr>
    <w:sdtEndPr/>
    <w:sdtContent>
      <w:p w14:paraId="2CCCE7BA" w14:textId="77777777" w:rsidR="007154DA" w:rsidRDefault="00FC79EC">
        <w:pPr>
          <w:pStyle w:val="Sidfo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E2A4DC" w14:textId="77777777" w:rsidR="007154DA" w:rsidRDefault="00FC79EC">
    <w:pPr>
      <w:pStyle w:val="Sidfo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9EC"/>
    <w:rsid w:val="00FC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40E60C"/>
  <w15:chartTrackingRefBased/>
  <w15:docId w15:val="{BD723789-4D2C-C64A-A51E-50E44035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9EC"/>
    <w:rPr>
      <w:rFonts w:ascii="Times New Roman" w:eastAsia="Times New Roman" w:hAnsi="Times New Roman" w:cs="Times New Roman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fot">
    <w:name w:val="footer"/>
    <w:basedOn w:val="Normal"/>
    <w:link w:val="SidfotChar"/>
    <w:uiPriority w:val="99"/>
    <w:unhideWhenUsed/>
    <w:rsid w:val="00FC79E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FC79EC"/>
    <w:rPr>
      <w:sz w:val="22"/>
      <w:szCs w:val="22"/>
    </w:rPr>
  </w:style>
  <w:style w:type="table" w:styleId="Tabellrutnt">
    <w:name w:val="Table Grid"/>
    <w:basedOn w:val="Normaltabell"/>
    <w:uiPriority w:val="39"/>
    <w:rsid w:val="00FC79EC"/>
    <w:rPr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535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 Ohrling</dc:creator>
  <cp:keywords/>
  <dc:description/>
  <cp:lastModifiedBy>Mikael Ohrling</cp:lastModifiedBy>
  <cp:revision>1</cp:revision>
  <dcterms:created xsi:type="dcterms:W3CDTF">2022-07-15T16:12:00Z</dcterms:created>
  <dcterms:modified xsi:type="dcterms:W3CDTF">2022-07-15T16:12:00Z</dcterms:modified>
</cp:coreProperties>
</file>