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02E" w:rsidRPr="0016308C" w:rsidRDefault="0016308C">
      <w:pPr>
        <w:rPr>
          <w:b/>
          <w:bCs/>
        </w:rPr>
      </w:pPr>
      <w:bookmarkStart w:id="0" w:name="_GoBack"/>
      <w:bookmarkEnd w:id="0"/>
      <w:r w:rsidRPr="0016308C">
        <w:rPr>
          <w:b/>
          <w:bCs/>
        </w:rPr>
        <w:t>Supplementary Methods</w:t>
      </w:r>
    </w:p>
    <w:p w:rsidR="00051DAE" w:rsidRDefault="00051DAE"/>
    <w:p w:rsidR="005B11C8" w:rsidRPr="00BA77D6" w:rsidRDefault="005B11C8" w:rsidP="005B11C8">
      <w:pPr>
        <w:spacing w:line="360" w:lineRule="auto"/>
        <w:rPr>
          <w:rFonts w:cstheme="minorHAnsi"/>
          <w:b/>
          <w:bCs/>
        </w:rPr>
      </w:pPr>
      <w:r w:rsidRPr="00BA77D6">
        <w:rPr>
          <w:rFonts w:cstheme="minorHAnsi"/>
          <w:b/>
          <w:bCs/>
        </w:rPr>
        <w:t xml:space="preserve">FGL2 </w:t>
      </w:r>
      <w:r>
        <w:rPr>
          <w:rFonts w:cstheme="minorHAnsi"/>
          <w:b/>
          <w:bCs/>
        </w:rPr>
        <w:t>cloning and overexpression in PC</w:t>
      </w:r>
      <w:r w:rsidRPr="00BA77D6">
        <w:rPr>
          <w:rFonts w:cstheme="minorHAnsi"/>
          <w:b/>
          <w:bCs/>
        </w:rPr>
        <w:t>3 cells</w:t>
      </w:r>
    </w:p>
    <w:p w:rsidR="005B11C8" w:rsidRDefault="005B11C8" w:rsidP="005B11C8">
      <w:pPr>
        <w:spacing w:line="360" w:lineRule="auto"/>
        <w:rPr>
          <w:rFonts w:cstheme="minorHAnsi"/>
          <w:b/>
          <w:bCs/>
        </w:rPr>
      </w:pPr>
      <w:r>
        <w:rPr>
          <w:rFonts w:cstheme="minorHAnsi"/>
        </w:rPr>
        <w:t>The complete cDNA sequence of human Fgl2 (encoding for 439 aa protein) was inserted into a pCDNA3.1 vector (</w:t>
      </w:r>
      <w:r w:rsidRPr="003D3982">
        <w:rPr>
          <w:rFonts w:cstheme="minorHAnsi"/>
        </w:rPr>
        <w:t>Invitrogen</w:t>
      </w:r>
      <w:r>
        <w:rPr>
          <w:rFonts w:cstheme="minorHAnsi"/>
        </w:rPr>
        <w:t>, USA) under a CMV promoter to provide constitutive overexpression. The construct was assembled using a restriction-free cloning technique. The Fgl2 fragment was amplified (using primers 5’-</w:t>
      </w:r>
      <w:r w:rsidRPr="0002713E">
        <w:rPr>
          <w:rFonts w:cstheme="minorHAnsi"/>
        </w:rPr>
        <w:t>CTGTACGACGATGACGATAAGAAGCTGGCTAACTGGTACTGGC-3’</w:t>
      </w:r>
      <w:r>
        <w:rPr>
          <w:rFonts w:cstheme="minorHAnsi"/>
        </w:rPr>
        <w:t xml:space="preserve"> and 5’-</w:t>
      </w:r>
      <w:r w:rsidRPr="0002713E">
        <w:rPr>
          <w:rFonts w:cstheme="minorHAnsi"/>
        </w:rPr>
        <w:t>CCACACTGGATCCTAGGTACTTATGGCTTAAAGTGCTTGGGTCTG</w:t>
      </w:r>
      <w:r>
        <w:rPr>
          <w:rFonts w:cstheme="minorHAnsi"/>
        </w:rPr>
        <w:t>-3’) and the vector fragment was amplified (using primers 5’-</w:t>
      </w:r>
      <w:r w:rsidRPr="0002713E">
        <w:rPr>
          <w:rFonts w:cstheme="minorHAnsi"/>
        </w:rPr>
        <w:t>GTACCTAGGATCCAGTGTGG</w:t>
      </w:r>
      <w:r>
        <w:rPr>
          <w:rFonts w:cstheme="minorHAnsi"/>
        </w:rPr>
        <w:t>-3’ and 5’-</w:t>
      </w:r>
      <w:r w:rsidRPr="0002713E">
        <w:rPr>
          <w:rFonts w:cstheme="minorHAnsi"/>
        </w:rPr>
        <w:t>CTTATCGTCATCGTCGTACAG</w:t>
      </w:r>
      <w:r>
        <w:rPr>
          <w:rFonts w:cstheme="minorHAnsi"/>
        </w:rPr>
        <w:t xml:space="preserve">-3’). Both reactions were treated with </w:t>
      </w:r>
      <w:proofErr w:type="spellStart"/>
      <w:r>
        <w:rPr>
          <w:rFonts w:cstheme="minorHAnsi"/>
        </w:rPr>
        <w:t>DpnI</w:t>
      </w:r>
      <w:proofErr w:type="spellEnd"/>
      <w:r>
        <w:rPr>
          <w:rFonts w:cstheme="minorHAnsi"/>
        </w:rPr>
        <w:t xml:space="preserve"> restriction enzyme (New </w:t>
      </w:r>
      <w:r w:rsidRPr="003D3982">
        <w:rPr>
          <w:rFonts w:cstheme="minorHAnsi"/>
        </w:rPr>
        <w:t>England</w:t>
      </w:r>
      <w:r>
        <w:rPr>
          <w:rFonts w:cstheme="minorHAnsi"/>
        </w:rPr>
        <w:t xml:space="preserve"> Biolabs, USA). The FGL2 and vector fragments were then allowed to anneal by slow temperature cool down. Annealed fragments were ligated using T4 ligase (New </w:t>
      </w:r>
      <w:r w:rsidRPr="003D3982">
        <w:rPr>
          <w:rFonts w:cstheme="minorHAnsi"/>
        </w:rPr>
        <w:t>England</w:t>
      </w:r>
      <w:r>
        <w:rPr>
          <w:rFonts w:cstheme="minorHAnsi"/>
        </w:rPr>
        <w:t xml:space="preserve"> Biolabs, USA) and amplified by PCR. All DNA amplification reactions were conducted using pfu Ultra II high fidelity DNA polymerase (</w:t>
      </w:r>
      <w:r w:rsidRPr="004E5A18">
        <w:rPr>
          <w:rFonts w:cstheme="minorHAnsi"/>
        </w:rPr>
        <w:t>Agilent</w:t>
      </w:r>
      <w:r>
        <w:rPr>
          <w:rFonts w:cstheme="minorHAnsi"/>
        </w:rPr>
        <w:t xml:space="preserve"> Technologies, USA). Vectors carrying complete FGL2 were isolated and transfected into PC3 using Dharmafect-4 reagent (</w:t>
      </w:r>
      <w:proofErr w:type="spellStart"/>
      <w:r w:rsidRPr="00D6408D">
        <w:rPr>
          <w:rFonts w:cstheme="minorHAnsi"/>
        </w:rPr>
        <w:t>Dharmacon</w:t>
      </w:r>
      <w:proofErr w:type="spellEnd"/>
      <w:r>
        <w:rPr>
          <w:rFonts w:cstheme="minorHAnsi"/>
        </w:rPr>
        <w:t>, USA)</w:t>
      </w:r>
      <w:r w:rsidRPr="00D6408D">
        <w:rPr>
          <w:rFonts w:cstheme="minorHAnsi"/>
        </w:rPr>
        <w:t xml:space="preserve"> </w:t>
      </w:r>
      <w:r>
        <w:rPr>
          <w:rFonts w:cstheme="minorHAnsi"/>
        </w:rPr>
        <w:t xml:space="preserve">according to the manufacturer’s instructions. Stable clones harboring the FGL2 insert were obtained using neomycin 250 </w:t>
      </w:r>
      <w:r w:rsidRPr="005B18FA">
        <w:rPr>
          <w:rFonts w:ascii="Symbol" w:hAnsi="Symbol" w:cstheme="minorHAnsi"/>
        </w:rPr>
        <w:t></w:t>
      </w:r>
      <w:r>
        <w:rPr>
          <w:rFonts w:cstheme="minorHAnsi"/>
        </w:rPr>
        <w:t>g/ml G-418 (Promega, USA) as a selective marker. FGL2 overexpression was verified by real-time PCR and Western blotting at the transcription and translation levels, respectively.</w:t>
      </w:r>
    </w:p>
    <w:p w:rsidR="007D55D6" w:rsidRDefault="007D55D6" w:rsidP="007D55D6">
      <w:pPr>
        <w:spacing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Western blotting</w:t>
      </w:r>
    </w:p>
    <w:p w:rsidR="007D55D6" w:rsidRPr="00B65C5B" w:rsidRDefault="007D55D6" w:rsidP="007D55D6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Proteins were separated by SDS-PAGE (10% acrylamide gels) under reducing conditions, and blotted onto a nitrocellulose membrane. The human proteins FGL2 and factor-X were detected using the following primary antibodies: polyclonal rabbit anti-FGL2 IgG (11827-1-AP, </w:t>
      </w:r>
      <w:proofErr w:type="spellStart"/>
      <w:r w:rsidRPr="00F265DE">
        <w:rPr>
          <w:rFonts w:cstheme="minorHAnsi"/>
        </w:rPr>
        <w:t>Proteintech</w:t>
      </w:r>
      <w:proofErr w:type="spellEnd"/>
      <w:r>
        <w:rPr>
          <w:rFonts w:cstheme="minorHAnsi"/>
        </w:rPr>
        <w:t>, USA); monoclonal mouse anti-FGL2 IgG</w:t>
      </w:r>
      <w:r>
        <w:rPr>
          <w:rFonts w:cstheme="minorHAnsi"/>
          <w:vertAlign w:val="subscript"/>
        </w:rPr>
        <w:t xml:space="preserve">2a </w:t>
      </w:r>
      <w:r>
        <w:rPr>
          <w:rFonts w:cstheme="minorHAnsi"/>
        </w:rPr>
        <w:t xml:space="preserve">(M01, clone 6DT, </w:t>
      </w:r>
      <w:proofErr w:type="spellStart"/>
      <w:r>
        <w:rPr>
          <w:rFonts w:cstheme="minorHAnsi"/>
        </w:rPr>
        <w:t>Abnova</w:t>
      </w:r>
      <w:proofErr w:type="spellEnd"/>
      <w:r>
        <w:rPr>
          <w:rFonts w:cstheme="minorHAnsi"/>
        </w:rPr>
        <w:t>, Taiwan; or sc-100276, Santa Cruz Biotechnology, USA); monoclonal mouse anti-factor-X IgG</w:t>
      </w:r>
      <w:r>
        <w:rPr>
          <w:rFonts w:cstheme="minorHAnsi"/>
          <w:vertAlign w:val="subscript"/>
        </w:rPr>
        <w:t>1</w:t>
      </w:r>
      <w:r>
        <w:rPr>
          <w:rFonts w:cstheme="minorHAnsi"/>
        </w:rPr>
        <w:t xml:space="preserve"> (sc-81739 Santa Cruz Biotechnology, USA). The following fluorophore-linked secondary antibodies were used: </w:t>
      </w:r>
      <w:proofErr w:type="spellStart"/>
      <w:r>
        <w:rPr>
          <w:rFonts w:cstheme="minorHAnsi"/>
        </w:rPr>
        <w:t>IRDye</w:t>
      </w:r>
      <w:proofErr w:type="spellEnd"/>
      <w:r>
        <w:rPr>
          <w:rFonts w:cstheme="minorHAnsi"/>
        </w:rPr>
        <w:t xml:space="preserve"> 680RD goat anti-mouse (Li-COR, USA) and </w:t>
      </w:r>
      <w:proofErr w:type="spellStart"/>
      <w:r>
        <w:rPr>
          <w:rFonts w:cstheme="minorHAnsi"/>
        </w:rPr>
        <w:t>IRDye</w:t>
      </w:r>
      <w:proofErr w:type="spellEnd"/>
      <w:r>
        <w:rPr>
          <w:rFonts w:cstheme="minorHAnsi"/>
        </w:rPr>
        <w:t xml:space="preserve"> 800CW goat anti-rabbit (</w:t>
      </w:r>
      <w:r w:rsidRPr="008C25D4">
        <w:rPr>
          <w:rFonts w:cstheme="minorHAnsi"/>
        </w:rPr>
        <w:t>LI-COR, USA).</w:t>
      </w:r>
      <w:r>
        <w:rPr>
          <w:rFonts w:cstheme="minorHAnsi"/>
        </w:rPr>
        <w:t xml:space="preserve"> Immunoblots were imaged using an Odyssey imager and Image Studio Lite 5.0 </w:t>
      </w:r>
      <w:r w:rsidRPr="008C25D4">
        <w:rPr>
          <w:rFonts w:cstheme="minorHAnsi"/>
        </w:rPr>
        <w:t>software (LI-COR, USA).</w:t>
      </w:r>
    </w:p>
    <w:p w:rsidR="00051DAE" w:rsidRDefault="00051DAE" w:rsidP="00051DAE">
      <w:pPr>
        <w:spacing w:line="360" w:lineRule="auto"/>
        <w:rPr>
          <w:rFonts w:cstheme="minorHAnsi"/>
          <w:b/>
          <w:bCs/>
        </w:rPr>
      </w:pPr>
      <w:r w:rsidRPr="00051BD2">
        <w:rPr>
          <w:rFonts w:cstheme="minorHAnsi"/>
          <w:b/>
          <w:bCs/>
        </w:rPr>
        <w:lastRenderedPageBreak/>
        <w:t xml:space="preserve">Enzyme-linked immunosorbent assay </w:t>
      </w:r>
    </w:p>
    <w:p w:rsidR="00051DAE" w:rsidRDefault="00051DAE" w:rsidP="00051DAE">
      <w:pPr>
        <w:spacing w:line="360" w:lineRule="auto"/>
        <w:rPr>
          <w:rFonts w:cstheme="minorHAnsi"/>
        </w:rPr>
      </w:pPr>
      <w:r>
        <w:rPr>
          <w:rFonts w:cstheme="minorHAnsi"/>
        </w:rPr>
        <w:t>Plasma was obtained by centrifugation of peripheral blood samples at 4700 g, 25</w:t>
      </w:r>
      <w:r w:rsidRPr="00AC5B35">
        <w:rPr>
          <w:rFonts w:cstheme="minorHAnsi"/>
        </w:rPr>
        <w:t>°</w:t>
      </w:r>
      <w:r>
        <w:rPr>
          <w:rFonts w:cstheme="minorHAnsi"/>
        </w:rPr>
        <w:t xml:space="preserve">C for 7 min. Platelet rich samples were obtained as described in the “platelets isolation” section above. Platelets samples included 1 × </w:t>
      </w:r>
      <w:r w:rsidRPr="002F2BF5">
        <w:rPr>
          <w:rFonts w:cstheme="minorHAnsi"/>
        </w:rPr>
        <w:t>10</w:t>
      </w:r>
      <w:r>
        <w:rPr>
          <w:rFonts w:cstheme="minorHAnsi"/>
          <w:vertAlign w:val="superscript"/>
        </w:rPr>
        <w:t>8</w:t>
      </w:r>
      <w:r>
        <w:rPr>
          <w:rFonts w:cstheme="minorHAnsi"/>
        </w:rPr>
        <w:t xml:space="preserve"> platelets. </w:t>
      </w:r>
      <w:r w:rsidRPr="00AC5110">
        <w:rPr>
          <w:rFonts w:cstheme="minorHAnsi"/>
        </w:rPr>
        <w:t xml:space="preserve">The </w:t>
      </w:r>
      <w:r>
        <w:rPr>
          <w:rFonts w:cstheme="minorHAnsi"/>
        </w:rPr>
        <w:t xml:space="preserve">levels of </w:t>
      </w:r>
      <w:r w:rsidRPr="00AC5110">
        <w:rPr>
          <w:rFonts w:cstheme="minorHAnsi"/>
        </w:rPr>
        <w:t xml:space="preserve">FGL2 </w:t>
      </w:r>
      <w:r>
        <w:rPr>
          <w:rFonts w:cstheme="minorHAnsi"/>
        </w:rPr>
        <w:t xml:space="preserve">or factor X were detected </w:t>
      </w:r>
      <w:r w:rsidRPr="00AC5110">
        <w:rPr>
          <w:rFonts w:cstheme="minorHAnsi"/>
        </w:rPr>
        <w:t>using enzyme</w:t>
      </w:r>
      <w:r>
        <w:rPr>
          <w:rFonts w:cstheme="minorHAnsi"/>
        </w:rPr>
        <w:t xml:space="preserve"> </w:t>
      </w:r>
      <w:r w:rsidRPr="00AC5110">
        <w:rPr>
          <w:rFonts w:cstheme="minorHAnsi"/>
        </w:rPr>
        <w:t>linked</w:t>
      </w:r>
      <w:r>
        <w:rPr>
          <w:rFonts w:cstheme="minorHAnsi"/>
        </w:rPr>
        <w:t xml:space="preserve"> </w:t>
      </w:r>
      <w:r w:rsidRPr="00AC5110">
        <w:rPr>
          <w:rFonts w:cstheme="minorHAnsi"/>
        </w:rPr>
        <w:t>immunosorbent assay (ELISA) kit</w:t>
      </w:r>
      <w:r>
        <w:rPr>
          <w:rFonts w:cstheme="minorHAnsi"/>
        </w:rPr>
        <w:t>s</w:t>
      </w:r>
      <w:r w:rsidRPr="00AC5110">
        <w:rPr>
          <w:rFonts w:cstheme="minorHAnsi"/>
        </w:rPr>
        <w:t xml:space="preserve"> (</w:t>
      </w:r>
      <w:r>
        <w:rPr>
          <w:rFonts w:cstheme="minorHAnsi"/>
        </w:rPr>
        <w:t xml:space="preserve">FGL2 kit - </w:t>
      </w:r>
      <w:proofErr w:type="spellStart"/>
      <w:r w:rsidRPr="00AC5110">
        <w:rPr>
          <w:rFonts w:cstheme="minorHAnsi"/>
        </w:rPr>
        <w:t>Biolegend</w:t>
      </w:r>
      <w:proofErr w:type="spellEnd"/>
      <w:r w:rsidRPr="00AC5110">
        <w:rPr>
          <w:rFonts w:cstheme="minorHAnsi"/>
        </w:rPr>
        <w:t>, USA</w:t>
      </w:r>
      <w:r>
        <w:rPr>
          <w:rFonts w:cstheme="minorHAnsi"/>
        </w:rPr>
        <w:t xml:space="preserve">; Factor X kit - </w:t>
      </w:r>
      <w:proofErr w:type="spellStart"/>
      <w:r>
        <w:rPr>
          <w:rFonts w:cstheme="minorHAnsi"/>
        </w:rPr>
        <w:t>Assaypro</w:t>
      </w:r>
      <w:proofErr w:type="spellEnd"/>
      <w:r>
        <w:rPr>
          <w:rFonts w:cstheme="minorHAnsi"/>
        </w:rPr>
        <w:t>, USA</w:t>
      </w:r>
      <w:r w:rsidRPr="00AC5110">
        <w:rPr>
          <w:rFonts w:cstheme="minorHAnsi"/>
        </w:rPr>
        <w:t>).</w:t>
      </w:r>
      <w:r>
        <w:rPr>
          <w:rFonts w:cstheme="minorHAnsi"/>
        </w:rPr>
        <w:t xml:space="preserve"> All experiments </w:t>
      </w:r>
      <w:r w:rsidRPr="00AC5110">
        <w:rPr>
          <w:rFonts w:cstheme="minorHAnsi"/>
        </w:rPr>
        <w:t>were</w:t>
      </w:r>
      <w:r>
        <w:rPr>
          <w:rFonts w:cstheme="minorHAnsi"/>
        </w:rPr>
        <w:t xml:space="preserve"> </w:t>
      </w:r>
      <w:r w:rsidRPr="00AC5110">
        <w:rPr>
          <w:rFonts w:cstheme="minorHAnsi"/>
        </w:rPr>
        <w:t xml:space="preserve">performed </w:t>
      </w:r>
      <w:r>
        <w:rPr>
          <w:rFonts w:cstheme="minorHAnsi"/>
        </w:rPr>
        <w:t xml:space="preserve">in duplicates </w:t>
      </w:r>
      <w:r w:rsidRPr="00AC5110">
        <w:rPr>
          <w:rFonts w:cstheme="minorHAnsi"/>
        </w:rPr>
        <w:t>according to the manufacturer's instructions.</w:t>
      </w:r>
      <w:r>
        <w:rPr>
          <w:rFonts w:cstheme="minorHAnsi"/>
        </w:rPr>
        <w:t xml:space="preserve"> The proteins</w:t>
      </w:r>
      <w:r w:rsidRPr="00AC5110">
        <w:rPr>
          <w:rFonts w:cstheme="minorHAnsi"/>
        </w:rPr>
        <w:t xml:space="preserve"> </w:t>
      </w:r>
      <w:r>
        <w:rPr>
          <w:rFonts w:cstheme="minorHAnsi"/>
        </w:rPr>
        <w:t>were</w:t>
      </w:r>
      <w:r w:rsidRPr="00AC5110">
        <w:rPr>
          <w:rFonts w:cstheme="minorHAnsi"/>
        </w:rPr>
        <w:t xml:space="preserve"> </w:t>
      </w:r>
      <w:r>
        <w:rPr>
          <w:rFonts w:cstheme="minorHAnsi"/>
        </w:rPr>
        <w:t>quantified</w:t>
      </w:r>
      <w:r w:rsidRPr="00AC5110">
        <w:rPr>
          <w:rFonts w:cstheme="minorHAnsi"/>
        </w:rPr>
        <w:t xml:space="preserve"> using a standard</w:t>
      </w:r>
      <w:r>
        <w:rPr>
          <w:rFonts w:cstheme="minorHAnsi"/>
        </w:rPr>
        <w:t xml:space="preserve"> </w:t>
      </w:r>
      <w:r w:rsidRPr="00AC5110">
        <w:rPr>
          <w:rFonts w:cstheme="minorHAnsi"/>
        </w:rPr>
        <w:t>curve.</w:t>
      </w:r>
      <w:r>
        <w:rPr>
          <w:rFonts w:cstheme="minorHAnsi"/>
        </w:rPr>
        <w:t xml:space="preserve"> </w:t>
      </w:r>
    </w:p>
    <w:p w:rsidR="005B11C8" w:rsidRDefault="005B11C8"/>
    <w:sectPr w:rsidR="005B11C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C8"/>
    <w:rsid w:val="00051DAE"/>
    <w:rsid w:val="0016308C"/>
    <w:rsid w:val="005B11C8"/>
    <w:rsid w:val="006E302E"/>
    <w:rsid w:val="007D55D6"/>
    <w:rsid w:val="00B3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Clalit Health Services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דב צ'רני</dc:creator>
  <cp:lastModifiedBy>user</cp:lastModifiedBy>
  <cp:revision>2</cp:revision>
  <dcterms:created xsi:type="dcterms:W3CDTF">2022-07-12T12:21:00Z</dcterms:created>
  <dcterms:modified xsi:type="dcterms:W3CDTF">2022-07-12T12:21:00Z</dcterms:modified>
</cp:coreProperties>
</file>