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8C1" w:rsidRDefault="007F360E">
      <w:pPr>
        <w:jc w:val="center"/>
        <w:rPr>
          <w:sz w:val="36"/>
          <w:szCs w:val="36"/>
        </w:rPr>
      </w:pPr>
      <w:r>
        <w:rPr>
          <w:sz w:val="36"/>
          <w:szCs w:val="36"/>
        </w:rPr>
        <w:t>Supplementary Materials for</w:t>
      </w:r>
    </w:p>
    <w:p w:rsidR="001C58C1" w:rsidRDefault="001C58C1">
      <w:pPr>
        <w:jc w:val="both"/>
      </w:pPr>
    </w:p>
    <w:p w:rsidR="001C58C1" w:rsidRDefault="007F360E">
      <w:pPr>
        <w:spacing w:after="160" w:line="360" w:lineRule="auto"/>
        <w:jc w:val="both"/>
        <w:rPr>
          <w:b/>
          <w:sz w:val="26"/>
          <w:szCs w:val="26"/>
        </w:rPr>
      </w:pPr>
      <w:r>
        <w:rPr>
          <w:b/>
          <w:sz w:val="26"/>
          <w:szCs w:val="26"/>
        </w:rPr>
        <w:t>Global perturbation of stratospheric water and aerosol burden by</w:t>
      </w:r>
      <w:r>
        <w:rPr>
          <w:sz w:val="26"/>
          <w:szCs w:val="26"/>
        </w:rPr>
        <w:t xml:space="preserve"> </w:t>
      </w:r>
      <w:r>
        <w:rPr>
          <w:b/>
          <w:sz w:val="26"/>
          <w:szCs w:val="26"/>
        </w:rPr>
        <w:t>Hunga eruption</w:t>
      </w:r>
      <w:r>
        <w:rPr>
          <w:b/>
          <w:sz w:val="26"/>
          <w:szCs w:val="26"/>
        </w:rPr>
        <w:tab/>
      </w:r>
    </w:p>
    <w:p w:rsidR="001C58C1" w:rsidRDefault="007F360E">
      <w:pPr>
        <w:spacing w:before="240" w:after="240"/>
        <w:jc w:val="both"/>
        <w:rPr>
          <w:rFonts w:ascii="Calibri" w:eastAsia="Calibri" w:hAnsi="Calibri" w:cs="Calibri"/>
          <w:b/>
          <w:sz w:val="26"/>
          <w:szCs w:val="26"/>
        </w:rPr>
      </w:pPr>
      <w:r>
        <w:t xml:space="preserve"> Sergey Khaykin</w:t>
      </w:r>
      <w:r>
        <w:rPr>
          <w:vertAlign w:val="superscript"/>
        </w:rPr>
        <w:t>*</w:t>
      </w:r>
      <w:r>
        <w:t xml:space="preserve">, Aurelien Podglajen, Felix Ploeger, Jens-Uwe Grooß, Florent </w:t>
      </w:r>
      <w:proofErr w:type="spellStart"/>
      <w:r>
        <w:t>Tence</w:t>
      </w:r>
      <w:proofErr w:type="spellEnd"/>
      <w:r>
        <w:t>, Slimane Bekki, Konstantin Khlopenkov, Kristopher Bedka, Landon Rieger, Alexandre Baron, Bernard Legras, Sophie Godin-Beekmann, Adam Bourassa, Pasquale Sellitto, Tetsu Sakai, John Barnes, O</w:t>
      </w:r>
      <w:r>
        <w:t xml:space="preserve">samu Uchino, Isamu Morino, Tomohiro Nagai, Robin Wing,  Gerd </w:t>
      </w:r>
      <w:bookmarkStart w:id="0" w:name="_GoBack"/>
      <w:bookmarkEnd w:id="0"/>
      <w:r>
        <w:t xml:space="preserve">Baumgarten, Michael Gerding, Valentin </w:t>
      </w:r>
      <w:proofErr w:type="spellStart"/>
      <w:r>
        <w:t>Duflot</w:t>
      </w:r>
      <w:proofErr w:type="spellEnd"/>
      <w:r>
        <w:t xml:space="preserve">, Guillaume </w:t>
      </w:r>
      <w:proofErr w:type="spellStart"/>
      <w:r>
        <w:t>Payen</w:t>
      </w:r>
      <w:proofErr w:type="spellEnd"/>
      <w:r>
        <w:t xml:space="preserve">, Julien Jumelet,  Richard Querel, Ben Liley, Alain Hauchecorne, François Ravetta, Benjamin Clouser, Artem </w:t>
      </w:r>
      <w:proofErr w:type="spellStart"/>
      <w:r>
        <w:t>Feofilov</w:t>
      </w:r>
      <w:proofErr w:type="spellEnd"/>
    </w:p>
    <w:p w:rsidR="001C58C1" w:rsidRDefault="001C58C1">
      <w:pPr>
        <w:jc w:val="both"/>
      </w:pPr>
    </w:p>
    <w:p w:rsidR="001C58C1" w:rsidRDefault="007F360E">
      <w:pPr>
        <w:jc w:val="both"/>
      </w:pPr>
      <w:r>
        <w:t>Correspondence to</w:t>
      </w:r>
      <w:r>
        <w:t xml:space="preserve">: </w:t>
      </w:r>
      <w:hyperlink r:id="rId8">
        <w:r>
          <w:rPr>
            <w:color w:val="0000FF"/>
            <w:u w:val="single"/>
          </w:rPr>
          <w:t>sergey.khaykin@latmos.ipsl.fr</w:t>
        </w:r>
      </w:hyperlink>
    </w:p>
    <w:p w:rsidR="001C58C1" w:rsidRDefault="001C58C1">
      <w:pPr>
        <w:jc w:val="both"/>
      </w:pPr>
    </w:p>
    <w:p w:rsidR="001C58C1" w:rsidRDefault="001C58C1">
      <w:pPr>
        <w:jc w:val="both"/>
        <w:rPr>
          <w:b/>
        </w:rPr>
      </w:pPr>
    </w:p>
    <w:p w:rsidR="001C58C1" w:rsidRDefault="007F360E">
      <w:pPr>
        <w:jc w:val="both"/>
        <w:rPr>
          <w:b/>
        </w:rPr>
      </w:pPr>
      <w:r>
        <w:rPr>
          <w:b/>
        </w:rPr>
        <w:t>This PDF file includes:</w:t>
      </w:r>
    </w:p>
    <w:p w:rsidR="001C58C1" w:rsidRDefault="001C58C1">
      <w:pPr>
        <w:jc w:val="both"/>
      </w:pPr>
    </w:p>
    <w:p w:rsidR="001C58C1" w:rsidRDefault="007F360E">
      <w:pPr>
        <w:ind w:left="720"/>
        <w:jc w:val="both"/>
      </w:pPr>
      <w:r>
        <w:t>Supplementary notes</w:t>
      </w:r>
    </w:p>
    <w:p w:rsidR="001C58C1" w:rsidRDefault="007F360E">
      <w:pPr>
        <w:ind w:left="720"/>
        <w:jc w:val="both"/>
      </w:pPr>
      <w:r>
        <w:t>Figures S1 to S10</w:t>
      </w:r>
    </w:p>
    <w:p w:rsidR="001C58C1" w:rsidRDefault="007F360E">
      <w:pPr>
        <w:ind w:left="720"/>
        <w:jc w:val="both"/>
      </w:pPr>
      <w:r>
        <w:t>Supplementary references</w:t>
      </w:r>
    </w:p>
    <w:p w:rsidR="001C58C1" w:rsidRDefault="007F360E">
      <w:pPr>
        <w:ind w:left="720"/>
        <w:jc w:val="both"/>
      </w:pPr>
      <w:r>
        <w:t>Captions for Movies S1 to S2</w:t>
      </w:r>
    </w:p>
    <w:p w:rsidR="001C58C1" w:rsidRDefault="001C58C1">
      <w:pPr>
        <w:jc w:val="both"/>
      </w:pPr>
    </w:p>
    <w:p w:rsidR="001C58C1" w:rsidRDefault="007F360E">
      <w:pPr>
        <w:jc w:val="both"/>
      </w:pPr>
      <w:r>
        <w:rPr>
          <w:b/>
        </w:rPr>
        <w:t>Other Supplementary Materials for this manuscrip</w:t>
      </w:r>
      <w:r>
        <w:rPr>
          <w:b/>
        </w:rPr>
        <w:t xml:space="preserve">t include the following: </w:t>
      </w:r>
    </w:p>
    <w:p w:rsidR="001C58C1" w:rsidRDefault="001C58C1">
      <w:pPr>
        <w:jc w:val="both"/>
      </w:pPr>
    </w:p>
    <w:p w:rsidR="001C58C1" w:rsidRDefault="007F360E">
      <w:pPr>
        <w:ind w:left="720"/>
        <w:jc w:val="both"/>
      </w:pPr>
      <w:r>
        <w:t>Movies S1 to S2</w:t>
      </w:r>
    </w:p>
    <w:p w:rsidR="001C58C1" w:rsidRDefault="001C58C1">
      <w:pPr>
        <w:ind w:left="720"/>
        <w:jc w:val="both"/>
      </w:pPr>
    </w:p>
    <w:p w:rsidR="001C58C1" w:rsidRDefault="007F360E">
      <w:pPr>
        <w:ind w:left="720"/>
        <w:jc w:val="both"/>
      </w:pPr>
      <w:r>
        <w:br/>
      </w:r>
    </w:p>
    <w:p w:rsidR="001C58C1" w:rsidRDefault="007F360E">
      <w:pPr>
        <w:keepNext/>
        <w:pBdr>
          <w:top w:val="nil"/>
          <w:left w:val="nil"/>
          <w:bottom w:val="nil"/>
          <w:right w:val="nil"/>
          <w:between w:val="nil"/>
        </w:pBdr>
        <w:spacing w:before="240" w:after="60"/>
        <w:jc w:val="both"/>
        <w:rPr>
          <w:b/>
          <w:color w:val="000000"/>
          <w:sz w:val="28"/>
          <w:szCs w:val="28"/>
        </w:rPr>
      </w:pPr>
      <w:r>
        <w:br w:type="page"/>
      </w:r>
      <w:r>
        <w:rPr>
          <w:b/>
          <w:color w:val="000000"/>
          <w:sz w:val="28"/>
          <w:szCs w:val="28"/>
        </w:rPr>
        <w:lastRenderedPageBreak/>
        <w:t xml:space="preserve">Supplementary </w:t>
      </w:r>
      <w:r>
        <w:rPr>
          <w:b/>
          <w:sz w:val="28"/>
          <w:szCs w:val="28"/>
        </w:rPr>
        <w:t>Notes</w:t>
      </w:r>
    </w:p>
    <w:p w:rsidR="001C58C1" w:rsidRDefault="001C58C1">
      <w:pPr>
        <w:jc w:val="both"/>
        <w:rPr>
          <w:rFonts w:ascii="Times" w:eastAsia="Times" w:hAnsi="Times" w:cs="Times"/>
          <w:sz w:val="22"/>
          <w:szCs w:val="22"/>
        </w:rPr>
      </w:pPr>
    </w:p>
    <w:p w:rsidR="001C58C1" w:rsidRDefault="007F360E">
      <w:pPr>
        <w:jc w:val="both"/>
      </w:pPr>
      <w:r>
        <w:rPr>
          <w:noProof/>
        </w:rPr>
        <w:drawing>
          <wp:inline distT="114300" distB="114300" distL="114300" distR="114300">
            <wp:extent cx="4157663" cy="4656856"/>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157663" cy="4656856"/>
                    </a:xfrm>
                    <a:prstGeom prst="rect">
                      <a:avLst/>
                    </a:prstGeom>
                    <a:ln/>
                  </pic:spPr>
                </pic:pic>
              </a:graphicData>
            </a:graphic>
          </wp:inline>
        </w:drawing>
      </w:r>
      <w:r>
        <w:t xml:space="preserve"> </w:t>
      </w:r>
    </w:p>
    <w:p w:rsidR="001C58C1" w:rsidRDefault="007F360E">
      <w:pPr>
        <w:jc w:val="both"/>
      </w:pPr>
      <w:r>
        <w:rPr>
          <w:b/>
        </w:rPr>
        <w:t>Figure S1.</w:t>
      </w:r>
      <w:r>
        <w:t xml:space="preserve"> </w:t>
      </w:r>
      <w:r>
        <w:rPr>
          <w:b/>
        </w:rPr>
        <w:t xml:space="preserve">Evolution of the Hunga ice cloud on the day of eruption </w:t>
      </w:r>
      <w:r>
        <w:t xml:space="preserve">(15 January 2022) from stereoscopic analysis of GOES-17 and Himawari-8 satellite imagers. (A) Maximum cloud top height averaged over 5 km2 area; (B) Total area of the cloud at different altitude levels. </w:t>
      </w:r>
    </w:p>
    <w:p w:rsidR="001C58C1" w:rsidRDefault="007F360E">
      <w:pPr>
        <w:pBdr>
          <w:top w:val="nil"/>
          <w:left w:val="nil"/>
          <w:bottom w:val="nil"/>
          <w:right w:val="nil"/>
          <w:between w:val="nil"/>
        </w:pBdr>
        <w:jc w:val="both"/>
        <w:rPr>
          <w:b/>
        </w:rPr>
      </w:pPr>
      <w:r>
        <w:br w:type="page"/>
      </w:r>
    </w:p>
    <w:p w:rsidR="001C58C1" w:rsidRDefault="007F360E">
      <w:pPr>
        <w:pBdr>
          <w:top w:val="nil"/>
          <w:left w:val="nil"/>
          <w:bottom w:val="nil"/>
          <w:right w:val="nil"/>
          <w:between w:val="nil"/>
        </w:pBdr>
        <w:jc w:val="both"/>
        <w:rPr>
          <w:b/>
          <w:color w:val="000000"/>
        </w:rPr>
      </w:pPr>
      <w:r>
        <w:rPr>
          <w:b/>
          <w:color w:val="000000"/>
        </w:rPr>
        <w:lastRenderedPageBreak/>
        <w:t>S</w:t>
      </w:r>
      <w:r>
        <w:rPr>
          <w:b/>
        </w:rPr>
        <w:t>.I</w:t>
      </w:r>
      <w:r>
        <w:rPr>
          <w:b/>
          <w:color w:val="000000"/>
          <w:sz w:val="14"/>
          <w:szCs w:val="14"/>
        </w:rPr>
        <w:t xml:space="preserve">    </w:t>
      </w:r>
      <w:r>
        <w:rPr>
          <w:b/>
          <w:color w:val="000000"/>
        </w:rPr>
        <w:t>COSMIC-2 observations on the day of eruptio</w:t>
      </w:r>
      <w:r>
        <w:rPr>
          <w:b/>
          <w:color w:val="000000"/>
        </w:rPr>
        <w:t>n</w:t>
      </w:r>
    </w:p>
    <w:p w:rsidR="001C58C1" w:rsidRDefault="007F360E">
      <w:pPr>
        <w:pBdr>
          <w:top w:val="nil"/>
          <w:left w:val="nil"/>
          <w:bottom w:val="nil"/>
          <w:right w:val="nil"/>
          <w:between w:val="nil"/>
        </w:pBdr>
        <w:spacing w:line="276" w:lineRule="auto"/>
        <w:ind w:firstLine="480"/>
        <w:jc w:val="both"/>
        <w:rPr>
          <w:color w:val="000000"/>
        </w:rPr>
      </w:pPr>
      <w:r>
        <w:t>The</w:t>
      </w:r>
      <w:r>
        <w:rPr>
          <w:color w:val="000000"/>
        </w:rPr>
        <w:t xml:space="preserve"> stratospheric water vapor profiles </w:t>
      </w:r>
      <w:r>
        <w:t>retrieved</w:t>
      </w:r>
      <w:r>
        <w:rPr>
          <w:color w:val="000000"/>
        </w:rPr>
        <w:t xml:space="preserve"> from COSMIC-2 GNSS radio occultations and ECMWF temperature exhibit unprecedented water vapor values in the observational record (18,000 ppmv at 35 km, Fig. S</w:t>
      </w:r>
      <w:r>
        <w:t>2</w:t>
      </w:r>
      <w:proofErr w:type="gramStart"/>
      <w:r>
        <w:rPr>
          <w:color w:val="000000"/>
        </w:rPr>
        <w:t>)  but</w:t>
      </w:r>
      <w:proofErr w:type="gramEnd"/>
      <w:r>
        <w:rPr>
          <w:color w:val="000000"/>
        </w:rPr>
        <w:t xml:space="preserve"> remain of the order of the physical lim</w:t>
      </w:r>
      <w:r>
        <w:rPr>
          <w:color w:val="000000"/>
        </w:rPr>
        <w:t>it of ice saturation (Fig. S3), giving confidence in the procedure despite its crudeness. This data can be considered observational evidence for hydration of the stratosphere to ice saturation up to 3</w:t>
      </w:r>
      <w:r>
        <w:t>3</w:t>
      </w:r>
      <w:r>
        <w:rPr>
          <w:color w:val="000000"/>
        </w:rPr>
        <w:t xml:space="preserve"> km, and is also consistent with the geostationary RGB </w:t>
      </w:r>
      <w:r>
        <w:rPr>
          <w:color w:val="000000"/>
        </w:rPr>
        <w:t xml:space="preserve">imagery pointing to ice formation in the early evolution of the plume. Extrapolating the early </w:t>
      </w:r>
      <w:r>
        <w:t>water vapor columns</w:t>
      </w:r>
      <w:r>
        <w:rPr>
          <w:color w:val="000000"/>
        </w:rPr>
        <w:t xml:space="preserve"> to the whole umbrella cloud (area of 150,000 km2, see Fig. S1), we obtain estimates for the stratospheric water injection of 100-1</w:t>
      </w:r>
      <w:r>
        <w:t>5</w:t>
      </w:r>
      <w:r>
        <w:rPr>
          <w:color w:val="000000"/>
        </w:rPr>
        <w:t xml:space="preserve">0 </w:t>
      </w:r>
      <w:proofErr w:type="spellStart"/>
      <w:r>
        <w:rPr>
          <w:color w:val="000000"/>
        </w:rPr>
        <w:t>Tg</w:t>
      </w:r>
      <w:proofErr w:type="spellEnd"/>
      <w:r>
        <w:rPr>
          <w:color w:val="000000"/>
        </w:rPr>
        <w:t>, resp</w:t>
      </w:r>
      <w:r>
        <w:rPr>
          <w:color w:val="000000"/>
        </w:rPr>
        <w:t xml:space="preserve">ectively. This is assuming all water is found as vapor, ice having either fallen out or sublimated. A similar estimate (100 </w:t>
      </w:r>
      <w:proofErr w:type="spellStart"/>
      <w:r>
        <w:rPr>
          <w:color w:val="000000"/>
        </w:rPr>
        <w:t>Tg</w:t>
      </w:r>
      <w:proofErr w:type="spellEnd"/>
      <w:r>
        <w:rPr>
          <w:color w:val="000000"/>
        </w:rPr>
        <w:t xml:space="preserve">) can be obtained assuming ECMWF temperature and water saturation </w:t>
      </w:r>
      <w:r>
        <w:t>up to 33 km (the top altitude of the umbrella).</w:t>
      </w:r>
    </w:p>
    <w:p w:rsidR="001C58C1" w:rsidRDefault="007F360E">
      <w:pPr>
        <w:pBdr>
          <w:top w:val="nil"/>
          <w:left w:val="nil"/>
          <w:bottom w:val="nil"/>
          <w:right w:val="nil"/>
          <w:between w:val="nil"/>
        </w:pBdr>
        <w:spacing w:line="276" w:lineRule="auto"/>
        <w:ind w:firstLine="480"/>
        <w:jc w:val="both"/>
        <w:rPr>
          <w:color w:val="000000"/>
        </w:rPr>
      </w:pPr>
      <w:r>
        <w:rPr>
          <w:color w:val="000000"/>
        </w:rPr>
        <w:t>Later profiles a</w:t>
      </w:r>
      <w:r>
        <w:rPr>
          <w:color w:val="000000"/>
        </w:rPr>
        <w:t>lready point to a significant subsidence of the initial plume and its dilution as it is carried away by the sheared flow. Beyond January 15th, a persistent refractivity anomaly &gt;2% can be followed traveling West together with the plume to the end of Januar</w:t>
      </w:r>
      <w:r>
        <w:rPr>
          <w:color w:val="000000"/>
        </w:rPr>
        <w:t>y at least, consistent with radiosondes indicating water vapor amounting &gt; 1,000 ppmv for the first overpass over Australia (Jan 17-19), and &gt; 100 ppmv for the second. </w:t>
      </w:r>
    </w:p>
    <w:p w:rsidR="001C58C1" w:rsidRDefault="007F360E">
      <w:pPr>
        <w:jc w:val="both"/>
        <w:rPr>
          <w:b/>
        </w:rPr>
      </w:pPr>
      <w:r>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4445</wp:posOffset>
            </wp:positionV>
            <wp:extent cx="2984500" cy="2238375"/>
            <wp:effectExtent l="0" t="0" r="0" b="0"/>
            <wp:wrapNone/>
            <wp:docPr id="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2984500" cy="2238375"/>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simplePos x="0" y="0"/>
                <wp:positionH relativeFrom="column">
                  <wp:posOffset>2895600</wp:posOffset>
                </wp:positionH>
                <wp:positionV relativeFrom="paragraph">
                  <wp:posOffset>-114299</wp:posOffset>
                </wp:positionV>
                <wp:extent cx="423935" cy="348079"/>
                <wp:effectExtent l="0" t="0" r="0" b="0"/>
                <wp:wrapNone/>
                <wp:docPr id="26" name="Rectangle 26"/>
                <wp:cNvGraphicFramePr/>
                <a:graphic xmlns:a="http://schemas.openxmlformats.org/drawingml/2006/main">
                  <a:graphicData uri="http://schemas.microsoft.com/office/word/2010/wordprocessingShape">
                    <wps:wsp>
                      <wps:cNvSpPr/>
                      <wps:spPr>
                        <a:xfrm>
                          <a:off x="5138795" y="3610723"/>
                          <a:ext cx="414410" cy="338554"/>
                        </a:xfrm>
                        <a:prstGeom prst="rect">
                          <a:avLst/>
                        </a:prstGeom>
                        <a:noFill/>
                        <a:ln>
                          <a:noFill/>
                        </a:ln>
                      </wps:spPr>
                      <wps:txbx>
                        <w:txbxContent>
                          <w:p w:rsidR="001C58C1" w:rsidRDefault="007F360E">
                            <w:pPr>
                              <w:textDirection w:val="btLr"/>
                            </w:pPr>
                            <w:r>
                              <w:rPr>
                                <w:rFonts w:ascii="Calibri" w:eastAsia="Calibri" w:hAnsi="Calibri" w:cs="Calibri"/>
                                <w:b/>
                                <w:color w:val="000000"/>
                                <w:sz w:val="32"/>
                              </w:rPr>
                              <w:t>B</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2895600</wp:posOffset>
                </wp:positionH>
                <wp:positionV relativeFrom="paragraph">
                  <wp:posOffset>-114299</wp:posOffset>
                </wp:positionV>
                <wp:extent cx="423935" cy="348079"/>
                <wp:effectExtent b="0" l="0" r="0" t="0"/>
                <wp:wrapNone/>
                <wp:docPr id="26"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423935" cy="348079"/>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simplePos x="0" y="0"/>
            <wp:positionH relativeFrom="column">
              <wp:posOffset>3266440</wp:posOffset>
            </wp:positionH>
            <wp:positionV relativeFrom="paragraph">
              <wp:posOffset>0</wp:posOffset>
            </wp:positionV>
            <wp:extent cx="2028825" cy="2236909"/>
            <wp:effectExtent l="0" t="0" r="0" b="0"/>
            <wp:wrapNone/>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028825" cy="2236909"/>
                    </a:xfrm>
                    <a:prstGeom prst="rect">
                      <a:avLst/>
                    </a:prstGeom>
                    <a:ln/>
                  </pic:spPr>
                </pic:pic>
              </a:graphicData>
            </a:graphic>
          </wp:anchor>
        </w:drawing>
      </w:r>
      <w:r>
        <w:rPr>
          <w:noProof/>
        </w:rPr>
        <mc:AlternateContent>
          <mc:Choice Requires="wpg">
            <w:drawing>
              <wp:anchor distT="0" distB="0" distL="114300" distR="114300" simplePos="0" relativeHeight="251661312" behindDoc="0" locked="0" layoutInCell="1" hidden="0" allowOverlap="1">
                <wp:simplePos x="0" y="0"/>
                <wp:positionH relativeFrom="column">
                  <wp:posOffset>-279399</wp:posOffset>
                </wp:positionH>
                <wp:positionV relativeFrom="paragraph">
                  <wp:posOffset>-88899</wp:posOffset>
                </wp:positionV>
                <wp:extent cx="423935" cy="348079"/>
                <wp:effectExtent l="0" t="0" r="0" b="0"/>
                <wp:wrapNone/>
                <wp:docPr id="25" name="Rectangle 25"/>
                <wp:cNvGraphicFramePr/>
                <a:graphic xmlns:a="http://schemas.openxmlformats.org/drawingml/2006/main">
                  <a:graphicData uri="http://schemas.microsoft.com/office/word/2010/wordprocessingShape">
                    <wps:wsp>
                      <wps:cNvSpPr/>
                      <wps:spPr>
                        <a:xfrm>
                          <a:off x="5138795" y="3610723"/>
                          <a:ext cx="414410" cy="338554"/>
                        </a:xfrm>
                        <a:prstGeom prst="rect">
                          <a:avLst/>
                        </a:prstGeom>
                        <a:noFill/>
                        <a:ln>
                          <a:noFill/>
                        </a:ln>
                      </wps:spPr>
                      <wps:txbx>
                        <w:txbxContent>
                          <w:p w:rsidR="001C58C1" w:rsidRDefault="007F360E">
                            <w:pPr>
                              <w:textDirection w:val="btLr"/>
                            </w:pPr>
                            <w:r>
                              <w:rPr>
                                <w:rFonts w:ascii="Calibri" w:eastAsia="Calibri" w:hAnsi="Calibri" w:cs="Calibri"/>
                                <w:b/>
                                <w:color w:val="000000"/>
                                <w:sz w:val="32"/>
                              </w:rPr>
                              <w:t>A</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-279399</wp:posOffset>
                </wp:positionH>
                <wp:positionV relativeFrom="paragraph">
                  <wp:posOffset>-88899</wp:posOffset>
                </wp:positionV>
                <wp:extent cx="423935" cy="348079"/>
                <wp:effectExtent b="0" l="0" r="0" t="0"/>
                <wp:wrapNone/>
                <wp:docPr id="25"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423935" cy="348079"/>
                        </a:xfrm>
                        <a:prstGeom prst="rect"/>
                        <a:ln/>
                      </pic:spPr>
                    </pic:pic>
                  </a:graphicData>
                </a:graphic>
              </wp:anchor>
            </w:drawing>
          </mc:Fallback>
        </mc:AlternateContent>
      </w:r>
    </w:p>
    <w:p w:rsidR="001C58C1" w:rsidRDefault="007F360E">
      <w:pPr>
        <w:jc w:val="both"/>
      </w:pPr>
      <w:r>
        <w:t>rf</w:t>
      </w: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1C58C1">
      <w:pPr>
        <w:jc w:val="both"/>
      </w:pPr>
    </w:p>
    <w:p w:rsidR="001C58C1" w:rsidRDefault="007F360E">
      <w:pPr>
        <w:jc w:val="both"/>
      </w:pPr>
      <w:r>
        <w:rPr>
          <w:b/>
        </w:rPr>
        <w:t xml:space="preserve">Figure S2. Satellite observations of the Hunga outflow on the day of eruption. </w:t>
      </w:r>
      <w:r>
        <w:t>(A) Hovmoller diagram of maximum CTH with inverted time axis. Superimposed lines are color-coded by altitude and represent linear trajectories released from the location of volc</w:t>
      </w:r>
      <w:r>
        <w:t xml:space="preserve">ano at different heights indicated in the panel. The circles color-coded by altitude indicate the detections of water vapour and aerosol plumes respectively by MLS and </w:t>
      </w:r>
      <w:proofErr w:type="gramStart"/>
      <w:r>
        <w:t>CALIOP .</w:t>
      </w:r>
      <w:proofErr w:type="gramEnd"/>
      <w:r>
        <w:t xml:space="preserve"> The black-encountered circles indicate the detections of hydrated layers GPS-RO</w:t>
      </w:r>
      <w:r>
        <w:t>. Note the color correspondence between the trajectories and downwind detections of the plume confirming the CTH retrieval. (B) water vapour profiles inside the volcanic plume retrieved from GPS radio occultations and the corresponding saturation mixing ra</w:t>
      </w:r>
      <w:r>
        <w:t>tio profiles from the ECMWF analysis.</w:t>
      </w:r>
    </w:p>
    <w:p w:rsidR="001C58C1" w:rsidRDefault="001C58C1">
      <w:pPr>
        <w:pBdr>
          <w:top w:val="nil"/>
          <w:left w:val="nil"/>
          <w:bottom w:val="nil"/>
          <w:right w:val="nil"/>
          <w:between w:val="nil"/>
        </w:pBdr>
        <w:spacing w:line="276" w:lineRule="auto"/>
        <w:ind w:firstLine="480"/>
        <w:jc w:val="both"/>
      </w:pPr>
    </w:p>
    <w:p w:rsidR="001C58C1" w:rsidRDefault="007F360E">
      <w:pPr>
        <w:jc w:val="both"/>
      </w:pPr>
      <w:r>
        <w:lastRenderedPageBreak/>
        <w:t xml:space="preserve">                          </w:t>
      </w:r>
      <w:r>
        <w:rPr>
          <w:noProof/>
        </w:rPr>
        <w:drawing>
          <wp:inline distT="114300" distB="114300" distL="114300" distR="114300">
            <wp:extent cx="3509963" cy="2176821"/>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509963" cy="2176821"/>
                    </a:xfrm>
                    <a:prstGeom prst="rect">
                      <a:avLst/>
                    </a:prstGeom>
                    <a:ln/>
                  </pic:spPr>
                </pic:pic>
              </a:graphicData>
            </a:graphic>
          </wp:inline>
        </w:drawing>
      </w:r>
    </w:p>
    <w:p w:rsidR="001C58C1" w:rsidRDefault="007F360E">
      <w:pPr>
        <w:jc w:val="both"/>
      </w:pPr>
      <w:r>
        <w:rPr>
          <w:b/>
        </w:rPr>
        <w:t>Figure S3</w:t>
      </w:r>
      <w:r>
        <w:t xml:space="preserve">. </w:t>
      </w:r>
      <w:r>
        <w:rPr>
          <w:b/>
        </w:rPr>
        <w:t>Evolution of the maximum ice saturation ratio (</w:t>
      </w:r>
      <w:proofErr w:type="spellStart"/>
      <w:r>
        <w:rPr>
          <w:b/>
        </w:rPr>
        <w:t>Sice</w:t>
      </w:r>
      <w:proofErr w:type="spellEnd"/>
      <w:r>
        <w:rPr>
          <w:b/>
        </w:rPr>
        <w:t>) of the stratospheric hydrated plumes from COSMIC-2 water vapour retrieval and radiosoundings.</w:t>
      </w:r>
      <w:r>
        <w:t xml:space="preserve"> </w:t>
      </w:r>
    </w:p>
    <w:p w:rsidR="001C58C1" w:rsidRDefault="001C58C1">
      <w:pPr>
        <w:pBdr>
          <w:top w:val="nil"/>
          <w:left w:val="nil"/>
          <w:bottom w:val="nil"/>
          <w:right w:val="nil"/>
          <w:between w:val="nil"/>
        </w:pBdr>
        <w:spacing w:line="276" w:lineRule="auto"/>
        <w:ind w:firstLine="480"/>
        <w:jc w:val="both"/>
      </w:pPr>
    </w:p>
    <w:p w:rsidR="001C58C1" w:rsidRDefault="001C58C1">
      <w:pPr>
        <w:pBdr>
          <w:top w:val="nil"/>
          <w:left w:val="nil"/>
          <w:bottom w:val="nil"/>
          <w:right w:val="nil"/>
          <w:between w:val="nil"/>
        </w:pBdr>
        <w:spacing w:line="276" w:lineRule="auto"/>
        <w:ind w:firstLine="480"/>
        <w:jc w:val="both"/>
      </w:pPr>
    </w:p>
    <w:p w:rsidR="001C58C1" w:rsidRDefault="007F360E">
      <w:pPr>
        <w:spacing w:line="276" w:lineRule="auto"/>
        <w:jc w:val="both"/>
        <w:rPr>
          <w:b/>
        </w:rPr>
      </w:pPr>
      <w:r>
        <w:rPr>
          <w:b/>
        </w:rPr>
        <w:t>S.II</w:t>
      </w:r>
      <w:r>
        <w:rPr>
          <w:b/>
          <w:sz w:val="14"/>
          <w:szCs w:val="14"/>
        </w:rPr>
        <w:t xml:space="preserve">    </w:t>
      </w:r>
      <w:r>
        <w:rPr>
          <w:b/>
        </w:rPr>
        <w:t xml:space="preserve"> </w:t>
      </w:r>
      <w:proofErr w:type="spellStart"/>
      <w:r>
        <w:rPr>
          <w:b/>
        </w:rPr>
        <w:t>CLaMS</w:t>
      </w:r>
      <w:proofErr w:type="spellEnd"/>
      <w:r>
        <w:rPr>
          <w:b/>
        </w:rPr>
        <w:t xml:space="preserve"> simulation and comparison with MLS observations</w:t>
      </w:r>
    </w:p>
    <w:p w:rsidR="001C58C1" w:rsidRDefault="007F360E">
      <w:pPr>
        <w:spacing w:line="276" w:lineRule="auto"/>
        <w:ind w:firstLine="480"/>
        <w:jc w:val="both"/>
      </w:pPr>
      <w:r>
        <w:t>Since the location of the detected plume does significantly change during one day, MLS observations over an analysis period are advected forward or backward in time in order to map all the observations</w:t>
      </w:r>
      <w:r>
        <w:t xml:space="preserve"> of that time window on the same central time.  With this trajectory correction to the position of the MLS observations within one period, typically one calendar day, the position of the observation is supposed to be where the sampled air mass would have b</w:t>
      </w:r>
      <w:r>
        <w:t xml:space="preserve">een at a given synoptic time, typically 12:00 UTC on that calendar day. These locations were determined using </w:t>
      </w:r>
      <w:proofErr w:type="spellStart"/>
      <w:r>
        <w:t>CLaMS</w:t>
      </w:r>
      <w:proofErr w:type="spellEnd"/>
      <w:r>
        <w:t xml:space="preserve"> backward and forward trajectories. The data at these locations are then directly comparable with the </w:t>
      </w:r>
      <w:proofErr w:type="spellStart"/>
      <w:r>
        <w:t>CLaMS</w:t>
      </w:r>
      <w:proofErr w:type="spellEnd"/>
      <w:r>
        <w:t xml:space="preserve"> model output at the same synoptic</w:t>
      </w:r>
      <w:r>
        <w:t xml:space="preserve"> time. Based on this approach, synoptic maps of MLS water vapor were constructed. For a given regular grid of 1</w:t>
      </w:r>
      <w:r>
        <w:t xml:space="preserve"> degrees latitude and </w:t>
      </w:r>
      <w:proofErr w:type="gramStart"/>
      <w:r>
        <w:t>3  degrees</w:t>
      </w:r>
      <w:proofErr w:type="gramEnd"/>
      <w:r>
        <w:t xml:space="preserve"> longitude, all so-defined synoptic observations were averaged to the grid points using a 1/r weighting factor f</w:t>
      </w:r>
      <w:r>
        <w:t>or the distance r to the corresponding grid point.    </w:t>
      </w:r>
    </w:p>
    <w:p w:rsidR="001C58C1" w:rsidRDefault="007F360E">
      <w:pPr>
        <w:spacing w:line="276" w:lineRule="auto"/>
        <w:ind w:firstLine="480"/>
        <w:jc w:val="both"/>
      </w:pPr>
      <w:r>
        <w:t>As the existence of data gaps in MLS water vapor observations, particularly around the date of the eruption, causes the largest uncertainty in the model simulations, we carried out sensitivity simulati</w:t>
      </w:r>
      <w:r>
        <w:t>ons using both filtered and unfiltered MLS water vapor data (by applying/ignoring quality flag screening). Comparison of the simulated water vapor plume with the MLS observations after the eruption shows that initializing with unfiltered MLS data results i</w:t>
      </w:r>
      <w:r>
        <w:t xml:space="preserve">n best agreement, likely related to the overlap of water vapor and sulphuric oxide spectral bands causing an erroneous filtering of large parts of the water vapor plume (Millan et al., 2022). Therefore, the </w:t>
      </w:r>
      <w:proofErr w:type="spellStart"/>
      <w:r>
        <w:t>CLaMS</w:t>
      </w:r>
      <w:proofErr w:type="spellEnd"/>
      <w:r>
        <w:t xml:space="preserve"> simulation results for the Hunga perturbati</w:t>
      </w:r>
      <w:r>
        <w:t>on shown in the paper are based on initialization with unfiltered MLS version 5 data on 18 January. Additional sensitivity simulations have been carried out using water vapor fields initialized on different days (17th, 19th, 25th of January), with gridding</w:t>
      </w:r>
      <w:r>
        <w:t xml:space="preserve"> MLS observations onto a coarser 2x6 degree latitude-longitude grid, and also using the previous MLS data version 4. The conclusions of this paper are largely insensitive to these </w:t>
      </w:r>
      <w:proofErr w:type="gramStart"/>
      <w:r>
        <w:t>choices,</w:t>
      </w:r>
      <w:proofErr w:type="gramEnd"/>
      <w:r>
        <w:t xml:space="preserve"> however, the exact values of the simulated water vapor anomaly depe</w:t>
      </w:r>
      <w:r>
        <w:t xml:space="preserve">nd on the details of initialization. The missing data in MLS observations in regions of the volcanic plume on days </w:t>
      </w:r>
      <w:r>
        <w:lastRenderedPageBreak/>
        <w:t>close to the eruption, together with the missing heating rates due to the excess moisture in the plume (Sellitto et al., 2022), likely causes</w:t>
      </w:r>
      <w:r>
        <w:t xml:space="preserve"> the largest uncertainty in the simulations. Initializing the simulation on a later date (e.g. 25th versus 18th January) results in a stronger simulated water vapor anomaly by lowering the effect of underestimation of the initial plume and reduces differen</w:t>
      </w:r>
      <w:r>
        <w:t xml:space="preserve">ces in the global mass perturbation between model and observations. </w:t>
      </w:r>
    </w:p>
    <w:p w:rsidR="001C58C1" w:rsidRDefault="007F360E">
      <w:pPr>
        <w:spacing w:line="276" w:lineRule="auto"/>
        <w:ind w:firstLine="425"/>
        <w:jc w:val="both"/>
      </w:pPr>
      <w:r>
        <w:t>Figure S4 shows good agreement between the simulated and observed water vapor distribution following the eruption. The figure shows the plume evolution at 21 hPa level for better comparab</w:t>
      </w:r>
      <w:r>
        <w:t>ility with the rest of the paper, but note that the agreement between the simulation and observations is even better at levels above (e.g. 10 hPa), and somewhat worse at levels below (e.g. 68 hPa). During the first days after the eruption, the model repres</w:t>
      </w:r>
      <w:r>
        <w:t xml:space="preserve">ents the westward transport and distortion of the water vapor plume well (Fig. S4, until 1 February). In the following weeks there is evidence for a slightly too slow westward transport in the model (around </w:t>
      </w:r>
      <w:proofErr w:type="spellStart"/>
      <w:r>
        <w:t>mid February</w:t>
      </w:r>
      <w:proofErr w:type="spellEnd"/>
      <w:r>
        <w:t>). Also, the small-scale structures a</w:t>
      </w:r>
      <w:r>
        <w:t>re better conserved in the simulated water vapor field compared to the MLS observations, potentially related to slightly underestimated mixing in the model or to the effect of the satellite averaging kernel smearing out small-scale structures. However, ove</w:t>
      </w:r>
      <w:r>
        <w:t xml:space="preserve">rall there is good agreement between the plume transport in the model simulation and in MLS observations from </w:t>
      </w:r>
      <w:proofErr w:type="spellStart"/>
      <w:r>
        <w:t>mid January</w:t>
      </w:r>
      <w:proofErr w:type="spellEnd"/>
      <w:r>
        <w:t xml:space="preserve"> until March, providing confidence that the model reliably simulates the evolution of the stratospheric water vapor distribution after </w:t>
      </w:r>
      <w:r>
        <w:t>the Tonga eruption.</w:t>
      </w:r>
      <w:r>
        <w:br w:type="page"/>
      </w:r>
    </w:p>
    <w:p w:rsidR="001C58C1" w:rsidRDefault="001C58C1">
      <w:pPr>
        <w:spacing w:line="276" w:lineRule="auto"/>
        <w:ind w:firstLine="425"/>
        <w:jc w:val="both"/>
      </w:pPr>
    </w:p>
    <w:p w:rsidR="001C58C1" w:rsidRDefault="007F360E">
      <w:pPr>
        <w:jc w:val="both"/>
        <w:rPr>
          <w:b/>
          <w:shd w:val="clear" w:color="auto" w:fill="FCFCFC"/>
        </w:rPr>
      </w:pPr>
      <w:r>
        <w:rPr>
          <w:b/>
          <w:shd w:val="clear" w:color="auto" w:fill="FCFCFC"/>
        </w:rPr>
        <w:t xml:space="preserve">                        </w:t>
      </w:r>
      <w:r>
        <w:rPr>
          <w:b/>
          <w:noProof/>
          <w:shd w:val="clear" w:color="auto" w:fill="FCFCFC"/>
        </w:rPr>
        <w:drawing>
          <wp:inline distT="114300" distB="114300" distL="114300" distR="114300">
            <wp:extent cx="4157663" cy="6253603"/>
            <wp:effectExtent l="0" t="0" r="0" b="0"/>
            <wp:docPr id="3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4157663" cy="6253603"/>
                    </a:xfrm>
                    <a:prstGeom prst="rect">
                      <a:avLst/>
                    </a:prstGeom>
                    <a:ln/>
                  </pic:spPr>
                </pic:pic>
              </a:graphicData>
            </a:graphic>
          </wp:inline>
        </w:drawing>
      </w:r>
    </w:p>
    <w:p w:rsidR="001C58C1" w:rsidRDefault="007F360E">
      <w:pPr>
        <w:jc w:val="both"/>
      </w:pPr>
      <w:r>
        <w:rPr>
          <w:b/>
        </w:rPr>
        <w:t xml:space="preserve">Figure S4. Comparison of </w:t>
      </w:r>
      <w:proofErr w:type="spellStart"/>
      <w:r>
        <w:rPr>
          <w:b/>
        </w:rPr>
        <w:t>CLaMS</w:t>
      </w:r>
      <w:proofErr w:type="spellEnd"/>
      <w:r>
        <w:rPr>
          <w:b/>
        </w:rPr>
        <w:t xml:space="preserve"> simulation and MLS observations of hydrated plume transport. </w:t>
      </w:r>
      <w:r>
        <w:t xml:space="preserve">Maps of water vapor at 21 hPa from </w:t>
      </w:r>
      <w:proofErr w:type="spellStart"/>
      <w:r>
        <w:t>ClaMS</w:t>
      </w:r>
      <w:proofErr w:type="spellEnd"/>
      <w:r>
        <w:t xml:space="preserve"> model simulation (left) and MLS satellite observations (right) on selected </w:t>
      </w:r>
      <w:r>
        <w:t>days after the Tonga eruption (from top to bottom: 25.1., 1.2., 5.2., 10.2., 15.2.2022). The model water vapor field had been initialized with MLS values on 18 January 2022 (see text).</w:t>
      </w:r>
    </w:p>
    <w:p w:rsidR="001C58C1" w:rsidRDefault="001C58C1">
      <w:pPr>
        <w:jc w:val="both"/>
      </w:pPr>
    </w:p>
    <w:p w:rsidR="001C58C1" w:rsidRDefault="007F360E">
      <w:pPr>
        <w:pBdr>
          <w:top w:val="nil"/>
          <w:left w:val="nil"/>
          <w:bottom w:val="nil"/>
          <w:right w:val="nil"/>
          <w:between w:val="nil"/>
        </w:pBdr>
        <w:spacing w:line="276" w:lineRule="auto"/>
        <w:ind w:firstLine="480"/>
        <w:jc w:val="both"/>
      </w:pPr>
      <w:r>
        <w:br w:type="page"/>
      </w:r>
    </w:p>
    <w:p w:rsidR="001C58C1" w:rsidRDefault="007F360E">
      <w:pPr>
        <w:spacing w:line="276" w:lineRule="auto"/>
        <w:jc w:val="both"/>
        <w:rPr>
          <w:b/>
        </w:rPr>
      </w:pPr>
      <w:proofErr w:type="gramStart"/>
      <w:r>
        <w:rPr>
          <w:b/>
        </w:rPr>
        <w:lastRenderedPageBreak/>
        <w:t>S.III</w:t>
      </w:r>
      <w:r>
        <w:rPr>
          <w:b/>
          <w:sz w:val="14"/>
          <w:szCs w:val="14"/>
        </w:rPr>
        <w:t xml:space="preserve">  </w:t>
      </w:r>
      <w:r>
        <w:rPr>
          <w:b/>
        </w:rPr>
        <w:t>Lidar</w:t>
      </w:r>
      <w:proofErr w:type="gramEnd"/>
      <w:r>
        <w:rPr>
          <w:b/>
        </w:rPr>
        <w:t xml:space="preserve"> first detections of Hunga aerosol plumes</w:t>
      </w:r>
    </w:p>
    <w:p w:rsidR="001C58C1" w:rsidRDefault="007F360E">
      <w:pPr>
        <w:spacing w:line="276" w:lineRule="auto"/>
        <w:ind w:firstLine="425"/>
        <w:jc w:val="both"/>
        <w:rPr>
          <w:sz w:val="22"/>
          <w:szCs w:val="22"/>
        </w:rPr>
      </w:pPr>
      <w:r>
        <w:rPr>
          <w:highlight w:val="white"/>
        </w:rPr>
        <w:t>Ground-based l</w:t>
      </w:r>
      <w:r>
        <w:rPr>
          <w:highlight w:val="white"/>
        </w:rPr>
        <w:t xml:space="preserve">idars at various locations across the globe operating at 532 nm wavelength were used in this study to verify and support the OMPS-derived meridional dispersion of the Hunga aerosols. </w:t>
      </w:r>
      <w:r>
        <w:rPr>
          <w:sz w:val="22"/>
          <w:szCs w:val="22"/>
        </w:rPr>
        <w:t>The description of the measurement stations and lidar instruments is prov</w:t>
      </w:r>
      <w:r>
        <w:rPr>
          <w:sz w:val="22"/>
          <w:szCs w:val="22"/>
        </w:rPr>
        <w:t xml:space="preserve">ided in Supplementary methods of this document. </w:t>
      </w:r>
    </w:p>
    <w:p w:rsidR="001C58C1" w:rsidRDefault="007F360E">
      <w:pPr>
        <w:spacing w:line="276" w:lineRule="auto"/>
        <w:ind w:firstLine="425"/>
        <w:jc w:val="both"/>
        <w:rPr>
          <w:highlight w:val="white"/>
        </w:rPr>
      </w:pPr>
      <w:r>
        <w:rPr>
          <w:highlight w:val="white"/>
        </w:rPr>
        <w:t>Figure S5A shows the evolution of aerosol plume altitude as a function of latitude and time derived from OMPS-LP extinction ratio (ER) anomalies ER&gt;3 (675 nm). The altitude of the plume corresponds to the me</w:t>
      </w:r>
      <w:r>
        <w:rPr>
          <w:highlight w:val="white"/>
        </w:rPr>
        <w:t xml:space="preserve">an altitude of the ER peak in each time-latitude bin, aggregating 50 - 80 individual OMPS-LP profiles. The first detections of Hunga stratospheric </w:t>
      </w:r>
      <w:proofErr w:type="gramStart"/>
      <w:r>
        <w:rPr>
          <w:highlight w:val="white"/>
        </w:rPr>
        <w:t>aerosol  layers</w:t>
      </w:r>
      <w:proofErr w:type="gramEnd"/>
      <w:r>
        <w:rPr>
          <w:highlight w:val="white"/>
        </w:rPr>
        <w:t xml:space="preserve"> by lidars are marked as black open squares with altitude-dependent color meshing. The aerosol</w:t>
      </w:r>
      <w:r>
        <w:rPr>
          <w:highlight w:val="white"/>
        </w:rPr>
        <w:t xml:space="preserve"> plumes are detected as local maxima in scattering ratio (SR) exceeding 1.2 at 532 nm. Note that Fig. 5A shows only the first unambiguous lidar detections of Hunga plumes, after which the stratospheric aerosol layers were omnipresent above each station (no</w:t>
      </w:r>
      <w:r>
        <w:rPr>
          <w:highlight w:val="white"/>
        </w:rPr>
        <w:t>t shown). The altitude of the lidar aerosol layers may not necessarily match the satellite-derived plume altitude since the latter is obtained by aggregating many individual measurements within the given latitude band.</w:t>
      </w:r>
    </w:p>
    <w:p w:rsidR="001C58C1" w:rsidRDefault="007F360E">
      <w:pPr>
        <w:spacing w:line="276" w:lineRule="auto"/>
        <w:ind w:firstLine="425"/>
        <w:jc w:val="both"/>
      </w:pPr>
      <w:r>
        <w:rPr>
          <w:highlight w:val="white"/>
        </w:rPr>
        <w:t>The first lidar station to sample the</w:t>
      </w:r>
      <w:r>
        <w:rPr>
          <w:highlight w:val="white"/>
        </w:rPr>
        <w:t xml:space="preserve"> Hunga plume is the Atmospheric Physics Observat</w:t>
      </w:r>
      <w:r>
        <w:t>ory of La Réunion</w:t>
      </w:r>
      <w:r>
        <w:rPr>
          <w:b/>
        </w:rPr>
        <w:t xml:space="preserve"> </w:t>
      </w:r>
      <w:r>
        <w:rPr>
          <w:highlight w:val="white"/>
        </w:rPr>
        <w:t>(OPAR), which is located at the same latitude and downwind from the volcano given the easterly flow throughout the tropical stratosphere at that time. The first lidar acquisition after the eruption took place on 19 January (i.e. D+4) and sampled an aerosol</w:t>
      </w:r>
      <w:r>
        <w:rPr>
          <w:highlight w:val="white"/>
        </w:rPr>
        <w:t xml:space="preserve"> layer extending between 33 - 37 km altitude (Fig. 5B), which </w:t>
      </w:r>
      <w:r>
        <w:t>to our knowledge is the highest-level aerosol plume ever observed by ground-based lidars. A much more intense aerosol plume between 27 - 30 km (the bulk layer) was overpassing above La Reunion t</w:t>
      </w:r>
      <w:r>
        <w:t xml:space="preserve">wo days later (D+6) and the lidar sounding showed the peak SR of 280 (Fig. S5B) and the AOD of the plume reaching 532 nm (Baron et al., 2022). </w:t>
      </w:r>
    </w:p>
    <w:p w:rsidR="001C58C1" w:rsidRDefault="007F360E">
      <w:pPr>
        <w:spacing w:line="276" w:lineRule="auto"/>
        <w:ind w:firstLine="425"/>
        <w:jc w:val="both"/>
      </w:pPr>
      <w:r>
        <w:t>The second station to sample the Hunga plumes was Lauder, New Zealand (45° S), which reported a layer of spheric</w:t>
      </w:r>
      <w:r>
        <w:t xml:space="preserve">al particles (i.e. sulfates, as inferred from the depolarization) with peak SR of 1.28 between 18-20 km altitude on 8 February (Fig. S5C), that is three weeks after the eruption. We note that OMPS-LP data suggest further quasi-isentropic transport towards </w:t>
      </w:r>
      <w:r>
        <w:t xml:space="preserve">the Southern pole (with the altitude descending along the isentropic surface, see Fig. 4B of the main paper), and this transport is captured by the lidar at the Antarctic Dumont </w:t>
      </w:r>
      <w:proofErr w:type="spellStart"/>
      <w:r>
        <w:t>d’Urville</w:t>
      </w:r>
      <w:proofErr w:type="spellEnd"/>
      <w:r>
        <w:t xml:space="preserve"> (67° S) station reporting a thin layer at 13.5 km altitude with peak</w:t>
      </w:r>
      <w:r>
        <w:t xml:space="preserve"> SR of 1.22 (Fig. 5C).</w:t>
      </w:r>
    </w:p>
    <w:p w:rsidR="001C58C1" w:rsidRDefault="007F360E">
      <w:pPr>
        <w:spacing w:line="276" w:lineRule="auto"/>
        <w:ind w:firstLine="425"/>
        <w:jc w:val="both"/>
      </w:pPr>
      <w:r>
        <w:t>While it took the first Hunga plumes only 10 days to cross the equator (Fig. 5A), the first lidar detection in the Northern hemisphere took place on 1 March at Mauna Loa observatory (</w:t>
      </w:r>
      <w:proofErr w:type="spellStart"/>
      <w:r>
        <w:t>Hawai</w:t>
      </w:r>
      <w:proofErr w:type="spellEnd"/>
      <w:r>
        <w:t>, 20° N), that is about 6 weeks. The lidar re</w:t>
      </w:r>
      <w:r>
        <w:t>ported a layer with peak SR of 1.34 at 24.5 km (Fig. 5D). By the end of March, the Hunga plumes have been subject to further northward transport and the first lidar detection in the Northern subtropics took place at the Japanese Tsukuba station (36° N), re</w:t>
      </w:r>
      <w:r>
        <w:t>porting a non-depolarizing layer of sulfates between 23 - 25 km with the peak SR of 1.7 and low depolarization.</w:t>
      </w:r>
    </w:p>
    <w:p w:rsidR="001C58C1" w:rsidRDefault="007F360E">
      <w:pPr>
        <w:spacing w:line="276" w:lineRule="auto"/>
        <w:ind w:firstLine="425"/>
        <w:jc w:val="both"/>
      </w:pPr>
      <w:r>
        <w:t xml:space="preserve">The further transport of Hunga aerosols towards the North pole, as suggested by OMPS-LP measurements, is confirmed by lidar detection at </w:t>
      </w:r>
      <w:proofErr w:type="spellStart"/>
      <w:r>
        <w:t>Kuhlung</w:t>
      </w:r>
      <w:r>
        <w:t>sborn</w:t>
      </w:r>
      <w:proofErr w:type="spellEnd"/>
      <w:r>
        <w:t xml:space="preserve">, Germany (54° N) on 28 April, reporting a layer at 22 km altitude (Fig. 5G) in agreement with the satellite data showing limited transport of aerosols to the Northern mid and high latitudes. In early June, an aerosol layer was </w:t>
      </w:r>
      <w:r>
        <w:lastRenderedPageBreak/>
        <w:t xml:space="preserve">detected at the Arctic </w:t>
      </w:r>
      <w:r>
        <w:t>Alomar station (69 N) in Norway (Fig. 5H). Interestingly, the first detection of Hunga aerosol at Haute Provence observatory (43 N) took place only on 3 June (Fig. 5K), although the Hunga aerosols were present at the northern midlatitude already since late</w:t>
      </w:r>
      <w:r>
        <w:t xml:space="preserve"> April as suggested by other lidars. </w:t>
      </w:r>
    </w:p>
    <w:p w:rsidR="001C58C1" w:rsidRDefault="001C58C1">
      <w:pPr>
        <w:jc w:val="both"/>
        <w:rPr>
          <w:b/>
        </w:rPr>
      </w:pPr>
    </w:p>
    <w:p w:rsidR="001C58C1" w:rsidRDefault="007F360E">
      <w:pPr>
        <w:jc w:val="both"/>
        <w:rPr>
          <w:b/>
        </w:rPr>
      </w:pPr>
      <w:r>
        <w:rPr>
          <w:b/>
          <w:noProof/>
        </w:rPr>
        <w:drawing>
          <wp:inline distT="114300" distB="114300" distL="114300" distR="114300">
            <wp:extent cx="5719215" cy="5670333"/>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719215" cy="5670333"/>
                    </a:xfrm>
                    <a:prstGeom prst="rect">
                      <a:avLst/>
                    </a:prstGeom>
                    <a:ln/>
                  </pic:spPr>
                </pic:pic>
              </a:graphicData>
            </a:graphic>
          </wp:inline>
        </w:drawing>
      </w:r>
    </w:p>
    <w:p w:rsidR="001C58C1" w:rsidRDefault="001C58C1">
      <w:pPr>
        <w:jc w:val="both"/>
        <w:rPr>
          <w:b/>
        </w:rPr>
      </w:pPr>
    </w:p>
    <w:p w:rsidR="001C58C1" w:rsidRDefault="007F360E">
      <w:pPr>
        <w:jc w:val="both"/>
      </w:pPr>
      <w:r>
        <w:rPr>
          <w:b/>
        </w:rPr>
        <w:t>Figure S5. First detections of Hunga aerosol plumes by satellite and ground-based observations.</w:t>
      </w:r>
      <w:r>
        <w:t xml:space="preserve"> (A) Time-latitude evolution of the altitude of aerosol layers detected using extinction ratio threshold ER&gt;3 from OMPS-LP data at 675 nm. (B) scattering ratio profiles of the first Hunga plume measurements by lidar at La Reunion, note the log-scale and pe</w:t>
      </w:r>
      <w:r>
        <w:t>ak value of 280. (C - I) First detections of Hunga plumes at various stations. Depolarization ratio profiles are shown in red for Lauder and Tsukuba stations.</w:t>
      </w:r>
    </w:p>
    <w:p w:rsidR="00DC6E99" w:rsidRDefault="00DC6E99">
      <w:pPr>
        <w:jc w:val="both"/>
      </w:pPr>
    </w:p>
    <w:p w:rsidR="00DC6E99" w:rsidRDefault="00DC6E99">
      <w:pPr>
        <w:jc w:val="both"/>
      </w:pPr>
    </w:p>
    <w:p w:rsidR="001C58C1" w:rsidRDefault="007F360E">
      <w:pPr>
        <w:pBdr>
          <w:top w:val="nil"/>
          <w:left w:val="nil"/>
          <w:bottom w:val="nil"/>
          <w:right w:val="nil"/>
          <w:between w:val="nil"/>
        </w:pBdr>
        <w:spacing w:line="276" w:lineRule="auto"/>
        <w:jc w:val="both"/>
        <w:rPr>
          <w:b/>
        </w:rPr>
      </w:pPr>
      <w:r>
        <w:rPr>
          <w:b/>
        </w:rPr>
        <w:lastRenderedPageBreak/>
        <w:t>S.IV    Stratospheric water vapour mass calculation</w:t>
      </w:r>
    </w:p>
    <w:p w:rsidR="001C58C1" w:rsidRDefault="007F360E">
      <w:pPr>
        <w:spacing w:line="276" w:lineRule="auto"/>
        <w:ind w:firstLine="425"/>
        <w:jc w:val="both"/>
      </w:pPr>
      <w:r>
        <w:t xml:space="preserve">The water vapour mass estimation is based on </w:t>
      </w:r>
      <w:r>
        <w:t>the MLS-Aura v4.2 and v5 mixing ratio measurements. These measurements are considered between 100 hPa and 1 hPa, which corresponds roughly to 15 and 45 km altitude respectively. For the considered layer, the MLS data quality documents mention a precision b</w:t>
      </w:r>
      <w:r>
        <w:t>etween 4% and 15% for version 4.2 and between 5% and 7% for version 5. The data screening guidelines given by these documents were not considered here as they reject high H2O mixing ratios corresponding to the event studied here (Millan et al., 2022).</w:t>
      </w:r>
    </w:p>
    <w:p w:rsidR="001C58C1" w:rsidRDefault="007F360E">
      <w:pPr>
        <w:spacing w:line="276" w:lineRule="auto"/>
        <w:ind w:firstLine="425"/>
        <w:jc w:val="both"/>
      </w:pPr>
      <w:r>
        <w:t>To e</w:t>
      </w:r>
      <w:r>
        <w:t>stimate the total stratospheric water vapour mass between 100 hPa and 1 hPa, the globe was divided in 18 latitudinal bands of 10° width each. Inside each band, the mixing ratio profiles were averaged daily, then converted to a total number of H2O molecules</w:t>
      </w:r>
      <w:r>
        <w:t xml:space="preserve"> between the given pressure levels boundaries, and then converted to a H2O mass value. </w:t>
      </w:r>
    </w:p>
    <w:p w:rsidR="001C58C1" w:rsidRDefault="007F360E">
      <w:pPr>
        <w:spacing w:line="276" w:lineRule="auto"/>
        <w:ind w:firstLine="425"/>
        <w:jc w:val="both"/>
      </w:pPr>
      <w:r>
        <w:t xml:space="preserve">In each latitudinal band, the mixing ratio values are converted to water vapour partial column between 100 hPa and 1 hPa. </w:t>
      </w:r>
      <w:proofErr w:type="spellStart"/>
      <w:r>
        <w:t>Xp</w:t>
      </w:r>
      <w:proofErr w:type="spellEnd"/>
      <w:r>
        <w:t xml:space="preserve"> is the water vapour mixing ratio at the pre</w:t>
      </w:r>
      <w:r>
        <w:t xml:space="preserve">ssure p, and </w:t>
      </w:r>
      <w:proofErr w:type="spellStart"/>
      <w:r>
        <w:t>Xcol</w:t>
      </w:r>
      <w:proofErr w:type="spellEnd"/>
      <w:r>
        <w:t xml:space="preserve"> is the vapour </w:t>
      </w:r>
      <w:proofErr w:type="spellStart"/>
      <w:r>
        <w:t>vapour</w:t>
      </w:r>
      <w:proofErr w:type="spellEnd"/>
      <w:r>
        <w:t xml:space="preserve"> mixing ratio of the column between 100 hPa and 1 hPa. The -1/2 and +1/2 indices in the pressure scale represent the boundaries of each vertical layer considered around the MLS pressure scale.</w:t>
      </w:r>
    </w:p>
    <w:p w:rsidR="001C58C1" w:rsidRDefault="001C58C1">
      <w:pPr>
        <w:spacing w:line="276" w:lineRule="auto"/>
        <w:jc w:val="both"/>
      </w:pPr>
    </w:p>
    <w:p w:rsidR="001C58C1" w:rsidRDefault="007F360E">
      <w:pPr>
        <w:spacing w:line="276" w:lineRule="auto"/>
        <w:jc w:val="both"/>
        <w:rPr>
          <w:rFonts w:ascii="Liberation Serif" w:eastAsia="Liberation Serif" w:hAnsi="Liberation Serif" w:cs="Liberation Serif"/>
        </w:rPr>
      </w:pPr>
      <w:r>
        <w:rPr>
          <w:rFonts w:ascii="Liberation Serif" w:eastAsia="Liberation Serif" w:hAnsi="Liberation Serif" w:cs="Liberation Serif"/>
        </w:rPr>
        <w:t xml:space="preserve">                        </w:t>
      </w:r>
      <w:r>
        <w:rPr>
          <w:rFonts w:ascii="Liberation Serif" w:eastAsia="Liberation Serif" w:hAnsi="Liberation Serif" w:cs="Liberation Serif"/>
        </w:rPr>
        <w:t xml:space="preserve">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col</m:t>
            </m:r>
          </m:sub>
        </m:sSub>
        <m:r>
          <w:rPr>
            <w:rFonts w:ascii="Cambria Math" w:eastAsia="Cambria Math" w:hAnsi="Cambria Math" w:cs="Cambria Math"/>
          </w:rPr>
          <m:t>=</m:t>
        </m:r>
        <m:f>
          <m:fPr>
            <m:ctrlPr>
              <w:rPr>
                <w:rFonts w:ascii="Cambria Math" w:eastAsia="Cambria Math" w:hAnsi="Cambria Math" w:cs="Cambria Math"/>
              </w:rPr>
            </m:ctrlPr>
          </m:fPr>
          <m:num>
            <m:d>
              <m:dPr>
                <m:begChr m:val="["/>
                <m:endChr m:val="]"/>
                <m:ctrlPr>
                  <w:rPr>
                    <w:rFonts w:ascii="Cambria Math" w:eastAsia="Cambria Math" w:hAnsi="Cambria Math" w:cs="Cambria Math"/>
                  </w:rPr>
                </m:ctrlPr>
              </m:dPr>
              <m:e>
                <m:r>
                  <w:rPr>
                    <w:rFonts w:ascii="Cambria Math" w:eastAsia="Cambria Math" w:hAnsi="Cambria Math" w:cs="Cambria Math"/>
                  </w:rPr>
                  <m:t>H</m:t>
                </m:r>
                <m:r>
                  <w:rPr>
                    <w:rFonts w:ascii="Cambria Math" w:eastAsia="Cambria Math" w:hAnsi="Cambria Math" w:cs="Cambria Math"/>
                  </w:rPr>
                  <m:t>2</m:t>
                </m:r>
                <m:r>
                  <w:rPr>
                    <w:rFonts w:ascii="Cambria Math" w:eastAsia="Cambria Math" w:hAnsi="Cambria Math" w:cs="Cambria Math"/>
                  </w:rPr>
                  <m:t>O</m:t>
                </m:r>
              </m:e>
            </m:d>
          </m:num>
          <m:den>
            <m:d>
              <m:dPr>
                <m:begChr m:val="["/>
                <m:endChr m:val="]"/>
                <m:ctrlPr>
                  <w:rPr>
                    <w:rFonts w:ascii="Cambria Math" w:eastAsia="Cambria Math" w:hAnsi="Cambria Math" w:cs="Cambria Math"/>
                  </w:rPr>
                </m:ctrlPr>
              </m:dPr>
              <m:e>
                <m:r>
                  <w:rPr>
                    <w:rFonts w:ascii="Cambria Math" w:eastAsia="Cambria Math" w:hAnsi="Cambria Math" w:cs="Cambria Math"/>
                  </w:rPr>
                  <m:t>air</m:t>
                </m:r>
              </m:e>
            </m:d>
          </m:den>
        </m:f>
        <m:r>
          <w:rPr>
            <w:rFonts w:ascii="Cambria Math" w:eastAsia="Cambria Math" w:hAnsi="Cambria Math" w:cs="Cambria Math"/>
          </w:rPr>
          <m:t>=</m:t>
        </m:r>
        <m:f>
          <m:fPr>
            <m:ctrlPr>
              <w:rPr>
                <w:rFonts w:ascii="Cambria Math" w:eastAsia="Cambria Math" w:hAnsi="Cambria Math" w:cs="Cambria Math"/>
              </w:rPr>
            </m:ctrlPr>
          </m:fPr>
          <m:num>
            <m:nary>
              <m:naryPr>
                <m:chr m:val="∑"/>
                <m:ctrlPr>
                  <w:rPr>
                    <w:rFonts w:ascii="Cambria Math" w:eastAsia="Cambria Math" w:hAnsi="Cambria Math" w:cs="Cambria Math"/>
                  </w:rPr>
                </m:ctrlPr>
              </m:naryPr>
              <m:sub>
                <m:r>
                  <w:rPr>
                    <w:rFonts w:ascii="Cambria Math" w:eastAsia="Cambria Math" w:hAnsi="Cambria Math" w:cs="Cambria Math"/>
                  </w:rPr>
                  <m:t>p</m:t>
                </m:r>
                <m:r>
                  <w:rPr>
                    <w:rFonts w:ascii="Cambria Math" w:eastAsia="Cambria Math" w:hAnsi="Cambria Math" w:cs="Cambria Math"/>
                  </w:rPr>
                  <m:t>=100</m:t>
                </m:r>
                <m:r>
                  <w:rPr>
                    <w:rFonts w:ascii="Cambria Math" w:eastAsia="Cambria Math" w:hAnsi="Cambria Math" w:cs="Cambria Math"/>
                  </w:rPr>
                  <m:t>h</m:t>
                </m:r>
                <m:r>
                  <w:rPr>
                    <w:rFonts w:ascii="Cambria Math" w:eastAsia="Cambria Math" w:hAnsi="Cambria Math" w:cs="Cambria Math"/>
                  </w:rPr>
                  <m:t>Pa</m:t>
                </m:r>
              </m:sub>
              <m:sup>
                <m:r>
                  <w:rPr>
                    <w:rFonts w:ascii="Cambria Math" w:eastAsia="Cambria Math" w:hAnsi="Cambria Math" w:cs="Cambria Math"/>
                  </w:rPr>
                  <m:t>1</m:t>
                </m:r>
                <m:r>
                  <w:rPr>
                    <w:rFonts w:ascii="Cambria Math" w:eastAsia="Cambria Math" w:hAnsi="Cambria Math" w:cs="Cambria Math"/>
                  </w:rPr>
                  <m:t>h</m:t>
                </m:r>
                <m:r>
                  <w:rPr>
                    <w:rFonts w:ascii="Cambria Math" w:eastAsia="Cambria Math" w:hAnsi="Cambria Math" w:cs="Cambria Math"/>
                  </w:rPr>
                  <m:t>Pa</m:t>
                </m:r>
              </m:sup>
              <m:e/>
            </m:nary>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p</m:t>
                </m:r>
              </m:sub>
            </m:sSub>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m:t>
                    </m:r>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2</m:t>
                        </m:r>
                      </m:den>
                    </m:f>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m:t>
                    </m:r>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2</m:t>
                        </m:r>
                      </m:den>
                    </m:f>
                  </m:sub>
                </m:sSub>
              </m:num>
              <m:den>
                <m:r>
                  <w:rPr>
                    <w:rFonts w:ascii="Cambria Math" w:eastAsia="Cambria Math" w:hAnsi="Cambria Math" w:cs="Cambria Math"/>
                  </w:rPr>
                  <m:t>g</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air</m:t>
                    </m:r>
                  </m:sub>
                </m:sSub>
              </m:den>
            </m:f>
          </m:num>
          <m:den>
            <m:nary>
              <m:naryPr>
                <m:chr m:val="∑"/>
                <m:ctrlPr>
                  <w:rPr>
                    <w:rFonts w:ascii="Cambria Math" w:eastAsia="Cambria Math" w:hAnsi="Cambria Math" w:cs="Cambria Math"/>
                  </w:rPr>
                </m:ctrlPr>
              </m:naryPr>
              <m:sub>
                <m:r>
                  <w:rPr>
                    <w:rFonts w:ascii="Cambria Math" w:eastAsia="Cambria Math" w:hAnsi="Cambria Math" w:cs="Cambria Math"/>
                  </w:rPr>
                  <m:t>p</m:t>
                </m:r>
                <m:r>
                  <w:rPr>
                    <w:rFonts w:ascii="Cambria Math" w:eastAsia="Cambria Math" w:hAnsi="Cambria Math" w:cs="Cambria Math"/>
                  </w:rPr>
                  <m:t>=100</m:t>
                </m:r>
                <m:r>
                  <w:rPr>
                    <w:rFonts w:ascii="Cambria Math" w:eastAsia="Cambria Math" w:hAnsi="Cambria Math" w:cs="Cambria Math"/>
                  </w:rPr>
                  <m:t>h</m:t>
                </m:r>
                <m:r>
                  <w:rPr>
                    <w:rFonts w:ascii="Cambria Math" w:eastAsia="Cambria Math" w:hAnsi="Cambria Math" w:cs="Cambria Math"/>
                  </w:rPr>
                  <m:t>Pa</m:t>
                </m:r>
              </m:sub>
              <m:sup>
                <m:r>
                  <w:rPr>
                    <w:rFonts w:ascii="Cambria Math" w:eastAsia="Cambria Math" w:hAnsi="Cambria Math" w:cs="Cambria Math"/>
                  </w:rPr>
                  <m:t>1</m:t>
                </m:r>
                <m:r>
                  <w:rPr>
                    <w:rFonts w:ascii="Cambria Math" w:eastAsia="Cambria Math" w:hAnsi="Cambria Math" w:cs="Cambria Math"/>
                  </w:rPr>
                  <m:t>h</m:t>
                </m:r>
                <m:r>
                  <w:rPr>
                    <w:rFonts w:ascii="Cambria Math" w:eastAsia="Cambria Math" w:hAnsi="Cambria Math" w:cs="Cambria Math"/>
                  </w:rPr>
                  <m:t>Pa</m:t>
                </m:r>
              </m:sup>
              <m:e/>
            </m:nary>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m:t>
                    </m:r>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2</m:t>
                        </m:r>
                      </m:den>
                    </m:f>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p</m:t>
                    </m:r>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2</m:t>
                        </m:r>
                      </m:den>
                    </m:f>
                  </m:sub>
                </m:sSub>
              </m:num>
              <m:den>
                <m:r>
                  <w:rPr>
                    <w:rFonts w:ascii="Cambria Math" w:eastAsia="Cambria Math" w:hAnsi="Cambria Math" w:cs="Cambria Math"/>
                  </w:rPr>
                  <m:t>g</m:t>
                </m:r>
                <m:sSub>
                  <m:sSubPr>
                    <m:ctrlPr>
                      <w:rPr>
                        <w:rFonts w:ascii="Cambria Math" w:eastAsia="Cambria Math" w:hAnsi="Cambria Math" w:cs="Cambria Math"/>
                      </w:rPr>
                    </m:ctrlPr>
                  </m:sSubPr>
                  <m:e>
                    <m:r>
                      <w:rPr>
                        <w:rFonts w:ascii="Cambria Math" w:eastAsia="Cambria Math" w:hAnsi="Cambria Math" w:cs="Cambria Math"/>
                      </w:rPr>
                      <m:t>M</m:t>
                    </m:r>
                  </m:e>
                  <m:sub>
                    <m:r>
                      <w:rPr>
                        <w:rFonts w:ascii="Cambria Math" w:eastAsia="Cambria Math" w:hAnsi="Cambria Math" w:cs="Cambria Math"/>
                      </w:rPr>
                      <m:t>air</m:t>
                    </m:r>
                  </m:sub>
                </m:sSub>
              </m:den>
            </m:f>
          </m:den>
        </m:f>
      </m:oMath>
      <w:r>
        <w:rPr>
          <w:rFonts w:ascii="Cambria Math" w:eastAsia="Cambria Math" w:hAnsi="Cambria Math" w:cs="Cambria Math"/>
        </w:rPr>
        <w:t xml:space="preserve">   </w:t>
      </w:r>
    </w:p>
    <w:p w:rsidR="001C58C1" w:rsidRDefault="001C58C1">
      <w:pPr>
        <w:spacing w:line="276" w:lineRule="auto"/>
        <w:jc w:val="both"/>
        <w:rPr>
          <w:rFonts w:ascii="Liberation Serif" w:eastAsia="Liberation Serif" w:hAnsi="Liberation Serif" w:cs="Liberation Serif"/>
        </w:rPr>
      </w:pPr>
    </w:p>
    <w:p w:rsidR="001C58C1" w:rsidRDefault="007F360E">
      <w:pPr>
        <w:pBdr>
          <w:top w:val="nil"/>
          <w:left w:val="nil"/>
          <w:bottom w:val="nil"/>
          <w:right w:val="nil"/>
          <w:between w:val="nil"/>
        </w:pBdr>
        <w:spacing w:line="276" w:lineRule="auto"/>
        <w:ind w:firstLine="425"/>
        <w:jc w:val="both"/>
      </w:pPr>
      <w:r>
        <w:t xml:space="preserve">The number of </w:t>
      </w:r>
      <w:proofErr w:type="gramStart"/>
      <w:r>
        <w:t>water</w:t>
      </w:r>
      <w:proofErr w:type="gramEnd"/>
      <w:r>
        <w:t xml:space="preserve"> vapour molecules in the domain considered is given by the following formula, with Nair the number of air mo</w:t>
      </w:r>
      <w:r>
        <w:t>lecules in the domain, NA the Avogadro number, S the surface area of the domain:</w:t>
      </w:r>
    </w:p>
    <w:p w:rsidR="001C58C1" w:rsidRDefault="007F360E">
      <w:pPr>
        <w:pBdr>
          <w:top w:val="nil"/>
          <w:left w:val="nil"/>
          <w:bottom w:val="nil"/>
          <w:right w:val="nil"/>
          <w:between w:val="nil"/>
        </w:pBdr>
        <w:spacing w:line="276" w:lineRule="auto"/>
        <w:ind w:firstLine="425"/>
        <w:jc w:val="both"/>
      </w:pPr>
      <w:r>
        <w:t xml:space="preserve">                              </w:t>
      </w:r>
      <m:oMath>
        <m:sSub>
          <m:sSubPr>
            <m:ctrlPr>
              <w:rPr>
                <w:rFonts w:ascii="Cambria Math" w:hAnsi="Cambria Math"/>
              </w:rPr>
            </m:ctrlPr>
          </m:sSubPr>
          <m:e>
            <m:r>
              <w:rPr>
                <w:rFonts w:ascii="Cambria Math" w:hAnsi="Cambria Math"/>
              </w:rPr>
              <m:t>N</m:t>
            </m:r>
          </m:e>
          <m:sub>
            <m:r>
              <w:rPr>
                <w:rFonts w:ascii="Cambria Math" w:hAnsi="Cambria Math"/>
              </w:rPr>
              <m:t>H</m:t>
            </m:r>
            <m:r>
              <w:rPr>
                <w:rFonts w:ascii="Cambria Math" w:hAnsi="Cambria Math"/>
              </w:rPr>
              <m:t>2</m:t>
            </m:r>
            <m:r>
              <w:rPr>
                <w:rFonts w:ascii="Cambria Math" w:hAnsi="Cambria Math"/>
              </w:rPr>
              <m:t>O</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col</m:t>
            </m:r>
          </m:sub>
        </m:sSub>
        <m:sSub>
          <m:sSubPr>
            <m:ctrlPr>
              <w:rPr>
                <w:rFonts w:ascii="Cambria Math" w:hAnsi="Cambria Math"/>
              </w:rPr>
            </m:ctrlPr>
          </m:sSubPr>
          <m:e>
            <m:r>
              <w:rPr>
                <w:rFonts w:ascii="Cambria Math" w:hAnsi="Cambria Math"/>
              </w:rPr>
              <m:t>N</m:t>
            </m:r>
          </m:e>
          <m:sub>
            <m:r>
              <w:rPr>
                <w:rFonts w:ascii="Cambria Math" w:hAnsi="Cambria Math"/>
              </w:rPr>
              <m:t>air</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col</m:t>
            </m:r>
          </m:sub>
        </m:sSub>
        <m:r>
          <w:rPr>
            <w:rFonts w:ascii="Cambria Math" w:hAnsi="Cambria Math"/>
          </w:rPr>
          <m:t>S</m:t>
        </m:r>
        <m:sSub>
          <m:sSubPr>
            <m:ctrlPr>
              <w:rPr>
                <w:rFonts w:ascii="Cambria Math" w:hAnsi="Cambria Math"/>
              </w:rPr>
            </m:ctrlPr>
          </m:sSubPr>
          <m:e>
            <m:r>
              <w:rPr>
                <w:rFonts w:ascii="Cambria Math" w:hAnsi="Cambria Math"/>
              </w:rPr>
              <m:t>N</m:t>
            </m:r>
          </m:e>
          <m:sub>
            <m:r>
              <w:rPr>
                <w:rFonts w:ascii="Cambria Math" w:hAnsi="Cambria Math"/>
              </w:rPr>
              <m:t>A</m:t>
            </m:r>
          </m:sub>
        </m:sSub>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bottom</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top</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ub>
            </m:sSub>
          </m:num>
          <m:den>
            <m:r>
              <w:rPr>
                <w:rFonts w:ascii="Cambria Math" w:hAnsi="Cambria Math"/>
              </w:rPr>
              <m:t>g</m:t>
            </m:r>
            <m:sSub>
              <m:sSubPr>
                <m:ctrlPr>
                  <w:rPr>
                    <w:rFonts w:ascii="Cambria Math" w:hAnsi="Cambria Math"/>
                  </w:rPr>
                </m:ctrlPr>
              </m:sSubPr>
              <m:e>
                <m:r>
                  <w:rPr>
                    <w:rFonts w:ascii="Cambria Math" w:hAnsi="Cambria Math"/>
                  </w:rPr>
                  <m:t>M</m:t>
                </m:r>
              </m:e>
              <m:sub>
                <m:r>
                  <w:rPr>
                    <w:rFonts w:ascii="Cambria Math" w:hAnsi="Cambria Math"/>
                  </w:rPr>
                  <m:t>air</m:t>
                </m:r>
              </m:sub>
            </m:sSub>
          </m:den>
        </m:f>
      </m:oMath>
    </w:p>
    <w:p w:rsidR="001C58C1" w:rsidRDefault="007F360E">
      <w:pPr>
        <w:pBdr>
          <w:top w:val="nil"/>
          <w:left w:val="nil"/>
          <w:bottom w:val="nil"/>
          <w:right w:val="nil"/>
          <w:between w:val="nil"/>
        </w:pBdr>
        <w:spacing w:line="276" w:lineRule="auto"/>
        <w:ind w:firstLine="425"/>
        <w:jc w:val="both"/>
      </w:pPr>
      <w:r>
        <w:t>And finally, the mass of water vapour in the domain is calculated:</w:t>
      </w:r>
    </w:p>
    <w:p w:rsidR="001C58C1" w:rsidRDefault="007F360E">
      <w:pPr>
        <w:pBdr>
          <w:top w:val="nil"/>
          <w:left w:val="nil"/>
          <w:bottom w:val="nil"/>
          <w:right w:val="nil"/>
          <w:between w:val="nil"/>
        </w:pBdr>
        <w:spacing w:line="276" w:lineRule="auto"/>
        <w:ind w:firstLine="425"/>
        <w:jc w:val="both"/>
      </w:pPr>
      <w:r>
        <w:t xml:space="preserve">                      </w:t>
      </w:r>
      <m:oMath>
        <m:sSub>
          <m:sSubPr>
            <m:ctrlPr>
              <w:rPr>
                <w:rFonts w:ascii="Cambria Math" w:hAnsi="Cambria Math"/>
              </w:rPr>
            </m:ctrlPr>
          </m:sSubPr>
          <m:e>
            <m:r>
              <w:rPr>
                <w:rFonts w:ascii="Cambria Math" w:hAnsi="Cambria Math"/>
              </w:rPr>
              <m:t>m</m:t>
            </m:r>
          </m:e>
          <m:sub>
            <m:r>
              <w:rPr>
                <w:rFonts w:ascii="Cambria Math" w:hAnsi="Cambria Math"/>
              </w:rPr>
              <m:t>H</m:t>
            </m:r>
            <m:r>
              <w:rPr>
                <w:rFonts w:ascii="Cambria Math" w:hAnsi="Cambria Math"/>
              </w:rPr>
              <m:t>2</m:t>
            </m:r>
            <m:r>
              <w:rPr>
                <w:rFonts w:ascii="Cambria Math" w:hAnsi="Cambria Math"/>
              </w:rPr>
              <m:t>O</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H</m:t>
                </m:r>
                <m:r>
                  <w:rPr>
                    <w:rFonts w:ascii="Cambria Math" w:hAnsi="Cambria Math"/>
                  </w:rPr>
                  <m:t>2</m:t>
                </m:r>
                <m:r>
                  <w:rPr>
                    <w:rFonts w:ascii="Cambria Math" w:hAnsi="Cambria Math"/>
                  </w:rPr>
                  <m:t>O</m:t>
                </m:r>
              </m:sub>
            </m:sSub>
            <m:sSub>
              <m:sSubPr>
                <m:ctrlPr>
                  <w:rPr>
                    <w:rFonts w:ascii="Cambria Math" w:hAnsi="Cambria Math"/>
                  </w:rPr>
                </m:ctrlPr>
              </m:sSubPr>
              <m:e>
                <m:r>
                  <w:rPr>
                    <w:rFonts w:ascii="Cambria Math" w:hAnsi="Cambria Math"/>
                  </w:rPr>
                  <m:t>N</m:t>
                </m:r>
              </m:e>
              <m:sub>
                <m:r>
                  <w:rPr>
                    <w:rFonts w:ascii="Cambria Math" w:hAnsi="Cambria Math"/>
                  </w:rPr>
                  <m:t>H</m:t>
                </m:r>
                <m:r>
                  <w:rPr>
                    <w:rFonts w:ascii="Cambria Math" w:hAnsi="Cambria Math"/>
                  </w:rPr>
                  <m:t>2</m:t>
                </m:r>
                <m:r>
                  <w:rPr>
                    <w:rFonts w:ascii="Cambria Math" w:hAnsi="Cambria Math"/>
                  </w:rPr>
                  <m:t>O</m:t>
                </m:r>
              </m:sub>
            </m:sSub>
          </m:num>
          <m:den>
            <m:sSub>
              <m:sSubPr>
                <m:ctrlPr>
                  <w:rPr>
                    <w:rFonts w:ascii="Cambria Math" w:hAnsi="Cambria Math"/>
                  </w:rPr>
                </m:ctrlPr>
              </m:sSubPr>
              <m:e>
                <m:r>
                  <w:rPr>
                    <w:rFonts w:ascii="Cambria Math" w:hAnsi="Cambria Math"/>
                  </w:rPr>
                  <m:t>N</m:t>
                </m:r>
              </m:e>
              <m:sub>
                <m:r>
                  <w:rPr>
                    <w:rFonts w:ascii="Cambria Math" w:hAnsi="Cambria Math"/>
                  </w:rPr>
                  <m:t>A</m:t>
                </m:r>
              </m:sub>
            </m:sSub>
          </m:den>
        </m:f>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H</m:t>
            </m:r>
            <m:r>
              <w:rPr>
                <w:rFonts w:ascii="Cambria Math" w:hAnsi="Cambria Math"/>
              </w:rPr>
              <m:t>2</m:t>
            </m:r>
            <m:r>
              <w:rPr>
                <w:rFonts w:ascii="Cambria Math" w:hAnsi="Cambria Math"/>
              </w:rPr>
              <m:t>O</m:t>
            </m:r>
          </m:sub>
        </m:sSub>
        <m:r>
          <w:rPr>
            <w:rFonts w:ascii="Cambria Math" w:hAnsi="Cambria Math"/>
          </w:rPr>
          <m:t>S</m:t>
        </m:r>
        <m:nary>
          <m:naryPr>
            <m:chr m:val="∑"/>
            <m:ctrlPr>
              <w:rPr>
                <w:rFonts w:ascii="Cambria Math" w:hAnsi="Cambria Math"/>
              </w:rPr>
            </m:ctrlPr>
          </m:naryPr>
          <m:sub>
            <m:r>
              <w:rPr>
                <w:rFonts w:ascii="Cambria Math" w:hAnsi="Cambria Math"/>
              </w:rPr>
              <m:t>p</m:t>
            </m:r>
            <m:r>
              <w:rPr>
                <w:rFonts w:ascii="Cambria Math" w:hAnsi="Cambria Math"/>
              </w:rPr>
              <m:t>=100</m:t>
            </m:r>
            <m:r>
              <w:rPr>
                <w:rFonts w:ascii="Cambria Math" w:hAnsi="Cambria Math"/>
              </w:rPr>
              <m:t>h</m:t>
            </m:r>
            <m:r>
              <w:rPr>
                <w:rFonts w:ascii="Cambria Math" w:hAnsi="Cambria Math"/>
              </w:rPr>
              <m:t>Pa</m:t>
            </m:r>
          </m:sub>
          <m:sup>
            <m:r>
              <w:rPr>
                <w:rFonts w:ascii="Cambria Math" w:hAnsi="Cambria Math"/>
              </w:rPr>
              <m:t>1</m:t>
            </m:r>
            <m:r>
              <w:rPr>
                <w:rFonts w:ascii="Cambria Math" w:hAnsi="Cambria Math"/>
              </w:rPr>
              <m:t>h</m:t>
            </m:r>
            <m:r>
              <w:rPr>
                <w:rFonts w:ascii="Cambria Math" w:hAnsi="Cambria Math"/>
              </w:rPr>
              <m:t>Pa</m:t>
            </m:r>
          </m:sup>
          <m:e/>
        </m:nary>
        <m:sSub>
          <m:sSubPr>
            <m:ctrlPr>
              <w:rPr>
                <w:rFonts w:ascii="Cambria Math" w:hAnsi="Cambria Math"/>
              </w:rPr>
            </m:ctrlPr>
          </m:sSubPr>
          <m:e>
            <m:r>
              <w:rPr>
                <w:rFonts w:ascii="Cambria Math" w:hAnsi="Cambria Math"/>
              </w:rPr>
              <m:t>X</m:t>
            </m:r>
          </m:e>
          <m:sub>
            <m:r>
              <w:rPr>
                <w:rFonts w:ascii="Cambria Math" w:hAnsi="Cambria Math"/>
              </w:rPr>
              <m:t>p</m:t>
            </m:r>
          </m:sub>
        </m:sSub>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p</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p</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ub>
            </m:sSub>
          </m:num>
          <m:den>
            <m:r>
              <w:rPr>
                <w:rFonts w:ascii="Cambria Math" w:hAnsi="Cambria Math"/>
              </w:rPr>
              <m:t>g</m:t>
            </m:r>
            <m:sSub>
              <m:sSubPr>
                <m:ctrlPr>
                  <w:rPr>
                    <w:rFonts w:ascii="Cambria Math" w:hAnsi="Cambria Math"/>
                  </w:rPr>
                </m:ctrlPr>
              </m:sSubPr>
              <m:e>
                <m:r>
                  <w:rPr>
                    <w:rFonts w:ascii="Cambria Math" w:hAnsi="Cambria Math"/>
                  </w:rPr>
                  <m:t>M</m:t>
                </m:r>
              </m:e>
              <m:sub>
                <m:r>
                  <w:rPr>
                    <w:rFonts w:ascii="Cambria Math" w:hAnsi="Cambria Math"/>
                  </w:rPr>
                  <m:t>air</m:t>
                </m:r>
              </m:sub>
            </m:sSub>
          </m:den>
        </m:f>
      </m:oMath>
    </w:p>
    <w:p w:rsidR="001C58C1" w:rsidRDefault="007F360E">
      <w:pPr>
        <w:pBdr>
          <w:top w:val="nil"/>
          <w:left w:val="nil"/>
          <w:bottom w:val="nil"/>
          <w:right w:val="nil"/>
          <w:between w:val="nil"/>
        </w:pBdr>
        <w:spacing w:line="276" w:lineRule="auto"/>
        <w:ind w:firstLine="425"/>
        <w:jc w:val="both"/>
        <w:rPr>
          <w:rFonts w:ascii="Liberation Serif" w:eastAsia="Liberation Serif" w:hAnsi="Liberation Serif" w:cs="Liberation Serif"/>
        </w:rPr>
      </w:pPr>
      <w:r>
        <w:t>Finally, the stratospheric H2O mass is obtained as the sum of the masses calculated for each latitudinal band.</w:t>
      </w:r>
      <w:r>
        <w:rPr>
          <w:rFonts w:ascii="Liberation Serif" w:eastAsia="Liberation Serif" w:hAnsi="Liberation Serif" w:cs="Liberation Serif"/>
        </w:rPr>
        <w:t xml:space="preserve"> </w:t>
      </w:r>
      <w:r>
        <w:rPr>
          <w:sz w:val="22"/>
          <w:szCs w:val="22"/>
        </w:rPr>
        <w:t>The error bars on the mass of injection are estimated by combining accuracies on the measurements and the mean standard deviations over 20-day periods before and after the sharp increase.</w:t>
      </w:r>
    </w:p>
    <w:p w:rsidR="001C58C1" w:rsidRDefault="007F360E">
      <w:pPr>
        <w:pBdr>
          <w:top w:val="nil"/>
          <w:left w:val="nil"/>
          <w:bottom w:val="nil"/>
          <w:right w:val="nil"/>
          <w:between w:val="nil"/>
        </w:pBdr>
        <w:spacing w:line="276" w:lineRule="auto"/>
        <w:ind w:firstLine="425"/>
        <w:jc w:val="both"/>
        <w:rPr>
          <w:sz w:val="22"/>
          <w:szCs w:val="22"/>
        </w:rPr>
      </w:pPr>
      <w:r>
        <w:t>Figure S6 shows the change of stratospheric H2O mass following the e</w:t>
      </w:r>
      <w:r>
        <w:t xml:space="preserve">ruption estimated using MLS v4.2 and V.5 data. The V.5 data provides an estimate of </w:t>
      </w:r>
      <w:r>
        <w:rPr>
          <w:sz w:val="22"/>
          <w:szCs w:val="22"/>
        </w:rPr>
        <w:t>119</w:t>
      </w:r>
      <w:r>
        <w:rPr>
          <w:sz w:val="22"/>
          <w:szCs w:val="22"/>
          <w:shd w:val="clear" w:color="auto" w:fill="FCFCFC"/>
        </w:rPr>
        <w:t>±6</w:t>
      </w:r>
      <w:r>
        <w:rPr>
          <w:sz w:val="22"/>
          <w:szCs w:val="22"/>
        </w:rPr>
        <w:t xml:space="preserve"> </w:t>
      </w:r>
      <w:proofErr w:type="spellStart"/>
      <w:r>
        <w:rPr>
          <w:sz w:val="22"/>
          <w:szCs w:val="22"/>
        </w:rPr>
        <w:t>Tg</w:t>
      </w:r>
      <w:proofErr w:type="spellEnd"/>
      <w:r>
        <w:rPr>
          <w:sz w:val="22"/>
          <w:szCs w:val="22"/>
        </w:rPr>
        <w:t xml:space="preserve"> or 7.9% of the pre-eruption stratospheric H2O mass. The </w:t>
      </w:r>
      <w:proofErr w:type="gramStart"/>
      <w:r>
        <w:rPr>
          <w:sz w:val="22"/>
          <w:szCs w:val="22"/>
        </w:rPr>
        <w:t>V.4.2  data</w:t>
      </w:r>
      <w:proofErr w:type="gramEnd"/>
      <w:r>
        <w:rPr>
          <w:sz w:val="22"/>
          <w:szCs w:val="22"/>
        </w:rPr>
        <w:t xml:space="preserve"> provides a larger estimate of 137</w:t>
      </w:r>
      <w:r>
        <w:rPr>
          <w:sz w:val="22"/>
          <w:szCs w:val="22"/>
          <w:shd w:val="clear" w:color="auto" w:fill="FCFCFC"/>
        </w:rPr>
        <w:t xml:space="preserve">±7 </w:t>
      </w:r>
      <w:proofErr w:type="spellStart"/>
      <w:r>
        <w:rPr>
          <w:sz w:val="22"/>
          <w:szCs w:val="22"/>
          <w:shd w:val="clear" w:color="auto" w:fill="FCFCFC"/>
        </w:rPr>
        <w:t>Tg</w:t>
      </w:r>
      <w:proofErr w:type="spellEnd"/>
      <w:r>
        <w:rPr>
          <w:sz w:val="22"/>
          <w:szCs w:val="22"/>
          <w:shd w:val="clear" w:color="auto" w:fill="FCFCFC"/>
        </w:rPr>
        <w:t xml:space="preserve"> (8.1%), which is in good agreement with</w:t>
      </w:r>
      <w:r>
        <w:rPr>
          <w:sz w:val="22"/>
          <w:szCs w:val="22"/>
        </w:rPr>
        <w:t xml:space="preserve"> a similarly obta</w:t>
      </w:r>
      <w:r>
        <w:rPr>
          <w:sz w:val="22"/>
          <w:szCs w:val="22"/>
        </w:rPr>
        <w:t xml:space="preserve">ined estimate of 139 </w:t>
      </w:r>
      <w:r>
        <w:rPr>
          <w:sz w:val="22"/>
          <w:szCs w:val="22"/>
          <w:shd w:val="clear" w:color="auto" w:fill="FCFCFC"/>
        </w:rPr>
        <w:t>±</w:t>
      </w:r>
      <w:r>
        <w:rPr>
          <w:sz w:val="22"/>
          <w:szCs w:val="22"/>
        </w:rPr>
        <w:t xml:space="preserve">8 </w:t>
      </w:r>
      <w:proofErr w:type="spellStart"/>
      <w:r>
        <w:rPr>
          <w:sz w:val="22"/>
          <w:szCs w:val="22"/>
        </w:rPr>
        <w:t>Tg</w:t>
      </w:r>
      <w:proofErr w:type="spellEnd"/>
      <w:r>
        <w:rPr>
          <w:sz w:val="22"/>
          <w:szCs w:val="22"/>
        </w:rPr>
        <w:t xml:space="preserve"> (8.9%) by Xu et al. (2022) albeit somewhat smaller than V.4.2-based estimate of 146±5 </w:t>
      </w:r>
      <w:proofErr w:type="spellStart"/>
      <w:r>
        <w:rPr>
          <w:sz w:val="22"/>
          <w:szCs w:val="22"/>
        </w:rPr>
        <w:t>Tg</w:t>
      </w:r>
      <w:proofErr w:type="spellEnd"/>
      <w:r>
        <w:rPr>
          <w:sz w:val="22"/>
          <w:szCs w:val="22"/>
        </w:rPr>
        <w:t xml:space="preserve"> (10%) by Millan et al. (2022).</w:t>
      </w:r>
    </w:p>
    <w:p w:rsidR="001C58C1" w:rsidRDefault="007F360E">
      <w:pPr>
        <w:pBdr>
          <w:top w:val="nil"/>
          <w:left w:val="nil"/>
          <w:bottom w:val="nil"/>
          <w:right w:val="nil"/>
          <w:between w:val="nil"/>
        </w:pBdr>
        <w:spacing w:line="276" w:lineRule="auto"/>
        <w:ind w:firstLine="425"/>
        <w:jc w:val="both"/>
        <w:rPr>
          <w:sz w:val="22"/>
          <w:szCs w:val="22"/>
        </w:rPr>
      </w:pPr>
      <w:r>
        <w:rPr>
          <w:sz w:val="22"/>
          <w:szCs w:val="22"/>
        </w:rPr>
        <w:t>We note that the absolute value of the injected H2O mass is sensitive to the vertical layer considered. In pa</w:t>
      </w:r>
      <w:r>
        <w:rPr>
          <w:sz w:val="22"/>
          <w:szCs w:val="22"/>
        </w:rPr>
        <w:t xml:space="preserve">rticular, using 380 K potential temperature level as the low boundary of the stratospheric layer, we obtain 135±6 </w:t>
      </w:r>
      <w:proofErr w:type="spellStart"/>
      <w:r>
        <w:rPr>
          <w:sz w:val="22"/>
          <w:szCs w:val="22"/>
        </w:rPr>
        <w:t>Tg</w:t>
      </w:r>
      <w:proofErr w:type="spellEnd"/>
      <w:r>
        <w:rPr>
          <w:sz w:val="22"/>
          <w:szCs w:val="22"/>
        </w:rPr>
        <w:t xml:space="preserve"> using MLS V.5 or 146±5 </w:t>
      </w:r>
      <w:proofErr w:type="spellStart"/>
      <w:r>
        <w:rPr>
          <w:sz w:val="22"/>
          <w:szCs w:val="22"/>
        </w:rPr>
        <w:t>Tg</w:t>
      </w:r>
      <w:proofErr w:type="spellEnd"/>
      <w:r>
        <w:rPr>
          <w:sz w:val="22"/>
          <w:szCs w:val="22"/>
        </w:rPr>
        <w:t xml:space="preserve"> (9%) or 157±7 </w:t>
      </w:r>
      <w:proofErr w:type="spellStart"/>
      <w:r>
        <w:rPr>
          <w:sz w:val="22"/>
          <w:szCs w:val="22"/>
        </w:rPr>
        <w:t>Tg</w:t>
      </w:r>
      <w:proofErr w:type="spellEnd"/>
      <w:r>
        <w:rPr>
          <w:sz w:val="22"/>
          <w:szCs w:val="22"/>
        </w:rPr>
        <w:t xml:space="preserve"> (9.2%) using MLS V.4. Note though that </w:t>
      </w:r>
      <w:r>
        <w:rPr>
          <w:sz w:val="22"/>
          <w:szCs w:val="22"/>
        </w:rPr>
        <w:lastRenderedPageBreak/>
        <w:t xml:space="preserve">while the absolute values vary from 119 to 157 </w:t>
      </w:r>
      <w:proofErr w:type="spellStart"/>
      <w:r>
        <w:rPr>
          <w:sz w:val="22"/>
          <w:szCs w:val="22"/>
        </w:rPr>
        <w:t>Tg</w:t>
      </w:r>
      <w:proofErr w:type="spellEnd"/>
      <w:r>
        <w:rPr>
          <w:sz w:val="22"/>
          <w:szCs w:val="22"/>
        </w:rPr>
        <w:t>, the re</w:t>
      </w:r>
      <w:r>
        <w:rPr>
          <w:sz w:val="22"/>
          <w:szCs w:val="22"/>
        </w:rPr>
        <w:t xml:space="preserve">lative mass perturbation only varies between 7.9% - 9.2%. </w:t>
      </w:r>
    </w:p>
    <w:p w:rsidR="001C58C1" w:rsidRDefault="001C58C1">
      <w:pPr>
        <w:pBdr>
          <w:top w:val="nil"/>
          <w:left w:val="nil"/>
          <w:bottom w:val="nil"/>
          <w:right w:val="nil"/>
          <w:between w:val="nil"/>
        </w:pBdr>
        <w:spacing w:line="276" w:lineRule="auto"/>
        <w:ind w:firstLine="425"/>
        <w:jc w:val="both"/>
        <w:rPr>
          <w:sz w:val="22"/>
          <w:szCs w:val="22"/>
        </w:rPr>
      </w:pPr>
    </w:p>
    <w:p w:rsidR="001C58C1" w:rsidRDefault="007F360E">
      <w:pPr>
        <w:jc w:val="both"/>
        <w:rPr>
          <w:b/>
        </w:rPr>
      </w:pPr>
      <w:r>
        <w:rPr>
          <w:b/>
          <w:noProof/>
        </w:rPr>
        <w:drawing>
          <wp:inline distT="114300" distB="114300" distL="114300" distR="114300">
            <wp:extent cx="4633913" cy="2881343"/>
            <wp:effectExtent l="0" t="0" r="0" b="0"/>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4633913" cy="2881343"/>
                    </a:xfrm>
                    <a:prstGeom prst="rect">
                      <a:avLst/>
                    </a:prstGeom>
                    <a:ln/>
                  </pic:spPr>
                </pic:pic>
              </a:graphicData>
            </a:graphic>
          </wp:inline>
        </w:drawing>
      </w:r>
    </w:p>
    <w:p w:rsidR="001C58C1" w:rsidRDefault="007F360E">
      <w:pPr>
        <w:jc w:val="both"/>
        <w:rPr>
          <w:sz w:val="22"/>
          <w:szCs w:val="22"/>
        </w:rPr>
      </w:pPr>
      <w:r>
        <w:rPr>
          <w:b/>
        </w:rPr>
        <w:t>Figure S6. Hunga-induced change in the total mass of stratospheric water vapour between 100 hPa - 1 hPa pressure levels using MLS V4 and V5 data</w:t>
      </w:r>
      <w:r>
        <w:t xml:space="preserve"> (see text for details)</w:t>
      </w:r>
      <w:r>
        <w:rPr>
          <w:b/>
        </w:rPr>
        <w:t xml:space="preserve">. </w:t>
      </w:r>
    </w:p>
    <w:p w:rsidR="001C58C1" w:rsidRDefault="001C58C1">
      <w:pPr>
        <w:pBdr>
          <w:top w:val="nil"/>
          <w:left w:val="nil"/>
          <w:bottom w:val="nil"/>
          <w:right w:val="nil"/>
          <w:between w:val="nil"/>
        </w:pBdr>
        <w:spacing w:line="276" w:lineRule="auto"/>
        <w:ind w:firstLine="425"/>
        <w:jc w:val="both"/>
        <w:rPr>
          <w:sz w:val="22"/>
          <w:szCs w:val="22"/>
        </w:rPr>
      </w:pPr>
    </w:p>
    <w:p w:rsidR="001C58C1" w:rsidRDefault="007F360E">
      <w:pPr>
        <w:pBdr>
          <w:top w:val="nil"/>
          <w:left w:val="nil"/>
          <w:bottom w:val="nil"/>
          <w:right w:val="nil"/>
          <w:between w:val="nil"/>
        </w:pBdr>
        <w:spacing w:line="276" w:lineRule="auto"/>
        <w:ind w:firstLine="425"/>
        <w:jc w:val="both"/>
        <w:rPr>
          <w:sz w:val="22"/>
          <w:szCs w:val="22"/>
        </w:rPr>
      </w:pPr>
      <w:r>
        <w:br w:type="page"/>
      </w:r>
    </w:p>
    <w:p w:rsidR="001C58C1" w:rsidRDefault="007F360E">
      <w:pPr>
        <w:pBdr>
          <w:top w:val="nil"/>
          <w:left w:val="nil"/>
          <w:bottom w:val="nil"/>
          <w:right w:val="nil"/>
          <w:between w:val="nil"/>
        </w:pBdr>
        <w:spacing w:line="276" w:lineRule="auto"/>
        <w:jc w:val="both"/>
        <w:rPr>
          <w:b/>
          <w:color w:val="000000"/>
        </w:rPr>
      </w:pPr>
      <w:r>
        <w:rPr>
          <w:b/>
          <w:color w:val="000000"/>
        </w:rPr>
        <w:lastRenderedPageBreak/>
        <w:t>S</w:t>
      </w:r>
      <w:r>
        <w:rPr>
          <w:b/>
        </w:rPr>
        <w:t>.V</w:t>
      </w:r>
      <w:r>
        <w:rPr>
          <w:b/>
          <w:color w:val="000000"/>
        </w:rPr>
        <w:t xml:space="preserve"> </w:t>
      </w:r>
      <w:r>
        <w:rPr>
          <w:b/>
        </w:rPr>
        <w:t>P</w:t>
      </w:r>
      <w:r>
        <w:rPr>
          <w:b/>
          <w:color w:val="000000"/>
        </w:rPr>
        <w:t>article growth and sedimentation</w:t>
      </w:r>
    </w:p>
    <w:p w:rsidR="001C58C1" w:rsidRDefault="007F360E">
      <w:pPr>
        <w:spacing w:line="276" w:lineRule="auto"/>
        <w:ind w:firstLine="425"/>
        <w:jc w:val="both"/>
      </w:pPr>
      <w:r>
        <w:t>Particle size is retrieved from SAGE III/ISS by fitting the extinction spectrum from 384 to 1540 nm using a unimodal lognormal particle size distribution. Typically, particles in the stratosphere are composed primarily of s</w:t>
      </w:r>
      <w:r>
        <w:t>ulfuric acid and water with a 75/25 mix of H</w:t>
      </w:r>
      <w:r>
        <w:rPr>
          <w:vertAlign w:val="subscript"/>
        </w:rPr>
        <w:t>2</w:t>
      </w:r>
      <w:r>
        <w:t>SO</w:t>
      </w:r>
      <w:r>
        <w:rPr>
          <w:vertAlign w:val="subscript"/>
        </w:rPr>
        <w:t>4</w:t>
      </w:r>
      <w:r>
        <w:t>/H</w:t>
      </w:r>
      <w:r>
        <w:rPr>
          <w:vertAlign w:val="subscript"/>
        </w:rPr>
        <w:t>2</w:t>
      </w:r>
      <w:r>
        <w:t>O. This assumption impacts the particle size retrieval through the index of refraction, which for background conditions is typically between 1.40 to 1.44, depending on wavelength. If particles are more hyd</w:t>
      </w:r>
      <w:r>
        <w:t>rated this may reduce the index of refraction. To estimate the upper bound of the error due to the assumed index of refraction the retrieval is also performed assuming droplets of pure-water. This leads to retrieved effective radii consistently 100 nm larg</w:t>
      </w:r>
      <w:r>
        <w:t>er than when particles have a H</w:t>
      </w:r>
      <w:r>
        <w:rPr>
          <w:vertAlign w:val="subscript"/>
        </w:rPr>
        <w:t>2</w:t>
      </w:r>
      <w:r>
        <w:t>SO</w:t>
      </w:r>
      <w:r>
        <w:rPr>
          <w:vertAlign w:val="subscript"/>
        </w:rPr>
        <w:t>4</w:t>
      </w:r>
      <w:r>
        <w:t>/H</w:t>
      </w:r>
      <w:r>
        <w:rPr>
          <w:vertAlign w:val="subscript"/>
        </w:rPr>
        <w:t>2</w:t>
      </w:r>
      <w:r>
        <w:t>O mix.</w:t>
      </w:r>
    </w:p>
    <w:p w:rsidR="001C58C1" w:rsidRDefault="007F360E">
      <w:pPr>
        <w:spacing w:line="276" w:lineRule="auto"/>
        <w:ind w:firstLine="425"/>
        <w:jc w:val="both"/>
      </w:pPr>
      <w:r>
        <w:t>Figure S7(A-E) shows the effective radius retrieved from SAGE III for the months following the HT eruption using the H</w:t>
      </w:r>
      <w:r>
        <w:rPr>
          <w:vertAlign w:val="subscript"/>
        </w:rPr>
        <w:t>2</w:t>
      </w:r>
      <w:r>
        <w:t>SO</w:t>
      </w:r>
      <w:r>
        <w:rPr>
          <w:vertAlign w:val="subscript"/>
        </w:rPr>
        <w:t>4</w:t>
      </w:r>
      <w:r>
        <w:t>/H</w:t>
      </w:r>
      <w:r>
        <w:rPr>
          <w:vertAlign w:val="subscript"/>
        </w:rPr>
        <w:t>2</w:t>
      </w:r>
      <w:r>
        <w:t>O and pure-water compositions in red and blue respectively. Background conditions, sho</w:t>
      </w:r>
      <w:r>
        <w:t>wn in dashed lines, typically have an effective radius of approximately 230 nm. After the eruption, particle size increases to over 400-500 nm, depending on composition; larger than at any other point in the SAGE III/ISS record. This growth is contained pr</w:t>
      </w:r>
      <w:r>
        <w:t xml:space="preserve">imarily between 22 and 26 km, which contains the bulk of the enhanced aerosol. </w:t>
      </w:r>
    </w:p>
    <w:p w:rsidR="001C58C1" w:rsidRDefault="007F360E">
      <w:pPr>
        <w:pBdr>
          <w:top w:val="nil"/>
          <w:left w:val="nil"/>
          <w:bottom w:val="nil"/>
          <w:right w:val="nil"/>
          <w:between w:val="nil"/>
        </w:pBdr>
        <w:spacing w:line="276" w:lineRule="auto"/>
        <w:jc w:val="both"/>
      </w:pPr>
      <w:r>
        <w:t>Figure S7F shows aerosol extinction at 755 nm retrieved from OMPS–LP using a tomographic algorithm (</w:t>
      </w:r>
      <w:r>
        <w:rPr>
          <w:i/>
        </w:rPr>
        <w:t>Zawada et al., 2018</w:t>
      </w:r>
      <w:r>
        <w:t xml:space="preserve">). The OMPS product shows a clear layer centered at 24.5 </w:t>
      </w:r>
      <w:r>
        <w:t>km beginning in February. By mid-March the particles have reached their maximum size and this layer begins settling. The gray line in Figure S7F tracks the peak altitude of the plume. A linear fit to the peak beginning March 10</w:t>
      </w:r>
      <w:r>
        <w:rPr>
          <w:vertAlign w:val="superscript"/>
        </w:rPr>
        <w:t>th</w:t>
      </w:r>
      <w:r>
        <w:t xml:space="preserve"> suggests a settling rate o</w:t>
      </w:r>
      <w:r>
        <w:t>f 0.26 mm/s. This is corrected using the monthly averaged ERA5 vertical wind speed to obtain the fall speed. Kasten (</w:t>
      </w:r>
      <w:r>
        <w:rPr>
          <w:i/>
        </w:rPr>
        <w:t>1968</w:t>
      </w:r>
      <w:r>
        <w:t xml:space="preserve">) estimated the particle size from the fall speed, and applying this formula provides a radius of 350 to 540 nm, depending whether the </w:t>
      </w:r>
      <w:r>
        <w:t>particle density is typical of background aerosol or pure water. This is shown in panel G (solid lines) along with the SAGE III/ISS estimates of effective radius (dots). Generally, however these methods produce consistent particle sizes that point to subst</w:t>
      </w:r>
      <w:r>
        <w:t>antial particle growth through condensation and/or coagulation of particles compared to prior eruptions in the SAGE III/ISS period.</w:t>
      </w:r>
    </w:p>
    <w:p w:rsidR="001C58C1" w:rsidRDefault="007F360E">
      <w:pPr>
        <w:pBdr>
          <w:top w:val="nil"/>
          <w:left w:val="nil"/>
          <w:bottom w:val="nil"/>
          <w:right w:val="nil"/>
          <w:between w:val="nil"/>
        </w:pBdr>
        <w:spacing w:line="276" w:lineRule="auto"/>
        <w:ind w:firstLine="566"/>
        <w:jc w:val="both"/>
      </w:pPr>
      <w:r>
        <w:t>Figure S8 shows the retrieved lognormal parameters from the SAGE III/ISS data for October 2021 to June 2022 at various altitude levels. Points are colored by the number of days since the eruption. Before February, values shown as deep purple fall on a well</w:t>
      </w:r>
      <w:r>
        <w:t>-defined line of near-constant Angstrom exponent, due to the shallow nature of solution space under these conditions. At 25.5km particle size rapidly increases after the eruption to the largest size by March, then can be seen to relax back to near-backgrou</w:t>
      </w:r>
      <w:r>
        <w:t>nd levels. At 24.5 km the enhanced aerosol after the eruption is visible as well-defined mode of distribution parameters that relaxes to particles with a median radius of 300 nm and width of 1.25 by 130 days after the eruption - still considerably elevated</w:t>
      </w:r>
      <w:r>
        <w:t xml:space="preserve"> over background. At 23.5 km lognormal parameters continue to evolve towards larger, more well-defined particles, although with little change to the effective radius. Below 23 km particle size continues to increase up to 130 days past the eruptions as larg</w:t>
      </w:r>
      <w:r>
        <w:t xml:space="preserve">e particles from higher altitudes sediment and condensation and coagulation processes proceed. Altitudes below 23.5 km also </w:t>
      </w:r>
      <w:r>
        <w:lastRenderedPageBreak/>
        <w:t>exhibit a larger variation in retrieved parameters, potentially indicating a more complex interplay between the sedimentation, conde</w:t>
      </w:r>
      <w:r>
        <w:t>nsation and coagulation processes.</w:t>
      </w:r>
    </w:p>
    <w:p w:rsidR="001C58C1" w:rsidRDefault="007F360E">
      <w:pPr>
        <w:spacing w:line="276" w:lineRule="auto"/>
        <w:ind w:firstLine="425"/>
        <w:jc w:val="both"/>
      </w:pPr>
      <w:r>
        <w:t>Coagulation processes can both increase or decrease aerosol extinction by changing the scattering efficiency of the particles. Scattering efficiency at 755 nm per volume of aerosol reaches at peak at particles with a radi</w:t>
      </w:r>
      <w:r>
        <w:t xml:space="preserve">us near 400 nm for typical background conditions, and near 500 nm for purely water. </w:t>
      </w:r>
      <w:proofErr w:type="gramStart"/>
      <w:r>
        <w:t>Therefore</w:t>
      </w:r>
      <w:proofErr w:type="gramEnd"/>
      <w:r>
        <w:t xml:space="preserve"> coagulation of particles smaller than this will increase extinction while conserving volume. Conversely, collision of very large particles will tend to conserve b</w:t>
      </w:r>
      <w:r>
        <w:t>oth volume and extinction as the optical cross section in this case scales approximately with the cube of the radius. The bottom panels in Figure S8 show the correlation between extinction and the aerosol volume computed from the retrieved lognormal distri</w:t>
      </w:r>
      <w:r>
        <w:t>bution. When extinction values are low, the retrieved aerosol volume is sensitive to the particular lognormal parameters, while large volumes tend to be very well correlated with extinction. At 25.5 km the rapid increase in extinction and volume is evident</w:t>
      </w:r>
      <w:r>
        <w:t xml:space="preserve"> with a subsequent relaxation. 24.5 and 23.5 km are slower to relax with 22.5 km still exhibiting near-peak values 130 days after the eruption.</w:t>
      </w:r>
    </w:p>
    <w:p w:rsidR="001C58C1" w:rsidRDefault="001C58C1">
      <w:pPr>
        <w:spacing w:line="276" w:lineRule="auto"/>
        <w:jc w:val="both"/>
        <w:rPr>
          <w:rFonts w:ascii="Times" w:eastAsia="Times" w:hAnsi="Times" w:cs="Times"/>
          <w:sz w:val="22"/>
          <w:szCs w:val="22"/>
        </w:rPr>
      </w:pPr>
    </w:p>
    <w:p w:rsidR="001C58C1" w:rsidRDefault="007F360E">
      <w:pPr>
        <w:spacing w:line="276" w:lineRule="auto"/>
        <w:jc w:val="both"/>
        <w:rPr>
          <w:rFonts w:ascii="Times" w:eastAsia="Times" w:hAnsi="Times" w:cs="Times"/>
          <w:sz w:val="22"/>
          <w:szCs w:val="22"/>
        </w:rPr>
      </w:pPr>
      <w:r>
        <w:rPr>
          <w:rFonts w:ascii="Times" w:eastAsia="Times" w:hAnsi="Times" w:cs="Times"/>
          <w:noProof/>
          <w:sz w:val="22"/>
          <w:szCs w:val="22"/>
        </w:rPr>
        <w:lastRenderedPageBreak/>
        <w:drawing>
          <wp:inline distT="114300" distB="114300" distL="114300" distR="114300">
            <wp:extent cx="5943600" cy="5943600"/>
            <wp:effectExtent l="0" t="0" r="0" b="0"/>
            <wp:docPr id="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943600" cy="5943600"/>
                    </a:xfrm>
                    <a:prstGeom prst="rect">
                      <a:avLst/>
                    </a:prstGeom>
                    <a:ln/>
                  </pic:spPr>
                </pic:pic>
              </a:graphicData>
            </a:graphic>
          </wp:inline>
        </w:drawing>
      </w:r>
    </w:p>
    <w:p w:rsidR="001C58C1" w:rsidRDefault="007F360E">
      <w:pPr>
        <w:spacing w:line="276" w:lineRule="auto"/>
        <w:jc w:val="both"/>
        <w:rPr>
          <w:rFonts w:ascii="Times" w:eastAsia="Times" w:hAnsi="Times" w:cs="Times"/>
          <w:sz w:val="22"/>
          <w:szCs w:val="22"/>
        </w:rPr>
      </w:pPr>
      <w:r>
        <w:rPr>
          <w:rFonts w:ascii="Times" w:eastAsia="Times" w:hAnsi="Times" w:cs="Times"/>
          <w:b/>
          <w:sz w:val="22"/>
          <w:szCs w:val="22"/>
        </w:rPr>
        <w:t>Figure S7. Estimation of particle size from SAGE III/ISS and OMPS-LP.</w:t>
      </w:r>
      <w:r>
        <w:rPr>
          <w:rFonts w:ascii="Times" w:eastAsia="Times" w:hAnsi="Times" w:cs="Times"/>
          <w:sz w:val="22"/>
          <w:szCs w:val="22"/>
        </w:rPr>
        <w:t xml:space="preserve"> </w:t>
      </w:r>
      <w:r>
        <w:t xml:space="preserve">Panels A-E show the monthly averaged retrieved effective radius from SAGE III/ISS assuming background (blue) and pure-water (red) aerosol composition. Dashed lines indicate the average effective radius pre-eruption, computed from October and November 2021 </w:t>
      </w:r>
      <w:r>
        <w:t xml:space="preserve">profiles. Panel F shows the daily mean 745 nm aerosol extinction retrieved </w:t>
      </w:r>
      <w:proofErr w:type="spellStart"/>
      <w:r>
        <w:t>tomographically</w:t>
      </w:r>
      <w:proofErr w:type="spellEnd"/>
      <w:r>
        <w:t xml:space="preserve"> from OMPS-LP. The gray line indicates the altitude of the aerosol peak with the white line showing the linear fit. The dashed gray line indicates the eruption date o</w:t>
      </w:r>
      <w:r>
        <w:t xml:space="preserve">f Hunga-Tonga. Panel G shows the particle radius calculated from the fall speed in blue and red lines for water and H2SO4/H2O compositions respectively. The calculated fall speed is shown in green. Dots indicate the retrieved SAGE III/ISS effective radius </w:t>
      </w:r>
      <w:r>
        <w:t>at the peak altitude.</w:t>
      </w:r>
      <w:r>
        <w:br w:type="page"/>
      </w:r>
    </w:p>
    <w:p w:rsidR="001C58C1" w:rsidRDefault="001C58C1">
      <w:pPr>
        <w:spacing w:line="276" w:lineRule="auto"/>
        <w:jc w:val="both"/>
        <w:rPr>
          <w:rFonts w:ascii="Times" w:eastAsia="Times" w:hAnsi="Times" w:cs="Times"/>
          <w:sz w:val="22"/>
          <w:szCs w:val="22"/>
        </w:rPr>
      </w:pPr>
    </w:p>
    <w:p w:rsidR="001C58C1" w:rsidRDefault="007F360E">
      <w:pPr>
        <w:spacing w:line="276" w:lineRule="auto"/>
        <w:jc w:val="both"/>
      </w:pPr>
      <w:r>
        <w:rPr>
          <w:rFonts w:ascii="Times" w:eastAsia="Times" w:hAnsi="Times" w:cs="Times"/>
          <w:noProof/>
          <w:sz w:val="22"/>
          <w:szCs w:val="22"/>
        </w:rPr>
        <w:drawing>
          <wp:inline distT="114300" distB="114300" distL="114300" distR="114300">
            <wp:extent cx="5943600" cy="3340100"/>
            <wp:effectExtent l="0" t="0" r="0" b="0"/>
            <wp:docPr id="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943600" cy="3340100"/>
                    </a:xfrm>
                    <a:prstGeom prst="rect">
                      <a:avLst/>
                    </a:prstGeom>
                    <a:ln/>
                  </pic:spPr>
                </pic:pic>
              </a:graphicData>
            </a:graphic>
          </wp:inline>
        </w:drawing>
      </w:r>
    </w:p>
    <w:p w:rsidR="001C58C1" w:rsidRDefault="007F360E">
      <w:pPr>
        <w:pBdr>
          <w:top w:val="nil"/>
          <w:left w:val="nil"/>
          <w:bottom w:val="nil"/>
          <w:right w:val="nil"/>
          <w:between w:val="nil"/>
        </w:pBdr>
        <w:jc w:val="both"/>
        <w:rPr>
          <w:rFonts w:ascii="Times" w:eastAsia="Times" w:hAnsi="Times" w:cs="Times"/>
          <w:sz w:val="22"/>
          <w:szCs w:val="22"/>
        </w:rPr>
      </w:pPr>
      <w:r>
        <w:rPr>
          <w:b/>
        </w:rPr>
        <w:t xml:space="preserve">Figure S8. SAGEIII/ISS </w:t>
      </w:r>
      <w:r>
        <w:rPr>
          <w:rFonts w:ascii="Times" w:eastAsia="Times" w:hAnsi="Times" w:cs="Times"/>
          <w:b/>
          <w:sz w:val="22"/>
          <w:szCs w:val="22"/>
        </w:rPr>
        <w:t>retrieved aerosol size parameters</w:t>
      </w:r>
      <w:r>
        <w:rPr>
          <w:rFonts w:ascii="Times" w:eastAsia="Times" w:hAnsi="Times" w:cs="Times"/>
          <w:i/>
          <w:sz w:val="22"/>
          <w:szCs w:val="22"/>
        </w:rPr>
        <w:t>.</w:t>
      </w:r>
      <w:r>
        <w:rPr>
          <w:rFonts w:ascii="Times" w:eastAsia="Times" w:hAnsi="Times" w:cs="Times"/>
          <w:sz w:val="22"/>
          <w:szCs w:val="22"/>
        </w:rPr>
        <w:t xml:space="preserve"> Top row shows the retrieved lognormal median radius and width between 21.5 and 25.5 km altitudes. Color indicates the number of days since the Hunga eruption. Bottom row sh</w:t>
      </w:r>
      <w:r>
        <w:rPr>
          <w:rFonts w:ascii="Times" w:eastAsia="Times" w:hAnsi="Times" w:cs="Times"/>
          <w:sz w:val="22"/>
          <w:szCs w:val="22"/>
        </w:rPr>
        <w:t>ows the extinction at 755 nm and the retrieved volume computed from the lognormal distribution.</w:t>
      </w: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pBdr>
          <w:top w:val="nil"/>
          <w:left w:val="nil"/>
          <w:bottom w:val="nil"/>
          <w:right w:val="nil"/>
          <w:between w:val="nil"/>
        </w:pBdr>
        <w:jc w:val="both"/>
        <w:rPr>
          <w:rFonts w:ascii="Times" w:eastAsia="Times" w:hAnsi="Times" w:cs="Times"/>
          <w:sz w:val="22"/>
          <w:szCs w:val="22"/>
        </w:rPr>
      </w:pPr>
    </w:p>
    <w:p w:rsidR="001C58C1" w:rsidRDefault="001C58C1">
      <w:pPr>
        <w:spacing w:line="276" w:lineRule="auto"/>
        <w:jc w:val="both"/>
      </w:pPr>
    </w:p>
    <w:p w:rsidR="001C58C1" w:rsidRDefault="007F360E">
      <w:pPr>
        <w:spacing w:line="276" w:lineRule="auto"/>
        <w:jc w:val="both"/>
        <w:rPr>
          <w:b/>
        </w:rPr>
      </w:pPr>
      <w:r>
        <w:rPr>
          <w:b/>
        </w:rPr>
        <w:lastRenderedPageBreak/>
        <w:t>S.VI Heavy water isotopologues in the stratosphere from ACE-FTS</w:t>
      </w:r>
    </w:p>
    <w:p w:rsidR="001C58C1" w:rsidRDefault="007F360E">
      <w:pPr>
        <w:spacing w:line="276" w:lineRule="auto"/>
        <w:jc w:val="both"/>
      </w:pPr>
      <w:r>
        <w:t>Water isotopic data obtained by ACE-FTS clearly showing the stratospheric deltaD signal of the Hunga Tonga eruption. Figure S9Al shows a meridional section of deltaD calculated between 85S and 85N with 16 latitude bins and from 12 to 40 km in 28 altitude b</w:t>
      </w:r>
      <w:r>
        <w:t xml:space="preserve">ins. This section aggregates all relevant profiles from January to June 2022. The plot on the right shows deltaD plotted by time and altitude, aggregated into </w:t>
      </w:r>
      <w:proofErr w:type="gramStart"/>
      <w:r>
        <w:t>6 month</w:t>
      </w:r>
      <w:proofErr w:type="gramEnd"/>
      <w:r>
        <w:t xml:space="preserve"> temporal bins and drawn from the range 30S to 0 degrees. Again, the deltaD perturbation i</w:t>
      </w:r>
      <w:r>
        <w:t xml:space="preserve">s plainly visible in the </w:t>
      </w:r>
      <w:proofErr w:type="gramStart"/>
      <w:r>
        <w:t>6 month</w:t>
      </w:r>
      <w:proofErr w:type="gramEnd"/>
      <w:r>
        <w:t xml:space="preserve"> bin corresponding to January through June, 2022. The perturbation in deltaD is centered at about 16S and 26.5 km, and is enhanced by about 275‰ over typical values found in previous years. In both plots the deltaD value at </w:t>
      </w:r>
      <w:r>
        <w:t>a given point is the median value of the values found in that latitude-altitude, or time-altitude bin, respectively. The median value was chosen for this analysis since it is more robust against outliers. In practice, however, the mean and median are nearl</w:t>
      </w:r>
      <w:r>
        <w:t>y identical for stratospheric values.</w:t>
      </w:r>
    </w:p>
    <w:p w:rsidR="001C58C1" w:rsidRDefault="007F360E">
      <w:pPr>
        <w:spacing w:line="276" w:lineRule="auto"/>
        <w:jc w:val="both"/>
      </w:pPr>
      <w:r>
        <w:t>Isotopic values are often reported in ‘delta’ notation, where, for example:</w:t>
      </w:r>
    </w:p>
    <w:p w:rsidR="001C58C1" w:rsidRDefault="001C58C1">
      <w:pPr>
        <w:spacing w:line="276" w:lineRule="auto"/>
        <w:jc w:val="both"/>
      </w:pPr>
    </w:p>
    <w:p w:rsidR="001C58C1" w:rsidRDefault="007F360E">
      <w:pPr>
        <w:spacing w:line="276" w:lineRule="auto"/>
        <w:jc w:val="both"/>
      </w:pPr>
      <w:r>
        <w:t>deltaD=(1-R/</w:t>
      </w:r>
      <w:proofErr w:type="gramStart"/>
      <w:r>
        <w:t>Rs)*</w:t>
      </w:r>
      <w:proofErr w:type="gramEnd"/>
      <w:r>
        <w:t>1000,</w:t>
      </w:r>
    </w:p>
    <w:p w:rsidR="001C58C1" w:rsidRDefault="001C58C1">
      <w:pPr>
        <w:spacing w:line="276" w:lineRule="auto"/>
        <w:jc w:val="both"/>
      </w:pPr>
    </w:p>
    <w:p w:rsidR="001C58C1" w:rsidRDefault="007F360E">
      <w:pPr>
        <w:spacing w:line="276" w:lineRule="auto"/>
        <w:jc w:val="both"/>
      </w:pPr>
      <w:r>
        <w:t xml:space="preserve">where R is the isotopic ratio in the analyte, Rs is the isotopic ratio in a reference sample (Standard Mean Ocean Water or SMOW in the case of deltaD), and the factor of 1000 renders the result in units of per </w:t>
      </w:r>
      <w:proofErr w:type="spellStart"/>
      <w:r>
        <w:t>mille</w:t>
      </w:r>
      <w:proofErr w:type="spellEnd"/>
      <w:r>
        <w:t>. A deltaD value of 0‰ indicates that the</w:t>
      </w:r>
      <w:r>
        <w:t xml:space="preserve"> analyte has the same isotopic ratio as the standard, and a value of -1000‰ means that isotopic ratio of the analyte is zero.</w:t>
      </w:r>
    </w:p>
    <w:p w:rsidR="001C58C1" w:rsidRDefault="007F360E">
      <w:pPr>
        <w:spacing w:line="276" w:lineRule="auto"/>
        <w:jc w:val="both"/>
      </w:pPr>
      <w:r>
        <w:t>Vapor phase measurements of deltaD are useful probes of the atmosphere due to the large fractionation factor of HDO relative to H2</w:t>
      </w:r>
      <w:r>
        <w:t>O, especially at the low temperatures found in the upper troposphere and lower stratosphere. The practical effect of HDO’s elevated fractionation factor (or, put another way, lower vapor pressure) relative to H2O is that as moist air ascends, cools, and fo</w:t>
      </w:r>
      <w:r>
        <w:t xml:space="preserve">rms ice particles or water droplets, the heavier isotopologues preferentially partition into the condensed phases, thus depleting the vapor and enriching the condensates. The isotopic difference between vapor and condensate becomes more extreme the colder </w:t>
      </w:r>
      <w:r>
        <w:t>an air parcel becomes, and indeed the most depleted air in Earth’s atmosphere is found in its coldest points, namely Antarctica and the tropical cold point. This effect has been used in studies of tropical convection to understand the average tropical prof</w:t>
      </w:r>
      <w:r>
        <w:t>ile of deltaD, e.g. (Moyer, et al., 1996) and (</w:t>
      </w:r>
      <w:proofErr w:type="spellStart"/>
      <w:r>
        <w:t>Hanisco</w:t>
      </w:r>
      <w:proofErr w:type="spellEnd"/>
      <w:r>
        <w:t>, et al., 2007).</w:t>
      </w:r>
    </w:p>
    <w:p w:rsidR="001C58C1" w:rsidRDefault="007F360E">
      <w:pPr>
        <w:spacing w:line="276" w:lineRule="auto"/>
        <w:jc w:val="both"/>
      </w:pPr>
      <w:r>
        <w:t>The existence of such a large (+275‰) excursion from typical stratospheric values is a strong proof of the injection of a large quantity of extremely moist air directly from the surface</w:t>
      </w:r>
      <w:r>
        <w:t xml:space="preserve"> into the stratosphere, similar in effect to the convective lofting of ice described by Moyer et al. In this case, however the signal comes from the direct injection of evaporated seawater into the stratosphere. This moisture generally condensed on ascent,</w:t>
      </w:r>
      <w:r>
        <w:t xml:space="preserve"> but during subsequent sublimation in the stratosphere showed its strong isotopic enhancement characteristic of seawater.</w:t>
      </w:r>
    </w:p>
    <w:p w:rsidR="001C58C1" w:rsidRDefault="001C58C1">
      <w:pPr>
        <w:spacing w:line="276" w:lineRule="auto"/>
        <w:jc w:val="both"/>
      </w:pPr>
    </w:p>
    <w:p w:rsidR="001C58C1" w:rsidRDefault="007F360E">
      <w:pPr>
        <w:spacing w:line="276" w:lineRule="auto"/>
        <w:jc w:val="both"/>
      </w:pPr>
      <w:r>
        <w:lastRenderedPageBreak/>
        <w:t>Both plots show some evidence of the perturbation in deltaD extending to altitudes as high as 40 kilometers, although the increased e</w:t>
      </w:r>
      <w:r>
        <w:t>nhancement at higher altitudes due to oxidization of methane isotopologues tends to obscure this signal.</w:t>
      </w:r>
    </w:p>
    <w:p w:rsidR="001C58C1" w:rsidRDefault="007F360E">
      <w:pPr>
        <w:spacing w:line="276" w:lineRule="auto"/>
        <w:jc w:val="both"/>
      </w:pPr>
      <w:r>
        <w:rPr>
          <w:noProof/>
        </w:rPr>
        <w:drawing>
          <wp:inline distT="114300" distB="114300" distL="114300" distR="114300">
            <wp:extent cx="5943600" cy="2959100"/>
            <wp:effectExtent l="0" t="0" r="0" b="0"/>
            <wp:docPr id="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943600" cy="2959100"/>
                    </a:xfrm>
                    <a:prstGeom prst="rect">
                      <a:avLst/>
                    </a:prstGeom>
                    <a:ln/>
                  </pic:spPr>
                </pic:pic>
              </a:graphicData>
            </a:graphic>
          </wp:inline>
        </w:drawing>
      </w:r>
    </w:p>
    <w:p w:rsidR="001C58C1" w:rsidRDefault="001C58C1">
      <w:pPr>
        <w:pBdr>
          <w:top w:val="nil"/>
          <w:left w:val="nil"/>
          <w:bottom w:val="nil"/>
          <w:right w:val="nil"/>
          <w:between w:val="nil"/>
        </w:pBdr>
        <w:jc w:val="both"/>
      </w:pPr>
    </w:p>
    <w:p w:rsidR="001C58C1" w:rsidRDefault="007F360E">
      <w:pPr>
        <w:pBdr>
          <w:top w:val="nil"/>
          <w:left w:val="nil"/>
          <w:bottom w:val="nil"/>
          <w:right w:val="nil"/>
          <w:between w:val="nil"/>
        </w:pBdr>
        <w:jc w:val="both"/>
      </w:pPr>
      <w:r>
        <w:rPr>
          <w:b/>
        </w:rPr>
        <w:t xml:space="preserve">Figure S9. Heavy water isotopologues measurements by ACE-FTS. </w:t>
      </w:r>
      <w:r>
        <w:t>The left panel shows a meridional section composed of 16 latitude bins from 85S to 85N</w:t>
      </w:r>
      <w:r>
        <w:t xml:space="preserve">, and 28 altitude bins between 12 and 40 km. The right panel shows a height-time plot of deltaD composed of </w:t>
      </w:r>
      <w:proofErr w:type="gramStart"/>
      <w:r>
        <w:t>six month</w:t>
      </w:r>
      <w:proofErr w:type="gramEnd"/>
      <w:r>
        <w:t xml:space="preserve"> temporal bins from 2005 to 2022 and 28 altitude bins between 12 and 40 km.</w:t>
      </w:r>
    </w:p>
    <w:p w:rsidR="001C58C1" w:rsidRDefault="001C58C1">
      <w:pPr>
        <w:pBdr>
          <w:top w:val="nil"/>
          <w:left w:val="nil"/>
          <w:bottom w:val="nil"/>
          <w:right w:val="nil"/>
          <w:between w:val="nil"/>
        </w:pBdr>
        <w:jc w:val="both"/>
        <w:rPr>
          <w:b/>
        </w:rPr>
      </w:pPr>
    </w:p>
    <w:p w:rsidR="001C58C1" w:rsidRDefault="007F360E">
      <w:pPr>
        <w:pBdr>
          <w:top w:val="nil"/>
          <w:left w:val="nil"/>
          <w:bottom w:val="nil"/>
          <w:right w:val="nil"/>
          <w:between w:val="nil"/>
        </w:pBdr>
        <w:jc w:val="both"/>
        <w:rPr>
          <w:b/>
        </w:rPr>
      </w:pPr>
      <w:r>
        <w:rPr>
          <w:b/>
        </w:rPr>
        <w:tab/>
        <w:t xml:space="preserve"> </w:t>
      </w:r>
      <w:r>
        <w:rPr>
          <w:b/>
        </w:rPr>
        <w:tab/>
        <w:t xml:space="preserve"> </w:t>
      </w:r>
      <w:r>
        <w:rPr>
          <w:b/>
        </w:rPr>
        <w:tab/>
        <w:t xml:space="preserve"> </w:t>
      </w:r>
      <w:r>
        <w:rPr>
          <w:b/>
        </w:rPr>
        <w:tab/>
      </w:r>
    </w:p>
    <w:p w:rsidR="001C58C1" w:rsidRDefault="001C58C1">
      <w:pPr>
        <w:spacing w:line="360" w:lineRule="auto"/>
        <w:jc w:val="both"/>
      </w:pPr>
    </w:p>
    <w:p w:rsidR="001C58C1" w:rsidRDefault="001C58C1">
      <w:pPr>
        <w:spacing w:before="240"/>
        <w:jc w:val="both"/>
        <w:rPr>
          <w:b/>
        </w:rPr>
      </w:pPr>
    </w:p>
    <w:p w:rsidR="001C58C1" w:rsidRDefault="007F360E">
      <w:pPr>
        <w:pBdr>
          <w:top w:val="nil"/>
          <w:left w:val="nil"/>
          <w:bottom w:val="nil"/>
          <w:right w:val="nil"/>
          <w:between w:val="nil"/>
        </w:pBdr>
        <w:jc w:val="both"/>
        <w:rPr>
          <w:b/>
        </w:rPr>
      </w:pPr>
      <w:r>
        <w:br w:type="page"/>
      </w:r>
    </w:p>
    <w:p w:rsidR="001C58C1" w:rsidRDefault="001C58C1">
      <w:pPr>
        <w:pBdr>
          <w:top w:val="nil"/>
          <w:left w:val="nil"/>
          <w:bottom w:val="nil"/>
          <w:right w:val="nil"/>
          <w:between w:val="nil"/>
        </w:pBdr>
        <w:jc w:val="both"/>
      </w:pPr>
    </w:p>
    <w:p w:rsidR="001C58C1" w:rsidRDefault="007F360E">
      <w:pPr>
        <w:pBdr>
          <w:top w:val="nil"/>
          <w:left w:val="nil"/>
          <w:bottom w:val="nil"/>
          <w:right w:val="nil"/>
          <w:between w:val="nil"/>
        </w:pBdr>
        <w:jc w:val="both"/>
        <w:rPr>
          <w:b/>
        </w:rPr>
      </w:pPr>
      <w:r>
        <w:rPr>
          <w:b/>
        </w:rPr>
        <w:t>S.VII Observation of Hunga aerosols by Aeolus ALA</w:t>
      </w:r>
      <w:r>
        <w:rPr>
          <w:b/>
        </w:rPr>
        <w:t>DIN</w:t>
      </w:r>
    </w:p>
    <w:p w:rsidR="001C58C1" w:rsidRDefault="007F360E">
      <w:pPr>
        <w:pBdr>
          <w:top w:val="nil"/>
          <w:left w:val="nil"/>
          <w:bottom w:val="nil"/>
          <w:right w:val="nil"/>
          <w:between w:val="nil"/>
        </w:pBdr>
        <w:ind w:firstLine="425"/>
        <w:jc w:val="both"/>
      </w:pPr>
      <w:r>
        <w:t>Aeolus ALADIN instrument is the first space-borne High Spectral Resolution Lidar (HSRL) instrument for wind and aerosol/cloud profiling in the troposphere and lower stratosphere, operating in orbit since 2018 (see Methods). The vertical range for profiling</w:t>
      </w:r>
      <w:r>
        <w:t xml:space="preserve"> can be dynamically modified by changing the Range Bin Setting (RBS), which determines the width of atmospheric layers from which the lidar signal is integrated and hence the vertical resolution and the vertical range. Typically, the RBS is configured such</w:t>
      </w:r>
      <w:r>
        <w:t xml:space="preserve"> that the upper range of profiles is limited to the lower stratosphere, up to 18 - 22 km. </w:t>
      </w:r>
      <w:proofErr w:type="gramStart"/>
      <w:r>
        <w:t>However</w:t>
      </w:r>
      <w:proofErr w:type="gramEnd"/>
      <w:r>
        <w:t xml:space="preserve"> after the Hunga eruption, the RBS was set to reach the altitude of 30 km in order to enable a rare opportunity of wind measurements in the stratosphere using </w:t>
      </w:r>
      <w:r>
        <w:t xml:space="preserve">particulate backscatter (Mie) signal as well as to assess the capacity of ALADIN in stratospheric aerosol measurements. </w:t>
      </w:r>
    </w:p>
    <w:p w:rsidR="001C58C1" w:rsidRDefault="007F360E">
      <w:pPr>
        <w:pBdr>
          <w:top w:val="nil"/>
          <w:left w:val="nil"/>
          <w:bottom w:val="nil"/>
          <w:right w:val="nil"/>
          <w:between w:val="nil"/>
        </w:pBdr>
        <w:ind w:firstLine="425"/>
        <w:jc w:val="both"/>
      </w:pPr>
      <w:r>
        <w:t xml:space="preserve">Figure S10 shows a series of monthly-averaged latitude-altitude sections of scattering ratio for the months of January to May 2022. In </w:t>
      </w:r>
      <w:r>
        <w:t xml:space="preserve">January, Aeolus captures an intense scattering layer between 25 - 30 km with zonal-mean scattering ratios (SR) at 355 nm up to 5. This is consistent with CALIOP data reporting SR values up to 10 at 532 nm considering the wavelength difference (Figure 1 in </w:t>
      </w:r>
      <w:r>
        <w:t xml:space="preserve">Legras et al., 2022). In February, the bulk layer of aerosol is found between 24 - 27 km, suggesting gravitational settling of Hunga aerosols. Over the following months, as the plume spreads in the meridional space, the SR decreases to 2 at the zonal-mean </w:t>
      </w:r>
      <w:r>
        <w:t xml:space="preserve">scale in agreement with CALIOP 532 nm SR of around 4. </w:t>
      </w:r>
    </w:p>
    <w:p w:rsidR="001C58C1" w:rsidRDefault="001C58C1">
      <w:pPr>
        <w:pBdr>
          <w:top w:val="nil"/>
          <w:left w:val="nil"/>
          <w:bottom w:val="nil"/>
          <w:right w:val="nil"/>
          <w:between w:val="nil"/>
        </w:pBdr>
        <w:jc w:val="both"/>
      </w:pPr>
    </w:p>
    <w:p w:rsidR="001C58C1" w:rsidRDefault="007F360E">
      <w:pPr>
        <w:pBdr>
          <w:top w:val="nil"/>
          <w:left w:val="nil"/>
          <w:bottom w:val="nil"/>
          <w:right w:val="nil"/>
          <w:between w:val="nil"/>
        </w:pBdr>
        <w:jc w:val="both"/>
      </w:pPr>
      <w:r>
        <w:rPr>
          <w:noProof/>
        </w:rPr>
        <w:drawing>
          <wp:inline distT="114300" distB="114300" distL="114300" distR="114300">
            <wp:extent cx="5943600" cy="1168400"/>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5943600" cy="1168400"/>
                    </a:xfrm>
                    <a:prstGeom prst="rect">
                      <a:avLst/>
                    </a:prstGeom>
                    <a:ln/>
                  </pic:spPr>
                </pic:pic>
              </a:graphicData>
            </a:graphic>
          </wp:inline>
        </w:drawing>
      </w:r>
    </w:p>
    <w:p w:rsidR="001C58C1" w:rsidRDefault="007F360E">
      <w:pPr>
        <w:pBdr>
          <w:top w:val="nil"/>
          <w:left w:val="nil"/>
          <w:bottom w:val="nil"/>
          <w:right w:val="nil"/>
          <w:between w:val="nil"/>
        </w:pBdr>
        <w:jc w:val="both"/>
      </w:pPr>
      <w:r>
        <w:rPr>
          <w:b/>
        </w:rPr>
        <w:t>Figure S10.</w:t>
      </w:r>
      <w:r>
        <w:t xml:space="preserve"> </w:t>
      </w:r>
      <w:r>
        <w:rPr>
          <w:b/>
        </w:rPr>
        <w:t>Evolution of the bulk of aerosol in the latitude-altitude space from Aeolus ALADIN satellite lidar</w:t>
      </w:r>
      <w:r>
        <w:t>. The panels display monthly-averaged scattering ratio (355 nm) for January through Marc</w:t>
      </w:r>
      <w:r>
        <w:t>h 2022 from ALADIN L2A product. Black curve marks the tropopause level.</w:t>
      </w:r>
      <w:r>
        <w:br w:type="page"/>
      </w:r>
    </w:p>
    <w:p w:rsidR="001C58C1" w:rsidRDefault="001C58C1">
      <w:pPr>
        <w:pBdr>
          <w:top w:val="nil"/>
          <w:left w:val="nil"/>
          <w:bottom w:val="nil"/>
          <w:right w:val="nil"/>
          <w:between w:val="nil"/>
        </w:pBdr>
        <w:jc w:val="both"/>
      </w:pPr>
    </w:p>
    <w:p w:rsidR="001C58C1" w:rsidRDefault="007F360E">
      <w:pPr>
        <w:pBdr>
          <w:top w:val="nil"/>
          <w:left w:val="nil"/>
          <w:bottom w:val="nil"/>
          <w:right w:val="nil"/>
          <w:between w:val="nil"/>
        </w:pBdr>
        <w:jc w:val="both"/>
        <w:rPr>
          <w:color w:val="000000"/>
        </w:rPr>
      </w:pPr>
      <w:r>
        <w:rPr>
          <w:b/>
          <w:color w:val="000000"/>
        </w:rPr>
        <w:t>Movie S1</w:t>
      </w:r>
      <w:r>
        <w:rPr>
          <w:color w:val="000000"/>
        </w:rPr>
        <w:t>. Cloud top height 10-minute sequence from stereoscopic retrieval using G</w:t>
      </w:r>
      <w:r>
        <w:t xml:space="preserve">OES-17 and Himawari-8 geostationary satellite imagers. </w:t>
      </w:r>
    </w:p>
    <w:p w:rsidR="001C58C1" w:rsidRDefault="001C58C1">
      <w:pPr>
        <w:pBdr>
          <w:top w:val="nil"/>
          <w:left w:val="nil"/>
          <w:bottom w:val="nil"/>
          <w:right w:val="nil"/>
          <w:between w:val="nil"/>
        </w:pBdr>
        <w:jc w:val="both"/>
        <w:rPr>
          <w:color w:val="000000"/>
        </w:rPr>
      </w:pPr>
    </w:p>
    <w:p w:rsidR="001C58C1" w:rsidRDefault="007F360E">
      <w:pPr>
        <w:pBdr>
          <w:top w:val="nil"/>
          <w:left w:val="nil"/>
          <w:bottom w:val="nil"/>
          <w:right w:val="nil"/>
          <w:between w:val="nil"/>
        </w:pBdr>
        <w:jc w:val="both"/>
        <w:rPr>
          <w:color w:val="000000"/>
        </w:rPr>
      </w:pPr>
      <w:r>
        <w:rPr>
          <w:b/>
          <w:color w:val="000000"/>
        </w:rPr>
        <w:t>Movie S1</w:t>
      </w:r>
      <w:r>
        <w:rPr>
          <w:color w:val="000000"/>
        </w:rPr>
        <w:t xml:space="preserve">. </w:t>
      </w:r>
      <w:proofErr w:type="spellStart"/>
      <w:r>
        <w:rPr>
          <w:color w:val="000000"/>
        </w:rPr>
        <w:t>CLaMS</w:t>
      </w:r>
      <w:proofErr w:type="spellEnd"/>
      <w:r>
        <w:rPr>
          <w:color w:val="000000"/>
        </w:rPr>
        <w:t xml:space="preserve"> daily sequence of hydrated plume evolution at 21 hPa pressure level.</w:t>
      </w:r>
    </w:p>
    <w:p w:rsidR="001C58C1" w:rsidRDefault="001C58C1">
      <w:pPr>
        <w:pBdr>
          <w:top w:val="nil"/>
          <w:left w:val="nil"/>
          <w:bottom w:val="nil"/>
          <w:right w:val="nil"/>
          <w:between w:val="nil"/>
        </w:pBdr>
        <w:jc w:val="both"/>
        <w:rPr>
          <w:color w:val="000000"/>
        </w:rPr>
      </w:pPr>
    </w:p>
    <w:p w:rsidR="001C58C1" w:rsidRDefault="007F360E">
      <w:pPr>
        <w:pBdr>
          <w:top w:val="nil"/>
          <w:left w:val="nil"/>
          <w:bottom w:val="nil"/>
          <w:right w:val="nil"/>
          <w:between w:val="nil"/>
        </w:pBdr>
        <w:jc w:val="both"/>
      </w:pPr>
      <w:r>
        <w:br w:type="page"/>
      </w:r>
    </w:p>
    <w:p w:rsidR="001C58C1" w:rsidRDefault="007F360E">
      <w:pPr>
        <w:pBdr>
          <w:top w:val="nil"/>
          <w:left w:val="nil"/>
          <w:bottom w:val="nil"/>
          <w:right w:val="nil"/>
          <w:between w:val="nil"/>
        </w:pBdr>
        <w:jc w:val="both"/>
        <w:rPr>
          <w:b/>
        </w:rPr>
      </w:pPr>
      <w:r>
        <w:rPr>
          <w:b/>
        </w:rPr>
        <w:lastRenderedPageBreak/>
        <w:t>Supplementary methods</w:t>
      </w:r>
    </w:p>
    <w:p w:rsidR="001C58C1" w:rsidRDefault="001C58C1">
      <w:pPr>
        <w:pBdr>
          <w:top w:val="nil"/>
          <w:left w:val="nil"/>
          <w:bottom w:val="nil"/>
          <w:right w:val="nil"/>
          <w:between w:val="nil"/>
        </w:pBdr>
        <w:jc w:val="both"/>
        <w:rPr>
          <w:b/>
        </w:rPr>
      </w:pPr>
    </w:p>
    <w:p w:rsidR="001C58C1" w:rsidRDefault="007F360E">
      <w:pPr>
        <w:pBdr>
          <w:top w:val="nil"/>
          <w:left w:val="nil"/>
          <w:bottom w:val="nil"/>
          <w:right w:val="nil"/>
          <w:between w:val="nil"/>
        </w:pBdr>
        <w:jc w:val="both"/>
        <w:rPr>
          <w:b/>
        </w:rPr>
      </w:pPr>
      <w:r>
        <w:rPr>
          <w:b/>
        </w:rPr>
        <w:t>Ground-based lidars</w:t>
      </w:r>
    </w:p>
    <w:p w:rsidR="001C58C1" w:rsidRDefault="007F360E">
      <w:pPr>
        <w:spacing w:before="60"/>
        <w:ind w:firstLine="580"/>
        <w:jc w:val="both"/>
      </w:pPr>
      <w:r>
        <w:rPr>
          <w:b/>
        </w:rPr>
        <w:t xml:space="preserve">S.2.1 Atmospheric Physics Observatory of La Réunion </w:t>
      </w:r>
      <w:r>
        <w:t xml:space="preserve"> </w:t>
      </w:r>
    </w:p>
    <w:p w:rsidR="001C58C1" w:rsidRDefault="007F360E">
      <w:pPr>
        <w:spacing w:before="60"/>
        <w:ind w:firstLine="580"/>
        <w:jc w:val="both"/>
      </w:pPr>
      <w:r>
        <w:t xml:space="preserve"> The Maïdo station, as part of the Atmospheric Physics Observatory of La Réunio</w:t>
      </w:r>
      <w:r>
        <w:t xml:space="preserve">n (OPAR), is located in the South-West Indian Ocean (21°S, 55°E, 2160 m) on the lee side of the Réunion island. The facility (Baray et al., 2013) hosts since 2013 the LiO3T lidar operating at 532 nm routinely with an average of 8-10 acquisition nights per </w:t>
      </w:r>
      <w:r>
        <w:t xml:space="preserve">month. The aerosol optical properties are retrieved at a 50 m vertical resolution following an iterative Klett inversion method with a prior knowledge of </w:t>
      </w:r>
      <w:proofErr w:type="spellStart"/>
      <w:r>
        <w:t>i</w:t>
      </w:r>
      <w:proofErr w:type="spellEnd"/>
      <w:r>
        <w:t>) the molecular backscatter profiles from radiosondes launches and ii) the aerosol optical depth asse</w:t>
      </w:r>
      <w:r>
        <w:t xml:space="preserve">ssed with the Rayleigh slope method in the stratosphere. A more detailed description of the instrument, aerosol retrieval method and error budget </w:t>
      </w:r>
      <w:proofErr w:type="gramStart"/>
      <w:r>
        <w:t>is</w:t>
      </w:r>
      <w:proofErr w:type="gramEnd"/>
      <w:r>
        <w:t xml:space="preserve"> provided by Baron et al. [2022, preprint] and references therein.</w:t>
      </w:r>
    </w:p>
    <w:p w:rsidR="001C58C1" w:rsidRDefault="007F360E">
      <w:pPr>
        <w:spacing w:before="60"/>
        <w:ind w:firstLine="580"/>
        <w:jc w:val="both"/>
        <w:rPr>
          <w:b/>
        </w:rPr>
      </w:pPr>
      <w:r>
        <w:rPr>
          <w:b/>
        </w:rPr>
        <w:t>S.2.2 Lauder Atmospheric Research Station</w:t>
      </w:r>
    </w:p>
    <w:p w:rsidR="001C58C1" w:rsidRDefault="007F360E">
      <w:pPr>
        <w:spacing w:before="60"/>
        <w:ind w:firstLine="580"/>
        <w:jc w:val="both"/>
      </w:pPr>
      <w:r>
        <w:t>The Lauder Atmospheric Research Station of the National Institute of Water and Atmospheric Research (NIWA) located in South Island of New Zealand (45.0° S, 169.7° E, 370 m) has been operating at 532 nm since 1992 on a regular basis with a mean measurement</w:t>
      </w:r>
      <w:r>
        <w:t xml:space="preserve"> rate of 1 or 2 nights per week. It has a capability of both scattering ratio and particle depolarization ratio measurements. For retrieving vertical profile of the scattering ratio, we apply Fernald inversion method assuming the aerosol extinction-to-back</w:t>
      </w:r>
      <w:r>
        <w:t>scatter ratio of 46 sr. The molecular backscattering coefficient is derived from the JRA-55 meteorological analysis [Kobayashi et al., 2015]. The resulting vertical profiles of aerosol parameters are reported at 150 m vertical resolution. A more detailed d</w:t>
      </w:r>
      <w:r>
        <w:t>escription of the instruments, aerosol retrieval and error budget are provided by Nagai et al. [2010] and Sakai et al [2016].</w:t>
      </w:r>
    </w:p>
    <w:p w:rsidR="001C58C1" w:rsidRDefault="007F360E">
      <w:pPr>
        <w:spacing w:before="60"/>
        <w:ind w:firstLine="580"/>
        <w:jc w:val="both"/>
        <w:rPr>
          <w:b/>
        </w:rPr>
      </w:pPr>
      <w:r>
        <w:rPr>
          <w:b/>
        </w:rPr>
        <w:t xml:space="preserve">S.2.3 Dumont </w:t>
      </w:r>
      <w:proofErr w:type="spellStart"/>
      <w:r>
        <w:rPr>
          <w:b/>
        </w:rPr>
        <w:t>d’Urville</w:t>
      </w:r>
      <w:proofErr w:type="spellEnd"/>
      <w:r>
        <w:rPr>
          <w:b/>
        </w:rPr>
        <w:t xml:space="preserve"> station</w:t>
      </w:r>
    </w:p>
    <w:p w:rsidR="001C58C1" w:rsidRDefault="007F360E">
      <w:pPr>
        <w:spacing w:before="60"/>
        <w:jc w:val="both"/>
      </w:pPr>
      <w:r>
        <w:t xml:space="preserve">The French Antarctic station Dumont </w:t>
      </w:r>
      <w:proofErr w:type="spellStart"/>
      <w:r>
        <w:t>d’Urville</w:t>
      </w:r>
      <w:proofErr w:type="spellEnd"/>
      <w:r>
        <w:t xml:space="preserve"> (66.6°S – 140°E, DDU) has hosted an aerosol/cloud lid</w:t>
      </w:r>
      <w:r>
        <w:t>ar since April 1989, operating in the framework of the Network for Detection of Atmospheric Composition Changes (NDACC). The main focus of the instrument is the stud of polar stratospheric clouds with nighttime setup, still, the recent focus on aerosol plu</w:t>
      </w:r>
      <w:r>
        <w:t xml:space="preserve">mes either originating from volcanic or biomass burning activity extended the measurement calendar to the summertime. The </w:t>
      </w:r>
      <w:proofErr w:type="gramStart"/>
      <w:r>
        <w:t>Nd:YAG</w:t>
      </w:r>
      <w:proofErr w:type="gramEnd"/>
      <w:r>
        <w:t xml:space="preserve"> laser source emits at 532 nm, at 10 Hz frequency with an emitted power of approximately 250 mJ. Backscattered photons are colle</w:t>
      </w:r>
      <w:r>
        <w:t>cted on a collocated 80 cm diameter Newton telescope. A polarizing cube at the reception splits the beam into two components polarized parallel and perpendicular to the laser emission for the 532 nm wavelength, each component is recorded and inverted to ga</w:t>
      </w:r>
      <w:r>
        <w:t>in access to the depolarization ratio. The Rayleigh/Mie/Raman lidar also acquires the N2 vibrational Raman scattering at 607 nm. As the OHP lidar, the signal inversion is performed using the Klett-Fernald formalism (Klett 1981, 1984; Fernald 1985) to deriv</w:t>
      </w:r>
      <w:r>
        <w:t>e scattering ratio profiles, which have a 60 m vertical resolution. ECMWF meteorological data is also used for the molecular backscattering calculation. A detailed description of the instrument, measurements processing method as well as error estimation is</w:t>
      </w:r>
      <w:r>
        <w:t xml:space="preserve"> available in Tencé et al. (2022).</w:t>
      </w:r>
    </w:p>
    <w:p w:rsidR="001C58C1" w:rsidRDefault="007F360E">
      <w:pPr>
        <w:spacing w:before="60"/>
        <w:ind w:firstLine="580"/>
        <w:jc w:val="both"/>
        <w:rPr>
          <w:b/>
        </w:rPr>
      </w:pPr>
      <w:r>
        <w:rPr>
          <w:b/>
        </w:rPr>
        <w:t xml:space="preserve">S.2.4 Mauna Loa Observatory </w:t>
      </w:r>
    </w:p>
    <w:p w:rsidR="001C58C1" w:rsidRDefault="007F360E">
      <w:pPr>
        <w:spacing w:before="60"/>
        <w:ind w:firstLine="580"/>
        <w:jc w:val="both"/>
      </w:pPr>
      <w:r>
        <w:t xml:space="preserve">The NOAA Mauna Loa Observatory (19.53 N, 155.58 W, 3396 m) established a Ruby laser-based lidar in the early 1970's which operated until 1998.  A </w:t>
      </w:r>
      <w:proofErr w:type="gramStart"/>
      <w:r>
        <w:t>Nd:YAG</w:t>
      </w:r>
      <w:proofErr w:type="gramEnd"/>
      <w:r>
        <w:t xml:space="preserve"> laser-based lidar began operation in 19</w:t>
      </w:r>
      <w:r>
        <w:t xml:space="preserve">94.  The YAG system operates about once per week and retrieves aerosol profiles </w:t>
      </w:r>
      <w:r>
        <w:lastRenderedPageBreak/>
        <w:t>at 532 and 1064 nm at 300 m altitude resolution. Molecular profiles needed for analysis are calculated from radiosondes launched at Hilo, HI (56 km distant) and the NASA/MSIS m</w:t>
      </w:r>
      <w:r>
        <w:t>odel for altitudes above the radiosonde.  The signal is usually normalized between 38 and 40 km and the Fernald-Klett inversion method is used.  A more detailed description can be found in Barnes and Hofmann [1997].</w:t>
      </w:r>
    </w:p>
    <w:p w:rsidR="001C58C1" w:rsidRDefault="007F360E">
      <w:pPr>
        <w:spacing w:before="60"/>
        <w:ind w:firstLine="580"/>
        <w:jc w:val="both"/>
        <w:rPr>
          <w:b/>
        </w:rPr>
      </w:pPr>
      <w:r>
        <w:rPr>
          <w:b/>
        </w:rPr>
        <w:t>S.2.5 Tsukuba Meteorological Research In</w:t>
      </w:r>
      <w:r>
        <w:rPr>
          <w:b/>
        </w:rPr>
        <w:t>stitute</w:t>
      </w:r>
    </w:p>
    <w:p w:rsidR="001C58C1" w:rsidRDefault="007F360E">
      <w:pPr>
        <w:spacing w:before="60"/>
        <w:ind w:firstLine="580"/>
        <w:jc w:val="both"/>
      </w:pPr>
      <w:r>
        <w:t xml:space="preserve">The Meteorological Research Institute (MRI) located at Tsukuba in Japan (36.1° N, 140.1° E, 23 m) is equipped with Mie/Rayleigh lidar for measuring the aerosol between the troposphere and stratosphere. The lidar used in this study is an </w:t>
      </w:r>
      <w:proofErr w:type="gramStart"/>
      <w:r>
        <w:t>Nd:YAG</w:t>
      </w:r>
      <w:proofErr w:type="gramEnd"/>
      <w:r>
        <w:t xml:space="preserve"> lida</w:t>
      </w:r>
      <w:r>
        <w:t>r system operating at a wavelength of 532 nm, with a capability of both scattering ratio and particle depolarization ratio measurements. The lidar has been operating almost continuously since 2002. For retrieving vertical profile of the scattering ratio, w</w:t>
      </w:r>
      <w:r>
        <w:t xml:space="preserve">e apply Fernald inversion method assuming the aerosol extinction-to-backscatter ratio of 50 sr. The molecular backscattering coefficient is derived from the collocated radiosonde launched at </w:t>
      </w:r>
      <w:proofErr w:type="spellStart"/>
      <w:r>
        <w:t>Aerological</w:t>
      </w:r>
      <w:proofErr w:type="spellEnd"/>
      <w:r>
        <w:t xml:space="preserve"> Observatory (Tateno) and JRA-55 meteorological analys</w:t>
      </w:r>
      <w:r>
        <w:t xml:space="preserve">is. The resulting vertical profiles of aerosol parameters are reported at 150 m vertical resolution. A more detailed description of the instruments, aerosol retrieval and error budget </w:t>
      </w:r>
      <w:proofErr w:type="gramStart"/>
      <w:r>
        <w:t>is</w:t>
      </w:r>
      <w:proofErr w:type="gramEnd"/>
      <w:r>
        <w:t xml:space="preserve"> provided by Sakai et al [2016].</w:t>
      </w:r>
    </w:p>
    <w:p w:rsidR="001C58C1" w:rsidRDefault="007F360E">
      <w:pPr>
        <w:spacing w:before="60"/>
        <w:ind w:firstLine="580"/>
        <w:jc w:val="both"/>
        <w:rPr>
          <w:b/>
        </w:rPr>
      </w:pPr>
      <w:r>
        <w:rPr>
          <w:b/>
        </w:rPr>
        <w:t>S.2.6 Kühlungsborn observatory</w:t>
      </w:r>
    </w:p>
    <w:p w:rsidR="001C58C1" w:rsidRDefault="007F360E">
      <w:pPr>
        <w:spacing w:before="60"/>
        <w:ind w:firstLine="580"/>
        <w:jc w:val="both"/>
      </w:pPr>
      <w:r>
        <w:t>The Kü</w:t>
      </w:r>
      <w:r>
        <w:t xml:space="preserve">hlungsborn RMR lidar is located at the Leibniz Institute for Atmospheric Physics in northern Germany (54.12° N, 11.77° E, 71 m) and measures temperature, horizontal winds, aerosols, and NLCs using a </w:t>
      </w:r>
      <w:proofErr w:type="gramStart"/>
      <w:r>
        <w:t>three beam</w:t>
      </w:r>
      <w:proofErr w:type="gramEnd"/>
      <w:r>
        <w:t xml:space="preserve"> configuration of one zenith and two off-zenith</w:t>
      </w:r>
      <w:r>
        <w:t xml:space="preserve"> lines of sight. The lidar operates at 532 nm with N2 vibrational Raman at 608 nm and N2/O2 rotational Raman channels at 529.1 and 530.4 nm (vertical only). The vertical beam is daylight capable and semi-autonomous while the off-zenith beams are operated e</w:t>
      </w:r>
      <w:r>
        <w:t>very clear night. The vertical system has been in operation since 2010 and averages typically 10 acquisitions per month (1000-1400 hours per year). Aerosol Backscatter Ratio is calculated using the nighttime measurements from the 532 nm Rayleigh and 608 nm</w:t>
      </w:r>
      <w:r>
        <w:t xml:space="preserve"> vibrational Raman channel with MSIS2.0 used as a molecular backscattering reference.  The resulting aerosol ratio profiles span 20 to 40+ km with a gridded resolution of 15 m and 30 seconds.  A vertical and temporal </w:t>
      </w:r>
      <w:proofErr w:type="spellStart"/>
      <w:r>
        <w:t>Savitzky-Golay</w:t>
      </w:r>
      <w:proofErr w:type="spellEnd"/>
      <w:r>
        <w:t xml:space="preserve"> filter are applied to th</w:t>
      </w:r>
      <w:r>
        <w:t>e data with a final effective resolution of approximately 100 m and 5 minutes.  Further system details of the vertical pointing lidar can be found in Gerding et al. [2016].</w:t>
      </w:r>
    </w:p>
    <w:p w:rsidR="001C58C1" w:rsidRDefault="007F360E">
      <w:pPr>
        <w:spacing w:before="60"/>
        <w:ind w:firstLine="580"/>
        <w:jc w:val="both"/>
        <w:rPr>
          <w:b/>
        </w:rPr>
      </w:pPr>
      <w:r>
        <w:rPr>
          <w:b/>
        </w:rPr>
        <w:t>S.2.7 Alomar observatory</w:t>
      </w:r>
    </w:p>
    <w:p w:rsidR="001C58C1" w:rsidRDefault="007F360E">
      <w:pPr>
        <w:spacing w:before="60"/>
        <w:ind w:firstLine="580"/>
        <w:jc w:val="both"/>
      </w:pPr>
      <w:r>
        <w:t>The Arctic Lidar Observatory for Middle Atmosphere Researc</w:t>
      </w:r>
      <w:r>
        <w:t xml:space="preserve">h (ALOMAR) RMR lidar located in northern Norway (69.16° N, 16.00° E, 380 m) is </w:t>
      </w:r>
      <w:proofErr w:type="gramStart"/>
      <w:r>
        <w:t>an</w:t>
      </w:r>
      <w:proofErr w:type="gramEnd"/>
      <w:r>
        <w:t xml:space="preserve"> measuring temperature, horizontal winds, aerosols, and NLCs.  The lidar uses two independent off-zenith pointing beams at 1064, 532, and 355 nm with N2 and H2O vibrational Ra</w:t>
      </w:r>
      <w:r>
        <w:t>man and N2/O2 rotational Raman channels at 387, 608, 660, 529.1 and 530.4 nm.  The lidar is capable of operating semi-autonomously day and night.  The system has been in operation since 1994 and averages about 10 acquisitions (nights and days) per month (8</w:t>
      </w:r>
      <w:r>
        <w:t xml:space="preserve">00 hours per year).  Aerosol Backscatter Ratio and Aerosol </w:t>
      </w:r>
      <w:proofErr w:type="spellStart"/>
      <w:r>
        <w:t>Colour</w:t>
      </w:r>
      <w:proofErr w:type="spellEnd"/>
      <w:r>
        <w:t xml:space="preserve"> Ratio are calculated using ECMWF data to account for Rayleigh and Ozone extinction (e.g. Langenbach et al., 2020). Aerosol Extinction profiles are calculated using ECMWF data as molecular re</w:t>
      </w:r>
      <w:r>
        <w:t>ference. The resulting aerosol profiles span ~7 to 40+ km with a gridded resolution of 150 m and 5 minutes.  Further system details can be found in Baumgarten [2010].</w:t>
      </w:r>
    </w:p>
    <w:p w:rsidR="001C58C1" w:rsidRDefault="007F360E">
      <w:pPr>
        <w:spacing w:before="60"/>
        <w:ind w:firstLine="580"/>
        <w:jc w:val="both"/>
        <w:rPr>
          <w:b/>
        </w:rPr>
      </w:pPr>
      <w:r>
        <w:rPr>
          <w:b/>
        </w:rPr>
        <w:t>S.2.8 Haute-Provence Observatory</w:t>
      </w:r>
    </w:p>
    <w:p w:rsidR="001C58C1" w:rsidRDefault="007F360E">
      <w:pPr>
        <w:spacing w:before="60"/>
        <w:ind w:firstLine="580"/>
        <w:jc w:val="both"/>
      </w:pPr>
      <w:r>
        <w:t xml:space="preserve"> The Observatoire de Haute-Provence (OHP) located in sou</w:t>
      </w:r>
      <w:r>
        <w:t xml:space="preserve">thern France (43.9° N, 5.7° E, 670 m) is equipped with several lidar systems for atmospheric sounding at a wide range of </w:t>
      </w:r>
      <w:r>
        <w:lastRenderedPageBreak/>
        <w:t>altitudes. The aerosol measurements are provided by LTA lidar operating at 532 nm since 1991 on a regular basis with a mean measurement</w:t>
      </w:r>
      <w:r>
        <w:t xml:space="preserve"> rate of 10-12 acquisition nights per month. For retrieving vertical profiles of stratospheric aerosol, we apply Fernald-Klett inversion method, which provides backscatter and extinction coefficients. The scattering ratio is then computed as a ratio of tot</w:t>
      </w:r>
      <w:r>
        <w:t>al (molecular plus aerosol) to molecular backscattering, where the latter is derived from ECMWF meteorological analysis. The resulting vertical profiles of aerosol parameters are reported at 150 m vertical resolution. A more detailed description of the ins</w:t>
      </w:r>
      <w:r>
        <w:t xml:space="preserve">truments, aerosol retrieval and error budget are provided by Khaykin et al. [2017] and references therein. </w:t>
      </w:r>
    </w:p>
    <w:p w:rsidR="001C58C1" w:rsidRDefault="001C58C1">
      <w:pPr>
        <w:pBdr>
          <w:top w:val="nil"/>
          <w:left w:val="nil"/>
          <w:bottom w:val="nil"/>
          <w:right w:val="nil"/>
          <w:between w:val="nil"/>
        </w:pBdr>
        <w:jc w:val="both"/>
        <w:rPr>
          <w:b/>
        </w:rPr>
      </w:pPr>
    </w:p>
    <w:p w:rsidR="001C58C1" w:rsidRDefault="007F360E">
      <w:pPr>
        <w:pBdr>
          <w:top w:val="nil"/>
          <w:left w:val="nil"/>
          <w:bottom w:val="nil"/>
          <w:right w:val="nil"/>
          <w:between w:val="nil"/>
        </w:pBdr>
        <w:jc w:val="both"/>
        <w:rPr>
          <w:b/>
          <w:color w:val="000000"/>
        </w:rPr>
      </w:pPr>
      <w:r>
        <w:rPr>
          <w:b/>
        </w:rPr>
        <w:t>Supplementary r</w:t>
      </w:r>
      <w:r>
        <w:rPr>
          <w:b/>
          <w:color w:val="000000"/>
        </w:rPr>
        <w:t>eferences</w:t>
      </w:r>
    </w:p>
    <w:p w:rsidR="001C58C1" w:rsidRDefault="001C58C1">
      <w:pPr>
        <w:jc w:val="both"/>
      </w:pPr>
    </w:p>
    <w:p w:rsidR="001C58C1" w:rsidRDefault="007F360E">
      <w:pPr>
        <w:pBdr>
          <w:top w:val="nil"/>
          <w:left w:val="nil"/>
          <w:bottom w:val="nil"/>
          <w:right w:val="nil"/>
          <w:between w:val="nil"/>
        </w:pBdr>
        <w:ind w:firstLine="566"/>
        <w:jc w:val="both"/>
      </w:pPr>
      <w:r>
        <w:t xml:space="preserve">Barnes, J. E., and D. J. Hofmann, Lidar measurements of stratospheric aerosol over Mauna Loa Observatory, </w:t>
      </w:r>
      <w:proofErr w:type="spellStart"/>
      <w:r>
        <w:t>Geophys</w:t>
      </w:r>
      <w:proofErr w:type="spellEnd"/>
      <w:r>
        <w:t>. Res. Lett., 24, 1923-1926, 1997.</w:t>
      </w:r>
    </w:p>
    <w:p w:rsidR="001C58C1" w:rsidRDefault="007F360E">
      <w:pPr>
        <w:pBdr>
          <w:top w:val="nil"/>
          <w:left w:val="nil"/>
          <w:bottom w:val="nil"/>
          <w:right w:val="nil"/>
          <w:between w:val="nil"/>
        </w:pBdr>
        <w:ind w:firstLine="566"/>
        <w:jc w:val="both"/>
      </w:pPr>
      <w:r>
        <w:t xml:space="preserve"> Baron A., P. Chazette, </w:t>
      </w:r>
      <w:proofErr w:type="spellStart"/>
      <w:proofErr w:type="gramStart"/>
      <w:r>
        <w:t>S.Khaykin</w:t>
      </w:r>
      <w:proofErr w:type="spellEnd"/>
      <w:proofErr w:type="gramEnd"/>
      <w:r>
        <w:t xml:space="preserve">, G. </w:t>
      </w:r>
      <w:proofErr w:type="spellStart"/>
      <w:r>
        <w:t>Payen</w:t>
      </w:r>
      <w:proofErr w:type="spellEnd"/>
      <w:r>
        <w:t xml:space="preserve">, N. Marquestaut, N. </w:t>
      </w:r>
      <w:proofErr w:type="spellStart"/>
      <w:r>
        <w:t>Bègue</w:t>
      </w:r>
      <w:proofErr w:type="spellEnd"/>
      <w:r>
        <w:t xml:space="preserve"> and V. </w:t>
      </w:r>
      <w:proofErr w:type="spellStart"/>
      <w:r>
        <w:t>Duflot</w:t>
      </w:r>
      <w:proofErr w:type="spellEnd"/>
      <w:r>
        <w:t xml:space="preserve">, Early Evolution of the </w:t>
      </w:r>
      <w:r>
        <w:t xml:space="preserve">Hunga-Tonga Aerosol Stratospheric Plume from Lidar Observations at La Réunion, Submitted to </w:t>
      </w:r>
      <w:proofErr w:type="spellStart"/>
      <w:r>
        <w:t>Geophys</w:t>
      </w:r>
      <w:proofErr w:type="spellEnd"/>
      <w:r>
        <w:t>. Res. Lett., 2022</w:t>
      </w:r>
    </w:p>
    <w:p w:rsidR="001C58C1" w:rsidRDefault="007F360E">
      <w:pPr>
        <w:pBdr>
          <w:top w:val="nil"/>
          <w:left w:val="nil"/>
          <w:bottom w:val="nil"/>
          <w:right w:val="nil"/>
          <w:between w:val="nil"/>
        </w:pBdr>
        <w:ind w:firstLine="566"/>
        <w:jc w:val="both"/>
      </w:pPr>
      <w:r>
        <w:t xml:space="preserve">Baumgarten, G.: Doppler Rayleigh/Mie/Raman lidar for wind and temperature measurements in the middle atmosphere up to 80 km, Atmos. Meas. </w:t>
      </w:r>
      <w:r>
        <w:t>Tech., 3, 1509–1518, https://doi.org/10.5194/amt-3-1509-2010, 2010.</w:t>
      </w:r>
    </w:p>
    <w:p w:rsidR="001C58C1" w:rsidRDefault="007F360E">
      <w:pPr>
        <w:pBdr>
          <w:top w:val="nil"/>
          <w:left w:val="nil"/>
          <w:bottom w:val="nil"/>
          <w:right w:val="nil"/>
          <w:between w:val="nil"/>
        </w:pBdr>
        <w:ind w:firstLine="566"/>
        <w:jc w:val="both"/>
      </w:pPr>
      <w:r>
        <w:t xml:space="preserve">Gerding, M., Kopp, M., </w:t>
      </w:r>
      <w:proofErr w:type="spellStart"/>
      <w:r>
        <w:t>Höffner</w:t>
      </w:r>
      <w:proofErr w:type="spellEnd"/>
      <w:r>
        <w:t>, J., Baumgarten, K., and Lübken, F.-J.: Mesospheric temperature soundings with the new, daylight-capable IAP RMR lidar, Atmos. Meas. Tech., 9, 3707–3715, htt</w:t>
      </w:r>
      <w:r>
        <w:t>ps://doi.org/10.5194/amt-9-3707-2016, 2016.</w:t>
      </w:r>
    </w:p>
    <w:p w:rsidR="001C58C1" w:rsidRDefault="007F360E">
      <w:pPr>
        <w:pBdr>
          <w:top w:val="nil"/>
          <w:left w:val="nil"/>
          <w:bottom w:val="nil"/>
          <w:right w:val="nil"/>
          <w:between w:val="nil"/>
        </w:pBdr>
        <w:ind w:firstLine="566"/>
        <w:jc w:val="both"/>
      </w:pPr>
      <w:r>
        <w:t xml:space="preserve">Khaykin, S. M., Godin-Beekmann, S., Keckhut, P., Hauchecorne, A., Jumelet, J., Vernier, J.-P., Bourassa, A., </w:t>
      </w:r>
      <w:proofErr w:type="spellStart"/>
      <w:r>
        <w:t>Degenstein</w:t>
      </w:r>
      <w:proofErr w:type="spellEnd"/>
      <w:r>
        <w:t xml:space="preserve">, D. A., Rieger, L. A., </w:t>
      </w:r>
      <w:proofErr w:type="spellStart"/>
      <w:r>
        <w:t>Bingen</w:t>
      </w:r>
      <w:proofErr w:type="spellEnd"/>
      <w:r>
        <w:t xml:space="preserve">, C., </w:t>
      </w:r>
      <w:proofErr w:type="spellStart"/>
      <w:r>
        <w:t>Vanhellemont</w:t>
      </w:r>
      <w:proofErr w:type="spellEnd"/>
      <w:r>
        <w:t xml:space="preserve">, F., Robert, C., DeLand, M., and </w:t>
      </w:r>
      <w:proofErr w:type="spellStart"/>
      <w:r>
        <w:t>Bhartia</w:t>
      </w:r>
      <w:proofErr w:type="spellEnd"/>
      <w:r>
        <w:t>, P.</w:t>
      </w:r>
      <w:r>
        <w:t xml:space="preserve"> K.: Variability and evolution of the midlatitude stratospheric aerosol budget from 22 years of ground-based lidar and satellite observations, Atmos. Chem. Phys., 17, 1829–1845, https://doi.org/10.5194/acp-17-1829-2017, 2017</w:t>
      </w:r>
    </w:p>
    <w:p w:rsidR="001C58C1" w:rsidRDefault="007F360E">
      <w:pPr>
        <w:pBdr>
          <w:top w:val="nil"/>
          <w:left w:val="nil"/>
          <w:bottom w:val="nil"/>
          <w:right w:val="nil"/>
          <w:between w:val="nil"/>
        </w:pBdr>
        <w:ind w:firstLine="566"/>
        <w:jc w:val="both"/>
      </w:pPr>
      <w:r>
        <w:t xml:space="preserve">Nagai, T., Liley, B., Sakai, T., Shibata, T., and Uchino, O.: </w:t>
      </w:r>
      <w:proofErr w:type="spellStart"/>
      <w:r>
        <w:t>PostPinatubo</w:t>
      </w:r>
      <w:proofErr w:type="spellEnd"/>
      <w:r>
        <w:t xml:space="preserve"> evolution and subsequent trend of the stratospheric aerosol layer observed by mid-latitude lidars in both hemispheres, SOLA, 6, 69–72, doi:10.2151/sola.2010-018, 2010</w:t>
      </w:r>
    </w:p>
    <w:p w:rsidR="001C58C1" w:rsidRDefault="007F360E">
      <w:pPr>
        <w:pBdr>
          <w:top w:val="nil"/>
          <w:left w:val="nil"/>
          <w:bottom w:val="nil"/>
          <w:right w:val="nil"/>
          <w:between w:val="nil"/>
        </w:pBdr>
        <w:ind w:firstLine="566"/>
        <w:jc w:val="both"/>
      </w:pPr>
      <w:r>
        <w:t xml:space="preserve">Sakai, T., O. </w:t>
      </w:r>
      <w:r>
        <w:t xml:space="preserve">Uchino, T. Nagai, B. Liley, </w:t>
      </w:r>
      <w:proofErr w:type="spellStart"/>
      <w:proofErr w:type="gramStart"/>
      <w:r>
        <w:t>I.Morino</w:t>
      </w:r>
      <w:proofErr w:type="spellEnd"/>
      <w:proofErr w:type="gramEnd"/>
      <w:r>
        <w:t>, and T. Fujimoto (2016), Long-term variation of stratospheric aerosols</w:t>
      </w:r>
      <w:r w:rsidR="00DC6E99">
        <w:t xml:space="preserve"> </w:t>
      </w:r>
      <w:r>
        <w:t xml:space="preserve">observed with lidars over Tsukuba, Japan, from 1982 and Lauder, New Zealand, from 1992 to 2015, J. </w:t>
      </w:r>
      <w:proofErr w:type="spellStart"/>
      <w:r>
        <w:t>Geophys</w:t>
      </w:r>
      <w:proofErr w:type="spellEnd"/>
      <w:r>
        <w:t>. Res. Atmos., 121, 10,283 – 10,293, doi:1</w:t>
      </w:r>
      <w:r>
        <w:t>0.1002/2016JD025132.</w:t>
      </w:r>
    </w:p>
    <w:p w:rsidR="001C58C1" w:rsidRDefault="007F360E">
      <w:pPr>
        <w:pBdr>
          <w:top w:val="nil"/>
          <w:left w:val="nil"/>
          <w:bottom w:val="nil"/>
          <w:right w:val="nil"/>
          <w:between w:val="nil"/>
        </w:pBdr>
        <w:ind w:firstLine="566"/>
        <w:jc w:val="both"/>
        <w:rPr>
          <w:color w:val="8F1356"/>
          <w:sz w:val="21"/>
          <w:szCs w:val="21"/>
          <w:highlight w:val="white"/>
          <w:u w:val="single"/>
        </w:rPr>
      </w:pPr>
      <w:proofErr w:type="spellStart"/>
      <w:r>
        <w:t>Tence</w:t>
      </w:r>
      <w:proofErr w:type="spellEnd"/>
      <w:r>
        <w:t xml:space="preserve"> F., Jumelet J., Bekki S., Khaykin S., Sarkissian A., Keckhut P., Australian Black Summer smoke observed by lidar at the French Antarctic station Dumont </w:t>
      </w:r>
      <w:proofErr w:type="spellStart"/>
      <w:r>
        <w:t>d’Urville</w:t>
      </w:r>
      <w:proofErr w:type="spellEnd"/>
      <w:r>
        <w:t>, Journal of Geophysical Research: Atmospheres, American Geophysical</w:t>
      </w:r>
      <w:r>
        <w:t xml:space="preserve"> Union, 2022, 127 (4), </w:t>
      </w:r>
      <w:proofErr w:type="gramStart"/>
      <w:r>
        <w:t>pp.e</w:t>
      </w:r>
      <w:proofErr w:type="gramEnd"/>
      <w:r>
        <w:t xml:space="preserve">2021JD035349. </w:t>
      </w:r>
      <w:hyperlink r:id="rId22">
        <w:r>
          <w:t>⟨10.1029/2021JD035349⟩</w:t>
        </w:r>
      </w:hyperlink>
    </w:p>
    <w:p w:rsidR="001C58C1" w:rsidRDefault="001C58C1">
      <w:pPr>
        <w:spacing w:before="240" w:after="240" w:line="276" w:lineRule="auto"/>
        <w:jc w:val="both"/>
      </w:pPr>
    </w:p>
    <w:p w:rsidR="001C58C1" w:rsidRDefault="001C58C1">
      <w:pPr>
        <w:jc w:val="both"/>
      </w:pPr>
    </w:p>
    <w:p w:rsidR="001C58C1" w:rsidRDefault="001C58C1">
      <w:pPr>
        <w:ind w:firstLine="720"/>
        <w:jc w:val="both"/>
      </w:pPr>
    </w:p>
    <w:sectPr w:rsidR="001C58C1">
      <w:headerReference w:type="default" r:id="rId23"/>
      <w:foot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60E" w:rsidRDefault="007F360E">
      <w:r>
        <w:separator/>
      </w:r>
    </w:p>
  </w:endnote>
  <w:endnote w:type="continuationSeparator" w:id="0">
    <w:p w:rsidR="007F360E" w:rsidRDefault="007F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default"/>
  </w:font>
  <w:font w:name="Times">
    <w:panose1 w:val="02020603050405020304"/>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8C1" w:rsidRDefault="007F360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DC6E99">
      <w:rPr>
        <w:color w:val="000000"/>
      </w:rPr>
      <w:fldChar w:fldCharType="separate"/>
    </w:r>
    <w:r w:rsidR="00DC6E99">
      <w:rPr>
        <w:noProof/>
        <w:color w:val="000000"/>
      </w:rPr>
      <w:t>1</w:t>
    </w:r>
    <w:r>
      <w:rPr>
        <w:color w:val="000000"/>
      </w:rPr>
      <w:fldChar w:fldCharType="end"/>
    </w:r>
  </w:p>
  <w:p w:rsidR="001C58C1" w:rsidRDefault="001C58C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60E" w:rsidRDefault="007F360E">
      <w:r>
        <w:separator/>
      </w:r>
    </w:p>
  </w:footnote>
  <w:footnote w:type="continuationSeparator" w:id="0">
    <w:p w:rsidR="007F360E" w:rsidRDefault="007F3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8C1" w:rsidRDefault="001C58C1">
    <w:pPr>
      <w:jc w:val="right"/>
      <w:rPr>
        <w:sz w:val="20"/>
        <w:szCs w:val="20"/>
      </w:rPr>
    </w:pPr>
  </w:p>
  <w:p w:rsidR="001C58C1" w:rsidRDefault="001C58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F5329"/>
    <w:multiLevelType w:val="multilevel"/>
    <w:tmpl w:val="1AF6AFB0"/>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8C1"/>
    <w:rsid w:val="001C58C1"/>
    <w:rsid w:val="007F360E"/>
    <w:rsid w:val="00DC6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EEFF"/>
  <w15:docId w15:val="{7243ACAB-2050-4838-8347-B2992C7F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0EA"/>
  </w:style>
  <w:style w:type="paragraph" w:styleId="Titre1">
    <w:name w:val="heading 1"/>
    <w:basedOn w:val="Normal"/>
    <w:next w:val="Normal"/>
    <w:link w:val="Titre1Car"/>
    <w:uiPriority w:val="9"/>
    <w:qFormat/>
    <w:rsid w:val="00B43B31"/>
    <w:pPr>
      <w:keepNext/>
      <w:spacing w:before="240" w:after="60"/>
      <w:outlineLvl w:val="0"/>
    </w:pPr>
    <w:rPr>
      <w:b/>
      <w:bCs/>
      <w:kern w:val="32"/>
    </w:rPr>
  </w:style>
  <w:style w:type="paragraph" w:styleId="Titre2">
    <w:name w:val="heading 2"/>
    <w:basedOn w:val="Normal"/>
    <w:next w:val="Normal"/>
    <w:link w:val="Titre2Car"/>
    <w:uiPriority w:val="9"/>
    <w:semiHidden/>
    <w:unhideWhenUsed/>
    <w:qFormat/>
    <w:rsid w:val="007411A1"/>
    <w:pPr>
      <w:keepNext/>
      <w:spacing w:before="240" w:after="60"/>
      <w:outlineLvl w:val="1"/>
    </w:pPr>
    <w:rPr>
      <w:rFonts w:ascii="Cambria" w:hAnsi="Cambria"/>
      <w:b/>
      <w:bCs/>
      <w:i/>
      <w:iCs/>
      <w:sz w:val="28"/>
      <w:szCs w:val="28"/>
    </w:rPr>
  </w:style>
  <w:style w:type="paragraph" w:styleId="Titre3">
    <w:name w:val="heading 3"/>
    <w:basedOn w:val="Normal"/>
    <w:next w:val="Normal"/>
    <w:uiPriority w:val="9"/>
    <w:semiHidden/>
    <w:unhideWhenUsed/>
    <w:qFormat/>
    <w:rsid w:val="00C600D9"/>
    <w:pPr>
      <w:keepNext/>
      <w:spacing w:line="480" w:lineRule="auto"/>
      <w:outlineLvl w:val="2"/>
    </w:pPr>
    <w:rPr>
      <w:rFonts w:ascii="Times" w:eastAsia="Times" w:hAnsi="Times"/>
      <w:b/>
    </w:rPr>
  </w:style>
  <w:style w:type="paragraph" w:styleId="Titre4">
    <w:name w:val="heading 4"/>
    <w:basedOn w:val="Normal"/>
    <w:next w:val="Normal"/>
    <w:uiPriority w:val="9"/>
    <w:semiHidden/>
    <w:unhideWhenUsed/>
    <w:qFormat/>
    <w:rsid w:val="00C600D9"/>
    <w:pPr>
      <w:keepNext/>
      <w:spacing w:line="480" w:lineRule="auto"/>
      <w:outlineLvl w:val="3"/>
    </w:pPr>
    <w:rPr>
      <w:rFonts w:ascii="Times" w:hAnsi="Times"/>
      <w:b/>
      <w:color w:val="0000FF"/>
      <w:sz w:val="44"/>
    </w:rPr>
  </w:style>
  <w:style w:type="paragraph" w:styleId="Titre5">
    <w:name w:val="heading 5"/>
    <w:basedOn w:val="Normal"/>
    <w:next w:val="Normal"/>
    <w:link w:val="Titre5Car"/>
    <w:uiPriority w:val="9"/>
    <w:semiHidden/>
    <w:unhideWhenUsed/>
    <w:qFormat/>
    <w:rsid w:val="007411A1"/>
    <w:pPr>
      <w:spacing w:before="240" w:after="60"/>
      <w:outlineLvl w:val="4"/>
    </w:pPr>
    <w:rPr>
      <w:rFonts w:ascii="Calibri" w:hAnsi="Calibri"/>
      <w:b/>
      <w:bCs/>
      <w:i/>
      <w:iCs/>
      <w:sz w:val="26"/>
      <w:szCs w:val="26"/>
    </w:rPr>
  </w:style>
  <w:style w:type="paragraph" w:styleId="Titre6">
    <w:name w:val="heading 6"/>
    <w:basedOn w:val="Normal"/>
    <w:next w:val="Normal"/>
    <w:link w:val="Titre6Car"/>
    <w:uiPriority w:val="9"/>
    <w:semiHidden/>
    <w:unhideWhenUsed/>
    <w:qFormat/>
    <w:rsid w:val="007411A1"/>
    <w:pPr>
      <w:spacing w:before="240" w:after="60"/>
      <w:outlineLvl w:val="5"/>
    </w:pPr>
    <w:rPr>
      <w:rFonts w:ascii="Calibri" w:hAnsi="Calibri"/>
      <w:b/>
      <w:bCs/>
      <w:sz w:val="22"/>
      <w:szCs w:val="22"/>
    </w:rPr>
  </w:style>
  <w:style w:type="paragraph" w:styleId="Titre7">
    <w:name w:val="heading 7"/>
    <w:basedOn w:val="Normal"/>
    <w:next w:val="Normal"/>
    <w:link w:val="Titre7Car"/>
    <w:semiHidden/>
    <w:qFormat/>
    <w:rsid w:val="007411A1"/>
    <w:pPr>
      <w:spacing w:before="240" w:after="60"/>
      <w:outlineLvl w:val="6"/>
    </w:pPr>
    <w:rPr>
      <w:rFonts w:ascii="Calibri" w:hAnsi="Calibri"/>
    </w:rPr>
  </w:style>
  <w:style w:type="paragraph" w:styleId="Titre8">
    <w:name w:val="heading 8"/>
    <w:basedOn w:val="Normal"/>
    <w:next w:val="Normal"/>
    <w:link w:val="Titre8Car"/>
    <w:semiHidden/>
    <w:qFormat/>
    <w:rsid w:val="007411A1"/>
    <w:pPr>
      <w:spacing w:before="240" w:after="60"/>
      <w:outlineLvl w:val="7"/>
    </w:pPr>
    <w:rPr>
      <w:rFonts w:ascii="Calibri" w:hAnsi="Calibri"/>
      <w:i/>
      <w:iCs/>
    </w:rPr>
  </w:style>
  <w:style w:type="paragraph" w:styleId="Titre9">
    <w:name w:val="heading 9"/>
    <w:basedOn w:val="Normal"/>
    <w:next w:val="Normal"/>
    <w:link w:val="Titre9Car"/>
    <w:semiHidden/>
    <w:qFormat/>
    <w:rsid w:val="007411A1"/>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rsid w:val="00405336"/>
    <w:pPr>
      <w:spacing w:before="240" w:after="60"/>
      <w:jc w:val="center"/>
      <w:outlineLvl w:val="0"/>
    </w:pPr>
    <w:rPr>
      <w:rFonts w:ascii="Cambria" w:hAnsi="Cambria"/>
      <w:b/>
      <w:bCs/>
      <w:kern w:val="28"/>
      <w:sz w:val="32"/>
      <w:szCs w:val="32"/>
    </w:rPr>
  </w:style>
  <w:style w:type="character" w:styleId="Numrodepage">
    <w:name w:val="page number"/>
    <w:basedOn w:val="Policepardfaut"/>
    <w:semiHidden/>
    <w:rsid w:val="00477182"/>
  </w:style>
  <w:style w:type="character" w:customStyle="1" w:styleId="Titre1Car">
    <w:name w:val="Titre 1 Car"/>
    <w:link w:val="Titre1"/>
    <w:semiHidden/>
    <w:rsid w:val="00FF04E3"/>
    <w:rPr>
      <w:b/>
      <w:bCs/>
      <w:kern w:val="32"/>
      <w:sz w:val="24"/>
      <w:szCs w:val="24"/>
    </w:rPr>
  </w:style>
  <w:style w:type="character" w:customStyle="1" w:styleId="Titre2Car">
    <w:name w:val="Titre 2 Car"/>
    <w:link w:val="Titre2"/>
    <w:semiHidden/>
    <w:rsid w:val="00FF04E3"/>
    <w:rPr>
      <w:rFonts w:ascii="Cambria" w:hAnsi="Cambria"/>
      <w:b/>
      <w:bCs/>
      <w:i/>
      <w:iCs/>
      <w:sz w:val="28"/>
      <w:szCs w:val="28"/>
    </w:rPr>
  </w:style>
  <w:style w:type="character" w:customStyle="1" w:styleId="Titre5Car">
    <w:name w:val="Titre 5 Car"/>
    <w:link w:val="Titre5"/>
    <w:semiHidden/>
    <w:rsid w:val="00FF04E3"/>
    <w:rPr>
      <w:rFonts w:ascii="Calibri" w:hAnsi="Calibri"/>
      <w:b/>
      <w:bCs/>
      <w:i/>
      <w:iCs/>
      <w:sz w:val="26"/>
      <w:szCs w:val="26"/>
    </w:rPr>
  </w:style>
  <w:style w:type="character" w:customStyle="1" w:styleId="Titre6Car">
    <w:name w:val="Titre 6 Car"/>
    <w:link w:val="Titre6"/>
    <w:semiHidden/>
    <w:rsid w:val="00FF04E3"/>
    <w:rPr>
      <w:rFonts w:ascii="Calibri" w:hAnsi="Calibri"/>
      <w:b/>
      <w:bCs/>
      <w:sz w:val="22"/>
      <w:szCs w:val="22"/>
    </w:rPr>
  </w:style>
  <w:style w:type="character" w:customStyle="1" w:styleId="Titre7Car">
    <w:name w:val="Titre 7 Car"/>
    <w:link w:val="Titre7"/>
    <w:semiHidden/>
    <w:rsid w:val="00FF04E3"/>
    <w:rPr>
      <w:rFonts w:ascii="Calibri" w:hAnsi="Calibri"/>
      <w:sz w:val="24"/>
      <w:szCs w:val="24"/>
    </w:rPr>
  </w:style>
  <w:style w:type="character" w:customStyle="1" w:styleId="Titre8Car">
    <w:name w:val="Titre 8 Car"/>
    <w:link w:val="Titre8"/>
    <w:semiHidden/>
    <w:rsid w:val="00FF04E3"/>
    <w:rPr>
      <w:rFonts w:ascii="Calibri" w:hAnsi="Calibri"/>
      <w:i/>
      <w:iCs/>
      <w:sz w:val="24"/>
      <w:szCs w:val="24"/>
    </w:rPr>
  </w:style>
  <w:style w:type="character" w:customStyle="1" w:styleId="Titre9Car">
    <w:name w:val="Titre 9 Car"/>
    <w:link w:val="Titre9"/>
    <w:semiHidden/>
    <w:rsid w:val="00FF04E3"/>
    <w:rPr>
      <w:rFonts w:ascii="Cambria" w:hAnsi="Cambria"/>
      <w:sz w:val="22"/>
      <w:szCs w:val="22"/>
    </w:rPr>
  </w:style>
  <w:style w:type="paragraph" w:customStyle="1" w:styleId="SMHeading">
    <w:name w:val="SM Heading"/>
    <w:basedOn w:val="Titre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edebulles">
    <w:name w:val="Balloon Text"/>
    <w:basedOn w:val="Normal"/>
    <w:link w:val="TextedebullesCar"/>
    <w:semiHidden/>
    <w:rsid w:val="00405336"/>
    <w:rPr>
      <w:rFonts w:ascii="Tahoma" w:hAnsi="Tahoma" w:cs="Tahoma"/>
      <w:sz w:val="16"/>
      <w:szCs w:val="16"/>
    </w:rPr>
  </w:style>
  <w:style w:type="character" w:customStyle="1" w:styleId="TextedebullesCar">
    <w:name w:val="Texte de bulles Car"/>
    <w:link w:val="Textedebulles"/>
    <w:semiHidden/>
    <w:rsid w:val="00FF04E3"/>
    <w:rPr>
      <w:rFonts w:ascii="Tahoma" w:hAnsi="Tahoma" w:cs="Tahoma"/>
      <w:sz w:val="16"/>
      <w:szCs w:val="16"/>
    </w:rPr>
  </w:style>
  <w:style w:type="paragraph" w:styleId="Bibliographie">
    <w:name w:val="Bibliography"/>
    <w:basedOn w:val="Normal"/>
    <w:next w:val="Normal"/>
    <w:uiPriority w:val="37"/>
    <w:semiHidden/>
    <w:rsid w:val="00405336"/>
  </w:style>
  <w:style w:type="paragraph" w:styleId="Normalcentr">
    <w:name w:val="Block Text"/>
    <w:basedOn w:val="Normal"/>
    <w:semiHidden/>
    <w:rsid w:val="00405336"/>
    <w:pPr>
      <w:spacing w:after="120"/>
      <w:ind w:left="1440" w:right="1440"/>
    </w:pPr>
  </w:style>
  <w:style w:type="paragraph" w:styleId="Corpsdetexte">
    <w:name w:val="Body Text"/>
    <w:basedOn w:val="Normal"/>
    <w:link w:val="CorpsdetexteCar"/>
    <w:semiHidden/>
    <w:rsid w:val="00405336"/>
    <w:pPr>
      <w:spacing w:after="120"/>
    </w:pPr>
  </w:style>
  <w:style w:type="character" w:customStyle="1" w:styleId="CorpsdetexteCar">
    <w:name w:val="Corps de texte Car"/>
    <w:link w:val="Corpsdetexte"/>
    <w:semiHidden/>
    <w:rsid w:val="00FF04E3"/>
    <w:rPr>
      <w:sz w:val="24"/>
    </w:rPr>
  </w:style>
  <w:style w:type="paragraph" w:styleId="Corpsdetexte2">
    <w:name w:val="Body Text 2"/>
    <w:basedOn w:val="Normal"/>
    <w:link w:val="Corpsdetexte2Car"/>
    <w:semiHidden/>
    <w:rsid w:val="00405336"/>
    <w:pPr>
      <w:spacing w:after="120" w:line="480" w:lineRule="auto"/>
    </w:pPr>
  </w:style>
  <w:style w:type="character" w:customStyle="1" w:styleId="Corpsdetexte2Car">
    <w:name w:val="Corps de texte 2 Car"/>
    <w:link w:val="Corpsdetexte2"/>
    <w:semiHidden/>
    <w:rsid w:val="00FF04E3"/>
    <w:rPr>
      <w:sz w:val="24"/>
    </w:rPr>
  </w:style>
  <w:style w:type="paragraph" w:styleId="Corpsdetexte3">
    <w:name w:val="Body Text 3"/>
    <w:basedOn w:val="Normal"/>
    <w:link w:val="Corpsdetexte3Car"/>
    <w:semiHidden/>
    <w:rsid w:val="00405336"/>
    <w:pPr>
      <w:spacing w:after="120"/>
    </w:pPr>
    <w:rPr>
      <w:sz w:val="16"/>
      <w:szCs w:val="16"/>
    </w:rPr>
  </w:style>
  <w:style w:type="character" w:customStyle="1" w:styleId="Corpsdetexte3Car">
    <w:name w:val="Corps de texte 3 Car"/>
    <w:link w:val="Corpsdetexte3"/>
    <w:semiHidden/>
    <w:rsid w:val="00FF04E3"/>
    <w:rPr>
      <w:sz w:val="16"/>
      <w:szCs w:val="16"/>
    </w:rPr>
  </w:style>
  <w:style w:type="paragraph" w:styleId="Retrait1religne">
    <w:name w:val="Body Text First Indent"/>
    <w:basedOn w:val="Corpsdetexte"/>
    <w:link w:val="Retrait1religneCar"/>
    <w:semiHidden/>
    <w:rsid w:val="00405336"/>
    <w:pPr>
      <w:ind w:firstLine="210"/>
    </w:pPr>
  </w:style>
  <w:style w:type="character" w:customStyle="1" w:styleId="Retrait1religneCar">
    <w:name w:val="Retrait 1re ligne Car"/>
    <w:link w:val="Retrait1religne"/>
    <w:semiHidden/>
    <w:rsid w:val="00FF04E3"/>
    <w:rPr>
      <w:sz w:val="24"/>
    </w:rPr>
  </w:style>
  <w:style w:type="paragraph" w:styleId="Retraitcorpsdetexte">
    <w:name w:val="Body Text Indent"/>
    <w:basedOn w:val="Normal"/>
    <w:link w:val="RetraitcorpsdetexteCar"/>
    <w:semiHidden/>
    <w:rsid w:val="00405336"/>
    <w:pPr>
      <w:spacing w:after="120"/>
      <w:ind w:left="360"/>
    </w:pPr>
  </w:style>
  <w:style w:type="character" w:customStyle="1" w:styleId="RetraitcorpsdetexteCar">
    <w:name w:val="Retrait corps de texte Car"/>
    <w:link w:val="Retraitcorpsdetexte"/>
    <w:semiHidden/>
    <w:rsid w:val="00FF04E3"/>
    <w:rPr>
      <w:sz w:val="24"/>
    </w:rPr>
  </w:style>
  <w:style w:type="paragraph" w:styleId="Retraitcorpset1relig">
    <w:name w:val="Body Text First Indent 2"/>
    <w:basedOn w:val="Retraitcorpsdetexte"/>
    <w:link w:val="Retraitcorpset1religCar"/>
    <w:semiHidden/>
    <w:rsid w:val="00405336"/>
    <w:pPr>
      <w:ind w:firstLine="210"/>
    </w:pPr>
  </w:style>
  <w:style w:type="character" w:customStyle="1" w:styleId="Retraitcorpset1religCar">
    <w:name w:val="Retrait corps et 1re lig. Car"/>
    <w:link w:val="Retraitcorpset1relig"/>
    <w:semiHidden/>
    <w:rsid w:val="00FF04E3"/>
    <w:rPr>
      <w:sz w:val="24"/>
    </w:rPr>
  </w:style>
  <w:style w:type="paragraph" w:styleId="Retraitcorpsdetexte2">
    <w:name w:val="Body Text Indent 2"/>
    <w:basedOn w:val="Normal"/>
    <w:link w:val="Retraitcorpsdetexte2Car"/>
    <w:semiHidden/>
    <w:rsid w:val="00405336"/>
    <w:pPr>
      <w:spacing w:after="120" w:line="480" w:lineRule="auto"/>
      <w:ind w:left="360"/>
    </w:pPr>
  </w:style>
  <w:style w:type="character" w:customStyle="1" w:styleId="Retraitcorpsdetexte2Car">
    <w:name w:val="Retrait corps de texte 2 Car"/>
    <w:link w:val="Retraitcorpsdetexte2"/>
    <w:semiHidden/>
    <w:rsid w:val="00FF04E3"/>
    <w:rPr>
      <w:sz w:val="24"/>
    </w:rPr>
  </w:style>
  <w:style w:type="paragraph" w:styleId="Retraitcorpsdetexte3">
    <w:name w:val="Body Text Indent 3"/>
    <w:basedOn w:val="Normal"/>
    <w:link w:val="Retraitcorpsdetexte3Car"/>
    <w:semiHidden/>
    <w:rsid w:val="00405336"/>
    <w:pPr>
      <w:spacing w:after="120"/>
      <w:ind w:left="360"/>
    </w:pPr>
    <w:rPr>
      <w:sz w:val="16"/>
      <w:szCs w:val="16"/>
    </w:rPr>
  </w:style>
  <w:style w:type="character" w:customStyle="1" w:styleId="Retraitcorpsdetexte3Car">
    <w:name w:val="Retrait corps de texte 3 Car"/>
    <w:link w:val="Retraitcorpsdetexte3"/>
    <w:semiHidden/>
    <w:rsid w:val="00FF04E3"/>
    <w:rPr>
      <w:sz w:val="16"/>
      <w:szCs w:val="16"/>
    </w:rPr>
  </w:style>
  <w:style w:type="paragraph" w:styleId="Lgende">
    <w:name w:val="caption"/>
    <w:basedOn w:val="Normal"/>
    <w:next w:val="Normal"/>
    <w:semiHidden/>
    <w:qFormat/>
    <w:rsid w:val="00405336"/>
    <w:rPr>
      <w:b/>
      <w:bCs/>
      <w:sz w:val="20"/>
    </w:rPr>
  </w:style>
  <w:style w:type="paragraph" w:styleId="Formuledepolitesse">
    <w:name w:val="Closing"/>
    <w:basedOn w:val="Normal"/>
    <w:link w:val="FormuledepolitesseCar"/>
    <w:semiHidden/>
    <w:rsid w:val="00405336"/>
    <w:pPr>
      <w:ind w:left="4320"/>
    </w:pPr>
  </w:style>
  <w:style w:type="character" w:customStyle="1" w:styleId="FormuledepolitesseCar">
    <w:name w:val="Formule de politesse Car"/>
    <w:link w:val="Formuledepolitesse"/>
    <w:semiHidden/>
    <w:rsid w:val="00FF04E3"/>
    <w:rPr>
      <w:sz w:val="24"/>
    </w:rPr>
  </w:style>
  <w:style w:type="paragraph" w:styleId="Commentaire">
    <w:name w:val="annotation text"/>
    <w:basedOn w:val="Normal"/>
    <w:link w:val="CommentaireCar"/>
    <w:semiHidden/>
    <w:rsid w:val="00405336"/>
    <w:rPr>
      <w:sz w:val="20"/>
    </w:rPr>
  </w:style>
  <w:style w:type="character" w:customStyle="1" w:styleId="CommentaireCar">
    <w:name w:val="Commentaire Car"/>
    <w:basedOn w:val="Policepardfaut"/>
    <w:link w:val="Commentaire"/>
    <w:semiHidden/>
    <w:rsid w:val="00FF04E3"/>
  </w:style>
  <w:style w:type="paragraph" w:styleId="Objetducommentaire">
    <w:name w:val="annotation subject"/>
    <w:basedOn w:val="Commentaire"/>
    <w:next w:val="Commentaire"/>
    <w:link w:val="ObjetducommentaireCar"/>
    <w:semiHidden/>
    <w:rsid w:val="00405336"/>
    <w:rPr>
      <w:b/>
      <w:bCs/>
    </w:rPr>
  </w:style>
  <w:style w:type="character" w:customStyle="1" w:styleId="ObjetducommentaireCar">
    <w:name w:val="Objet du commentaire Car"/>
    <w:link w:val="Objetducommentaire"/>
    <w:semiHidden/>
    <w:rsid w:val="00FF04E3"/>
    <w:rPr>
      <w:b/>
      <w:bCs/>
    </w:rPr>
  </w:style>
  <w:style w:type="paragraph" w:styleId="Date">
    <w:name w:val="Date"/>
    <w:basedOn w:val="Normal"/>
    <w:next w:val="Normal"/>
    <w:link w:val="DateCar"/>
    <w:semiHidden/>
    <w:rsid w:val="00405336"/>
  </w:style>
  <w:style w:type="character" w:customStyle="1" w:styleId="DateCar">
    <w:name w:val="Date Car"/>
    <w:link w:val="Date"/>
    <w:semiHidden/>
    <w:rsid w:val="00FF04E3"/>
    <w:rPr>
      <w:sz w:val="24"/>
    </w:rPr>
  </w:style>
  <w:style w:type="paragraph" w:styleId="Explorateurdedocuments">
    <w:name w:val="Document Map"/>
    <w:basedOn w:val="Normal"/>
    <w:link w:val="ExplorateurdedocumentsCar"/>
    <w:semiHidden/>
    <w:rsid w:val="00405336"/>
    <w:rPr>
      <w:rFonts w:ascii="Tahoma" w:hAnsi="Tahoma" w:cs="Tahoma"/>
      <w:sz w:val="16"/>
      <w:szCs w:val="16"/>
    </w:rPr>
  </w:style>
  <w:style w:type="character" w:customStyle="1" w:styleId="ExplorateurdedocumentsCar">
    <w:name w:val="Explorateur de documents Car"/>
    <w:link w:val="Explorateurdedocuments"/>
    <w:semiHidden/>
    <w:rsid w:val="00FF04E3"/>
    <w:rPr>
      <w:rFonts w:ascii="Tahoma" w:hAnsi="Tahoma" w:cs="Tahoma"/>
      <w:sz w:val="16"/>
      <w:szCs w:val="16"/>
    </w:rPr>
  </w:style>
  <w:style w:type="paragraph" w:styleId="Signaturelectronique">
    <w:name w:val="E-mail Signature"/>
    <w:basedOn w:val="Normal"/>
    <w:link w:val="SignaturelectroniqueCar"/>
    <w:semiHidden/>
    <w:rsid w:val="00405336"/>
  </w:style>
  <w:style w:type="character" w:customStyle="1" w:styleId="SignaturelectroniqueCar">
    <w:name w:val="Signature électronique Car"/>
    <w:link w:val="Signaturelectronique"/>
    <w:semiHidden/>
    <w:rsid w:val="00FF04E3"/>
    <w:rPr>
      <w:sz w:val="24"/>
    </w:rPr>
  </w:style>
  <w:style w:type="paragraph" w:styleId="Notedefin">
    <w:name w:val="endnote text"/>
    <w:basedOn w:val="Normal"/>
    <w:link w:val="NotedefinCar"/>
    <w:semiHidden/>
    <w:rsid w:val="00405336"/>
    <w:rPr>
      <w:sz w:val="20"/>
    </w:rPr>
  </w:style>
  <w:style w:type="character" w:customStyle="1" w:styleId="NotedefinCar">
    <w:name w:val="Note de fin Car"/>
    <w:basedOn w:val="Policepardfaut"/>
    <w:link w:val="Notedefin"/>
    <w:semiHidden/>
    <w:rsid w:val="00FF04E3"/>
  </w:style>
  <w:style w:type="paragraph" w:styleId="Adressedestinataire">
    <w:name w:val="envelope address"/>
    <w:basedOn w:val="Normal"/>
    <w:semiHidden/>
    <w:rsid w:val="00405336"/>
    <w:pPr>
      <w:framePr w:w="7920" w:h="1980" w:hRule="exact" w:hSpace="180" w:wrap="auto" w:hAnchor="page" w:xAlign="center" w:yAlign="bottom"/>
      <w:ind w:left="2880"/>
    </w:pPr>
    <w:rPr>
      <w:rFonts w:ascii="Cambria" w:hAnsi="Cambria"/>
    </w:rPr>
  </w:style>
  <w:style w:type="paragraph" w:styleId="Adresseexpditeur">
    <w:name w:val="envelope return"/>
    <w:basedOn w:val="Normal"/>
    <w:semiHidden/>
    <w:rsid w:val="00405336"/>
    <w:rPr>
      <w:rFonts w:ascii="Cambria" w:hAnsi="Cambria"/>
      <w:sz w:val="20"/>
    </w:rPr>
  </w:style>
  <w:style w:type="paragraph" w:styleId="Pieddepage">
    <w:name w:val="footer"/>
    <w:basedOn w:val="Normal"/>
    <w:link w:val="PieddepageCar"/>
    <w:semiHidden/>
    <w:rsid w:val="00405336"/>
    <w:pPr>
      <w:tabs>
        <w:tab w:val="center" w:pos="4680"/>
        <w:tab w:val="right" w:pos="9360"/>
      </w:tabs>
    </w:pPr>
  </w:style>
  <w:style w:type="character" w:customStyle="1" w:styleId="PieddepageCar">
    <w:name w:val="Pied de page Car"/>
    <w:link w:val="Pieddepage"/>
    <w:semiHidden/>
    <w:rsid w:val="00FF04E3"/>
    <w:rPr>
      <w:sz w:val="24"/>
    </w:rPr>
  </w:style>
  <w:style w:type="paragraph" w:styleId="Notedebasdepage">
    <w:name w:val="footnote text"/>
    <w:basedOn w:val="Normal"/>
    <w:link w:val="NotedebasdepageCar"/>
    <w:semiHidden/>
    <w:rsid w:val="00405336"/>
    <w:rPr>
      <w:sz w:val="20"/>
    </w:rPr>
  </w:style>
  <w:style w:type="character" w:customStyle="1" w:styleId="NotedebasdepageCar">
    <w:name w:val="Note de bas de page Car"/>
    <w:basedOn w:val="Policepardfaut"/>
    <w:link w:val="Notedebasdepage"/>
    <w:semiHidden/>
    <w:rsid w:val="00FF04E3"/>
  </w:style>
  <w:style w:type="paragraph" w:styleId="En-tte">
    <w:name w:val="header"/>
    <w:basedOn w:val="Normal"/>
    <w:link w:val="En-tteCar"/>
    <w:semiHidden/>
    <w:rsid w:val="00405336"/>
    <w:pPr>
      <w:tabs>
        <w:tab w:val="center" w:pos="4680"/>
        <w:tab w:val="right" w:pos="9360"/>
      </w:tabs>
    </w:pPr>
  </w:style>
  <w:style w:type="character" w:customStyle="1" w:styleId="En-tteCar">
    <w:name w:val="En-tête Car"/>
    <w:link w:val="En-tte"/>
    <w:semiHidden/>
    <w:rsid w:val="00FF04E3"/>
    <w:rPr>
      <w:sz w:val="24"/>
    </w:rPr>
  </w:style>
  <w:style w:type="paragraph" w:styleId="AdresseHTML">
    <w:name w:val="HTML Address"/>
    <w:basedOn w:val="Normal"/>
    <w:link w:val="AdresseHTMLCar"/>
    <w:semiHidden/>
    <w:rsid w:val="00405336"/>
    <w:rPr>
      <w:i/>
      <w:iCs/>
    </w:rPr>
  </w:style>
  <w:style w:type="character" w:customStyle="1" w:styleId="AdresseHTMLCar">
    <w:name w:val="Adresse HTML Car"/>
    <w:link w:val="AdresseHTML"/>
    <w:semiHidden/>
    <w:rsid w:val="00FF04E3"/>
    <w:rPr>
      <w:i/>
      <w:iCs/>
      <w:sz w:val="24"/>
    </w:rPr>
  </w:style>
  <w:style w:type="paragraph" w:styleId="PrformatHTML">
    <w:name w:val="HTML Preformatted"/>
    <w:basedOn w:val="Normal"/>
    <w:link w:val="PrformatHTMLCar"/>
    <w:semiHidden/>
    <w:rsid w:val="00405336"/>
    <w:rPr>
      <w:rFonts w:ascii="Courier New" w:hAnsi="Courier New" w:cs="Courier New"/>
      <w:sz w:val="20"/>
    </w:rPr>
  </w:style>
  <w:style w:type="character" w:customStyle="1" w:styleId="PrformatHTMLCar">
    <w:name w:val="Préformaté HTML Car"/>
    <w:link w:val="PrformatHTML"/>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Titreindex">
    <w:name w:val="index heading"/>
    <w:basedOn w:val="Normal"/>
    <w:next w:val="Index1"/>
    <w:semiHidden/>
    <w:rsid w:val="00405336"/>
    <w:rPr>
      <w:rFonts w:ascii="Cambria" w:hAnsi="Cambria"/>
      <w:b/>
      <w:bCs/>
    </w:rPr>
  </w:style>
  <w:style w:type="paragraph" w:styleId="Citationintense">
    <w:name w:val="Intense Quote"/>
    <w:basedOn w:val="Normal"/>
    <w:next w:val="Normal"/>
    <w:link w:val="CitationintenseCar"/>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semiHidden/>
    <w:rsid w:val="00FF04E3"/>
    <w:rPr>
      <w:b/>
      <w:bCs/>
      <w:i/>
      <w:iCs/>
      <w:color w:val="4F81BD"/>
      <w:sz w:val="24"/>
    </w:rPr>
  </w:style>
  <w:style w:type="paragraph" w:styleId="Liste">
    <w:name w:val="List"/>
    <w:basedOn w:val="Normal"/>
    <w:semiHidden/>
    <w:rsid w:val="00405336"/>
    <w:pPr>
      <w:ind w:left="360" w:hanging="360"/>
      <w:contextualSpacing/>
    </w:pPr>
  </w:style>
  <w:style w:type="paragraph" w:styleId="Liste2">
    <w:name w:val="List 2"/>
    <w:basedOn w:val="Normal"/>
    <w:semiHidden/>
    <w:rsid w:val="00405336"/>
    <w:pPr>
      <w:ind w:left="720" w:hanging="360"/>
      <w:contextualSpacing/>
    </w:pPr>
  </w:style>
  <w:style w:type="paragraph" w:styleId="Liste3">
    <w:name w:val="List 3"/>
    <w:basedOn w:val="Normal"/>
    <w:semiHidden/>
    <w:rsid w:val="00405336"/>
    <w:pPr>
      <w:ind w:left="1080" w:hanging="360"/>
      <w:contextualSpacing/>
    </w:pPr>
  </w:style>
  <w:style w:type="paragraph" w:styleId="Liste4">
    <w:name w:val="List 4"/>
    <w:basedOn w:val="Normal"/>
    <w:semiHidden/>
    <w:rsid w:val="00405336"/>
    <w:pPr>
      <w:ind w:left="1440" w:hanging="360"/>
      <w:contextualSpacing/>
    </w:pPr>
  </w:style>
  <w:style w:type="paragraph" w:styleId="Liste5">
    <w:name w:val="List 5"/>
    <w:basedOn w:val="Normal"/>
    <w:semiHidden/>
    <w:rsid w:val="00405336"/>
    <w:pPr>
      <w:ind w:left="1800" w:hanging="360"/>
      <w:contextualSpacing/>
    </w:pPr>
  </w:style>
  <w:style w:type="paragraph" w:styleId="Listepuces">
    <w:name w:val="List Bullet"/>
    <w:basedOn w:val="Normal"/>
    <w:semiHidden/>
    <w:rsid w:val="00405336"/>
    <w:pPr>
      <w:numPr>
        <w:numId w:val="1"/>
      </w:numPr>
      <w:contextualSpacing/>
    </w:pPr>
  </w:style>
  <w:style w:type="paragraph" w:styleId="Listepuces2">
    <w:name w:val="List Bullet 2"/>
    <w:basedOn w:val="Normal"/>
    <w:semiHidden/>
    <w:rsid w:val="00405336"/>
    <w:pPr>
      <w:tabs>
        <w:tab w:val="num" w:pos="720"/>
      </w:tabs>
      <w:ind w:left="720" w:hanging="720"/>
      <w:contextualSpacing/>
    </w:pPr>
  </w:style>
  <w:style w:type="paragraph" w:styleId="Listepuces3">
    <w:name w:val="List Bullet 3"/>
    <w:basedOn w:val="Normal"/>
    <w:semiHidden/>
    <w:rsid w:val="00405336"/>
    <w:pPr>
      <w:tabs>
        <w:tab w:val="num" w:pos="720"/>
      </w:tabs>
      <w:ind w:left="720" w:hanging="720"/>
      <w:contextualSpacing/>
    </w:pPr>
  </w:style>
  <w:style w:type="paragraph" w:styleId="Listepuces4">
    <w:name w:val="List Bullet 4"/>
    <w:basedOn w:val="Normal"/>
    <w:semiHidden/>
    <w:rsid w:val="00405336"/>
    <w:pPr>
      <w:tabs>
        <w:tab w:val="num" w:pos="720"/>
      </w:tabs>
      <w:ind w:left="720" w:hanging="720"/>
      <w:contextualSpacing/>
    </w:pPr>
  </w:style>
  <w:style w:type="paragraph" w:styleId="Listepuces5">
    <w:name w:val="List Bullet 5"/>
    <w:basedOn w:val="Normal"/>
    <w:semiHidden/>
    <w:rsid w:val="00405336"/>
    <w:pPr>
      <w:tabs>
        <w:tab w:val="num" w:pos="720"/>
      </w:tabs>
      <w:ind w:left="720" w:hanging="720"/>
      <w:contextualSpacing/>
    </w:pPr>
  </w:style>
  <w:style w:type="paragraph" w:styleId="Listecontinue">
    <w:name w:val="List Continue"/>
    <w:basedOn w:val="Normal"/>
    <w:semiHidden/>
    <w:rsid w:val="00405336"/>
    <w:pPr>
      <w:spacing w:after="120"/>
      <w:ind w:left="360"/>
      <w:contextualSpacing/>
    </w:pPr>
  </w:style>
  <w:style w:type="paragraph" w:styleId="Listecontinue2">
    <w:name w:val="List Continue 2"/>
    <w:basedOn w:val="Normal"/>
    <w:semiHidden/>
    <w:rsid w:val="00405336"/>
    <w:pPr>
      <w:spacing w:after="120"/>
      <w:ind w:left="720"/>
      <w:contextualSpacing/>
    </w:pPr>
  </w:style>
  <w:style w:type="paragraph" w:styleId="Listecontinue3">
    <w:name w:val="List Continue 3"/>
    <w:basedOn w:val="Normal"/>
    <w:semiHidden/>
    <w:rsid w:val="00405336"/>
    <w:pPr>
      <w:spacing w:after="120"/>
      <w:ind w:left="1080"/>
      <w:contextualSpacing/>
    </w:pPr>
  </w:style>
  <w:style w:type="paragraph" w:styleId="Listecontinue4">
    <w:name w:val="List Continue 4"/>
    <w:basedOn w:val="Normal"/>
    <w:semiHidden/>
    <w:rsid w:val="00405336"/>
    <w:pPr>
      <w:spacing w:after="120"/>
      <w:ind w:left="1440"/>
      <w:contextualSpacing/>
    </w:pPr>
  </w:style>
  <w:style w:type="paragraph" w:styleId="Listecontinue5">
    <w:name w:val="List Continue 5"/>
    <w:basedOn w:val="Normal"/>
    <w:semiHidden/>
    <w:rsid w:val="00405336"/>
    <w:pPr>
      <w:spacing w:after="120"/>
      <w:ind w:left="1800"/>
      <w:contextualSpacing/>
    </w:pPr>
  </w:style>
  <w:style w:type="paragraph" w:styleId="Listenumros">
    <w:name w:val="List Number"/>
    <w:basedOn w:val="Normal"/>
    <w:semiHidden/>
    <w:rsid w:val="00405336"/>
    <w:pPr>
      <w:tabs>
        <w:tab w:val="num" w:pos="720"/>
      </w:tabs>
      <w:ind w:left="720" w:hanging="720"/>
      <w:contextualSpacing/>
    </w:pPr>
  </w:style>
  <w:style w:type="paragraph" w:styleId="Listenumros2">
    <w:name w:val="List Number 2"/>
    <w:basedOn w:val="Normal"/>
    <w:semiHidden/>
    <w:rsid w:val="00405336"/>
    <w:pPr>
      <w:tabs>
        <w:tab w:val="num" w:pos="720"/>
      </w:tabs>
      <w:ind w:left="720" w:hanging="720"/>
      <w:contextualSpacing/>
    </w:pPr>
  </w:style>
  <w:style w:type="paragraph" w:styleId="Listenumros3">
    <w:name w:val="List Number 3"/>
    <w:basedOn w:val="Normal"/>
    <w:semiHidden/>
    <w:rsid w:val="00405336"/>
    <w:pPr>
      <w:tabs>
        <w:tab w:val="num" w:pos="720"/>
      </w:tabs>
      <w:ind w:left="720" w:hanging="720"/>
      <w:contextualSpacing/>
    </w:pPr>
  </w:style>
  <w:style w:type="paragraph" w:styleId="Listenumros4">
    <w:name w:val="List Number 4"/>
    <w:basedOn w:val="Normal"/>
    <w:semiHidden/>
    <w:rsid w:val="00405336"/>
    <w:pPr>
      <w:tabs>
        <w:tab w:val="num" w:pos="720"/>
      </w:tabs>
      <w:ind w:left="720" w:hanging="720"/>
      <w:contextualSpacing/>
    </w:pPr>
  </w:style>
  <w:style w:type="paragraph" w:styleId="Listenumros5">
    <w:name w:val="List Number 5"/>
    <w:basedOn w:val="Normal"/>
    <w:semiHidden/>
    <w:rsid w:val="00405336"/>
    <w:pPr>
      <w:tabs>
        <w:tab w:val="num" w:pos="720"/>
      </w:tabs>
      <w:ind w:left="720" w:hanging="720"/>
      <w:contextualSpacing/>
    </w:pPr>
  </w:style>
  <w:style w:type="paragraph" w:styleId="Paragraphedeliste">
    <w:name w:val="List Paragraph"/>
    <w:basedOn w:val="Normal"/>
    <w:uiPriority w:val="34"/>
    <w:semiHidden/>
    <w:qFormat/>
    <w:rsid w:val="00405336"/>
    <w:pPr>
      <w:ind w:left="720"/>
    </w:pPr>
  </w:style>
  <w:style w:type="paragraph" w:styleId="Textedemacro">
    <w:name w:val="macro"/>
    <w:link w:val="TextedemacroC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edemacroCar">
    <w:name w:val="Texte de macro Car"/>
    <w:link w:val="Textedemacro"/>
    <w:semiHidden/>
    <w:rsid w:val="00FF04E3"/>
    <w:rPr>
      <w:rFonts w:ascii="Courier New" w:hAnsi="Courier New" w:cs="Courier New"/>
      <w:lang w:val="en-US" w:eastAsia="en-US" w:bidi="ar-SA"/>
    </w:rPr>
  </w:style>
  <w:style w:type="paragraph" w:styleId="En-ttedemessage">
    <w:name w:val="Message Header"/>
    <w:basedOn w:val="Normal"/>
    <w:link w:val="En-ttedemessageC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En-ttedemessageCar">
    <w:name w:val="En-tête de message Car"/>
    <w:link w:val="En-ttedemessage"/>
    <w:semiHidden/>
    <w:rsid w:val="00FF04E3"/>
    <w:rPr>
      <w:rFonts w:ascii="Cambria" w:hAnsi="Cambria"/>
      <w:sz w:val="24"/>
      <w:szCs w:val="24"/>
      <w:shd w:val="pct20" w:color="auto" w:fill="auto"/>
    </w:rPr>
  </w:style>
  <w:style w:type="paragraph" w:styleId="Sansinterligne">
    <w:name w:val="No Spacing"/>
    <w:uiPriority w:val="1"/>
    <w:semiHidden/>
    <w:qFormat/>
    <w:rsid w:val="00405336"/>
  </w:style>
  <w:style w:type="paragraph" w:styleId="NormalWeb">
    <w:name w:val="Normal (Web)"/>
    <w:basedOn w:val="Normal"/>
    <w:uiPriority w:val="99"/>
    <w:semiHidden/>
    <w:rsid w:val="00405336"/>
  </w:style>
  <w:style w:type="paragraph" w:styleId="Retraitnormal">
    <w:name w:val="Normal Indent"/>
    <w:basedOn w:val="Normal"/>
    <w:semiHidden/>
    <w:rsid w:val="00405336"/>
    <w:pPr>
      <w:ind w:left="720"/>
    </w:pPr>
  </w:style>
  <w:style w:type="paragraph" w:styleId="Titredenote">
    <w:name w:val="Note Heading"/>
    <w:basedOn w:val="Normal"/>
    <w:next w:val="Normal"/>
    <w:link w:val="TitredenoteCar"/>
    <w:semiHidden/>
    <w:rsid w:val="00405336"/>
  </w:style>
  <w:style w:type="character" w:customStyle="1" w:styleId="TitredenoteCar">
    <w:name w:val="Titre de note Car"/>
    <w:link w:val="Titredenote"/>
    <w:semiHidden/>
    <w:rsid w:val="00FF04E3"/>
    <w:rPr>
      <w:sz w:val="24"/>
    </w:rPr>
  </w:style>
  <w:style w:type="paragraph" w:styleId="Textebrut">
    <w:name w:val="Plain Text"/>
    <w:basedOn w:val="Normal"/>
    <w:link w:val="TextebrutCar"/>
    <w:semiHidden/>
    <w:rsid w:val="00405336"/>
    <w:rPr>
      <w:rFonts w:ascii="Courier New" w:hAnsi="Courier New" w:cs="Courier New"/>
      <w:sz w:val="20"/>
    </w:rPr>
  </w:style>
  <w:style w:type="character" w:customStyle="1" w:styleId="TextebrutCar">
    <w:name w:val="Texte brut Car"/>
    <w:link w:val="Textebrut"/>
    <w:semiHidden/>
    <w:rsid w:val="00FF04E3"/>
    <w:rPr>
      <w:rFonts w:ascii="Courier New" w:hAnsi="Courier New" w:cs="Courier New"/>
    </w:rPr>
  </w:style>
  <w:style w:type="paragraph" w:styleId="Citation">
    <w:name w:val="Quote"/>
    <w:basedOn w:val="Normal"/>
    <w:next w:val="Normal"/>
    <w:link w:val="CitationCar"/>
    <w:uiPriority w:val="29"/>
    <w:semiHidden/>
    <w:qFormat/>
    <w:rsid w:val="00405336"/>
    <w:rPr>
      <w:i/>
      <w:iCs/>
      <w:color w:val="000000"/>
    </w:rPr>
  </w:style>
  <w:style w:type="character" w:customStyle="1" w:styleId="CitationCar">
    <w:name w:val="Citation Car"/>
    <w:link w:val="Citation"/>
    <w:uiPriority w:val="29"/>
    <w:semiHidden/>
    <w:rsid w:val="00FF04E3"/>
    <w:rPr>
      <w:i/>
      <w:iCs/>
      <w:color w:val="000000"/>
      <w:sz w:val="24"/>
    </w:rPr>
  </w:style>
  <w:style w:type="paragraph" w:styleId="Salutations">
    <w:name w:val="Salutation"/>
    <w:basedOn w:val="Normal"/>
    <w:next w:val="Normal"/>
    <w:link w:val="SalutationsCar"/>
    <w:semiHidden/>
    <w:rsid w:val="00405336"/>
  </w:style>
  <w:style w:type="character" w:customStyle="1" w:styleId="SalutationsCar">
    <w:name w:val="Salutations Car"/>
    <w:link w:val="Salutations"/>
    <w:semiHidden/>
    <w:rsid w:val="00FF04E3"/>
    <w:rPr>
      <w:sz w:val="24"/>
    </w:rPr>
  </w:style>
  <w:style w:type="paragraph" w:styleId="Signature">
    <w:name w:val="Signature"/>
    <w:basedOn w:val="Normal"/>
    <w:link w:val="SignatureCar"/>
    <w:semiHidden/>
    <w:rsid w:val="00405336"/>
    <w:pPr>
      <w:ind w:left="4320"/>
    </w:pPr>
  </w:style>
  <w:style w:type="character" w:customStyle="1" w:styleId="SignatureCar">
    <w:name w:val="Signature Car"/>
    <w:link w:val="Signature"/>
    <w:semiHidden/>
    <w:rsid w:val="00FF04E3"/>
    <w:rPr>
      <w:sz w:val="24"/>
    </w:rPr>
  </w:style>
  <w:style w:type="paragraph" w:styleId="Sous-titre">
    <w:name w:val="Subtitle"/>
    <w:basedOn w:val="Normal"/>
    <w:next w:val="Normal"/>
    <w:link w:val="Sous-titreCar"/>
    <w:uiPriority w:val="11"/>
    <w:qFormat/>
    <w:pPr>
      <w:spacing w:after="60"/>
      <w:jc w:val="center"/>
    </w:pPr>
    <w:rPr>
      <w:rFonts w:ascii="Cambria" w:eastAsia="Cambria" w:hAnsi="Cambria" w:cs="Cambria"/>
    </w:rPr>
  </w:style>
  <w:style w:type="character" w:customStyle="1" w:styleId="Sous-titreCar">
    <w:name w:val="Sous-titre Car"/>
    <w:link w:val="Sous-titre"/>
    <w:semiHidden/>
    <w:rsid w:val="00FF04E3"/>
    <w:rPr>
      <w:rFonts w:ascii="Cambria" w:hAnsi="Cambria"/>
      <w:sz w:val="24"/>
      <w:szCs w:val="24"/>
    </w:rPr>
  </w:style>
  <w:style w:type="paragraph" w:styleId="Tabledesrfrencesjuridiques">
    <w:name w:val="table of authorities"/>
    <w:basedOn w:val="Normal"/>
    <w:next w:val="Normal"/>
    <w:semiHidden/>
    <w:rsid w:val="00405336"/>
    <w:pPr>
      <w:ind w:left="240" w:hanging="240"/>
    </w:pPr>
  </w:style>
  <w:style w:type="paragraph" w:styleId="Tabledesillustrations">
    <w:name w:val="table of figures"/>
    <w:basedOn w:val="Normal"/>
    <w:next w:val="Normal"/>
    <w:semiHidden/>
    <w:rsid w:val="00405336"/>
  </w:style>
  <w:style w:type="character" w:customStyle="1" w:styleId="TitreCar">
    <w:name w:val="Titre Car"/>
    <w:link w:val="Titre"/>
    <w:semiHidden/>
    <w:rsid w:val="00FF04E3"/>
    <w:rPr>
      <w:rFonts w:ascii="Cambria" w:hAnsi="Cambria"/>
      <w:b/>
      <w:bCs/>
      <w:kern w:val="28"/>
      <w:sz w:val="32"/>
      <w:szCs w:val="32"/>
    </w:rPr>
  </w:style>
  <w:style w:type="paragraph" w:styleId="TitreTR">
    <w:name w:val="toa heading"/>
    <w:basedOn w:val="Normal"/>
    <w:next w:val="Normal"/>
    <w:semiHidden/>
    <w:rsid w:val="00405336"/>
    <w:pPr>
      <w:spacing w:before="120"/>
    </w:pPr>
    <w:rPr>
      <w:rFonts w:ascii="Cambria" w:hAnsi="Cambria"/>
      <w:b/>
      <w:bCs/>
    </w:rPr>
  </w:style>
  <w:style w:type="paragraph" w:styleId="TM1">
    <w:name w:val="toc 1"/>
    <w:basedOn w:val="Normal"/>
    <w:next w:val="Normal"/>
    <w:autoRedefine/>
    <w:semiHidden/>
    <w:rsid w:val="00405336"/>
  </w:style>
  <w:style w:type="paragraph" w:styleId="TM2">
    <w:name w:val="toc 2"/>
    <w:basedOn w:val="Normal"/>
    <w:next w:val="Normal"/>
    <w:autoRedefine/>
    <w:semiHidden/>
    <w:rsid w:val="00405336"/>
    <w:pPr>
      <w:ind w:left="240"/>
    </w:pPr>
  </w:style>
  <w:style w:type="paragraph" w:styleId="TM3">
    <w:name w:val="toc 3"/>
    <w:basedOn w:val="Normal"/>
    <w:next w:val="Normal"/>
    <w:autoRedefine/>
    <w:semiHidden/>
    <w:rsid w:val="00405336"/>
    <w:pPr>
      <w:ind w:left="480"/>
    </w:pPr>
  </w:style>
  <w:style w:type="paragraph" w:styleId="TM4">
    <w:name w:val="toc 4"/>
    <w:basedOn w:val="Normal"/>
    <w:next w:val="Normal"/>
    <w:autoRedefine/>
    <w:semiHidden/>
    <w:rsid w:val="00405336"/>
    <w:pPr>
      <w:ind w:left="720"/>
    </w:pPr>
  </w:style>
  <w:style w:type="paragraph" w:styleId="TM5">
    <w:name w:val="toc 5"/>
    <w:basedOn w:val="Normal"/>
    <w:next w:val="Normal"/>
    <w:autoRedefine/>
    <w:semiHidden/>
    <w:rsid w:val="00405336"/>
    <w:pPr>
      <w:ind w:left="960"/>
    </w:pPr>
  </w:style>
  <w:style w:type="paragraph" w:styleId="TM6">
    <w:name w:val="toc 6"/>
    <w:basedOn w:val="Normal"/>
    <w:next w:val="Normal"/>
    <w:autoRedefine/>
    <w:semiHidden/>
    <w:rsid w:val="00405336"/>
    <w:pPr>
      <w:ind w:left="1200"/>
    </w:pPr>
  </w:style>
  <w:style w:type="paragraph" w:styleId="TM7">
    <w:name w:val="toc 7"/>
    <w:basedOn w:val="Normal"/>
    <w:next w:val="Normal"/>
    <w:autoRedefine/>
    <w:semiHidden/>
    <w:rsid w:val="00405336"/>
    <w:pPr>
      <w:ind w:left="1440"/>
    </w:pPr>
  </w:style>
  <w:style w:type="paragraph" w:styleId="TM8">
    <w:name w:val="toc 8"/>
    <w:basedOn w:val="Normal"/>
    <w:next w:val="Normal"/>
    <w:autoRedefine/>
    <w:semiHidden/>
    <w:rsid w:val="00405336"/>
    <w:pPr>
      <w:ind w:left="1680"/>
    </w:pPr>
  </w:style>
  <w:style w:type="paragraph" w:styleId="TM9">
    <w:name w:val="toc 9"/>
    <w:basedOn w:val="Normal"/>
    <w:next w:val="Normal"/>
    <w:autoRedefine/>
    <w:semiHidden/>
    <w:rsid w:val="00405336"/>
    <w:pPr>
      <w:ind w:left="1920"/>
    </w:pPr>
  </w:style>
  <w:style w:type="paragraph" w:styleId="En-ttedetabledesmatires">
    <w:name w:val="TOC Heading"/>
    <w:basedOn w:val="Titre1"/>
    <w:next w:val="Normal"/>
    <w:uiPriority w:val="39"/>
    <w:semiHidden/>
    <w:unhideWhenUsed/>
    <w:qFormat/>
    <w:rsid w:val="00405336"/>
    <w:pPr>
      <w:outlineLvl w:val="9"/>
    </w:pPr>
    <w:rPr>
      <w:rFonts w:ascii="Cambria" w:hAnsi="Cambria"/>
      <w:sz w:val="32"/>
      <w:szCs w:val="32"/>
    </w:rPr>
  </w:style>
  <w:style w:type="character" w:styleId="Lienhypertexte">
    <w:name w:val="Hyperlink"/>
    <w:semiHidden/>
    <w:rsid w:val="007402FC"/>
    <w:rPr>
      <w:color w:val="0000FF"/>
      <w:u w:val="single"/>
    </w:rPr>
  </w:style>
  <w:style w:type="character" w:styleId="Lienhypertextesuivivisit">
    <w:name w:val="FollowedHyperlink"/>
    <w:semiHidden/>
    <w:unhideWhenUsed/>
    <w:rsid w:val="00793072"/>
    <w:rPr>
      <w:color w:val="800080"/>
      <w:u w:val="single"/>
    </w:rPr>
  </w:style>
  <w:style w:type="character" w:styleId="Marquedecommentaire">
    <w:name w:val="annotation reference"/>
    <w:semiHidden/>
    <w:unhideWhenUsed/>
    <w:rsid w:val="00793072"/>
    <w:rPr>
      <w:sz w:val="16"/>
      <w:szCs w:val="16"/>
    </w:rPr>
  </w:style>
  <w:style w:type="character" w:styleId="Mentionnonrsolue">
    <w:name w:val="Unresolved Mention"/>
    <w:basedOn w:val="Policepardfaut"/>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sergey.khaykin@latmos.ipsl.fr" TargetMode="External"/><Relationship Id="rId13" Type="http://schemas.openxmlformats.org/officeDocument/2006/relationships/image" Target="media/image12.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dx.doi.org/10.1029/2021JD0353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xXPtNys0GQXzjOA+Qtv4Nr9fbw==">AMUW2mXJvi58quZ2qxOAG+xUer7ZTyVWH4et0/+dWJX5M/TRGmJtSQbquMweJEFHV84b7Q1T3CrfO6yHH2O7ficr+/Eu7hnNqIkURYJM3EvB+x5EwMu3ChP11dTU7vLp35U9Rer3v5fXjIy7gncIPLEOW9/Tq8TFKAN+aDYTVe9mW2xbJzeIn4+6w77ZiMrzMPFmS4WC3McbzfDKbfeoMifTOPbEvDqlflcZZzxnRsyAL/Qx7uie7Z9yi6Z5yB/EigOGIDmnyibl43gdmTfmJhUmLeVbXUsH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5777</Words>
  <Characters>32930</Characters>
  <Application>Microsoft Office Word</Application>
  <DocSecurity>0</DocSecurity>
  <Lines>274</Lines>
  <Paragraphs>77</Paragraphs>
  <ScaleCrop>false</ScaleCrop>
  <Company/>
  <LinksUpToDate>false</LinksUpToDate>
  <CharactersWithSpaces>38630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Hanson</dc:creator>
  <cp:lastModifiedBy>Sergey Khaykin</cp:lastModifiedBy>
  <cp:revision>2</cp:revision>
  <dcterms:created xsi:type="dcterms:W3CDTF">2022-06-23T15:34:00Z</dcterms:created>
  <dcterms:modified xsi:type="dcterms:W3CDTF">2022-07-16T13:45:00Z</dcterms:modified>
</cp:coreProperties>
</file>