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D7FEA" w14:textId="77777777" w:rsidR="00ED36A0" w:rsidRDefault="007D2354" w:rsidP="007D2354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Hlk107928729"/>
      <w:bookmarkEnd w:id="0"/>
      <w:r w:rsidRPr="00ED36A0">
        <w:rPr>
          <w:rFonts w:ascii="Times New Roman" w:hAnsi="Times New Roman" w:cs="Times New Roman"/>
          <w:b/>
          <w:sz w:val="28"/>
          <w:szCs w:val="28"/>
          <w:lang w:val="en-US"/>
        </w:rPr>
        <w:t xml:space="preserve">pH of water intercalated into graphite oxide as determined by EPR spectroscopy. </w:t>
      </w:r>
    </w:p>
    <w:p w14:paraId="5077F2D8" w14:textId="2DDC614D" w:rsidR="007D2354" w:rsidRPr="00ED36A0" w:rsidRDefault="007D2354" w:rsidP="007D2354">
      <w:pPr>
        <w:spacing w:after="0" w:line="312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ED36A0">
        <w:rPr>
          <w:rFonts w:ascii="Times New Roman" w:hAnsi="Times New Roman" w:cs="Times New Roman"/>
          <w:bCs/>
          <w:sz w:val="28"/>
          <w:szCs w:val="28"/>
          <w:lang w:val="en-US"/>
        </w:rPr>
        <w:t>Supporting information.</w:t>
      </w:r>
    </w:p>
    <w:p w14:paraId="24AC35DE" w14:textId="77777777" w:rsidR="007D2354" w:rsidRPr="007D2354" w:rsidRDefault="007D2354" w:rsidP="007D2354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D9B409D" w14:textId="77777777" w:rsidR="007D2354" w:rsidRPr="005F299D" w:rsidRDefault="007D2354" w:rsidP="007D2354">
      <w:pPr>
        <w:spacing w:after="0" w:line="312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</w:pPr>
      <w:r w:rsidRPr="00A51DED">
        <w:rPr>
          <w:rFonts w:ascii="Times New Roman" w:hAnsi="Times New Roman" w:cs="Times New Roman"/>
          <w:bCs/>
          <w:sz w:val="24"/>
          <w:szCs w:val="24"/>
          <w:lang w:val="en-US"/>
        </w:rPr>
        <w:t>Tatiana S. Yankova</w:t>
      </w:r>
      <w:r w:rsidRPr="005F299D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1*</w:t>
      </w:r>
      <w:r w:rsidRPr="00A51D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Natalia A. Chumakova</w:t>
      </w:r>
      <w:r w:rsidRPr="005F299D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,1</w:t>
      </w:r>
    </w:p>
    <w:p w14:paraId="480AC55D" w14:textId="2F94D2B6" w:rsidR="007D2354" w:rsidRPr="00BB343E" w:rsidRDefault="007D2354" w:rsidP="00D35F7E">
      <w:pPr>
        <w:autoSpaceDE w:val="0"/>
        <w:autoSpaceDN w:val="0"/>
        <w:adjustRightInd w:val="0"/>
        <w:spacing w:after="0" w:line="312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14:paraId="60426437" w14:textId="26488243" w:rsidR="00136485" w:rsidRPr="00ED36A0" w:rsidRDefault="00136485" w:rsidP="00ED36A0">
      <w:pPr>
        <w:autoSpaceDE w:val="0"/>
        <w:autoSpaceDN w:val="0"/>
        <w:adjustRightInd w:val="0"/>
        <w:spacing w:after="0" w:line="312" w:lineRule="auto"/>
        <w:ind w:left="-360" w:firstLine="360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ED36A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pH-sensitivity of EPR spectra of </w:t>
      </w:r>
      <w:r w:rsidR="00F54FFB" w:rsidRPr="00ED36A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MTI and DPI spin probes</w:t>
      </w:r>
    </w:p>
    <w:p w14:paraId="6E0B6D3E" w14:textId="1F57DC40" w:rsidR="007D2354" w:rsidRPr="007E1A76" w:rsidRDefault="00BB343E" w:rsidP="00F54FFB">
      <w:pPr>
        <w:autoSpaceDE w:val="0"/>
        <w:autoSpaceDN w:val="0"/>
        <w:adjustRightInd w:val="0"/>
        <w:spacing w:after="0" w:line="312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8A94D18" wp14:editId="5DB5BA85">
            <wp:extent cx="3895725" cy="602723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2" t="7349" r="11930" b="5087"/>
                    <a:stretch/>
                  </pic:blipFill>
                  <pic:spPr bwMode="auto">
                    <a:xfrm>
                      <a:off x="0" y="0"/>
                      <a:ext cx="3904356" cy="6040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AC681" w14:textId="77777777" w:rsidR="007D2354" w:rsidRDefault="007D2354" w:rsidP="009C54C5">
      <w:pPr>
        <w:autoSpaceDE w:val="0"/>
        <w:autoSpaceDN w:val="0"/>
        <w:adjustRightInd w:val="0"/>
        <w:spacing w:after="0" w:line="312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653A6C" w14:textId="5BF0D10F" w:rsidR="007D2354" w:rsidRPr="00ED36A0" w:rsidRDefault="00F54FFB" w:rsidP="00ED36A0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iCs/>
          <w:sz w:val="20"/>
          <w:szCs w:val="20"/>
          <w:lang w:val="en-US"/>
        </w:rPr>
      </w:pPr>
      <w:r w:rsidRPr="000D1F5B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Fig</w:t>
      </w:r>
      <w:r w:rsidR="000D1F5B" w:rsidRPr="000D1F5B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.</w:t>
      </w:r>
      <w:r w:rsidRPr="000D1F5B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 xml:space="preserve"> 1</w:t>
      </w:r>
      <w:r w:rsidR="00136485" w:rsidRPr="000D1F5B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SI</w:t>
      </w:r>
      <w:r w:rsidR="00136485" w:rsidRPr="000D1F5B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 w:rsidR="00E927C4" w:rsidRPr="000D1F5B">
        <w:rPr>
          <w:rFonts w:ascii="Times New Roman" w:hAnsi="Times New Roman" w:cs="Times New Roman"/>
          <w:iCs/>
          <w:sz w:val="20"/>
          <w:szCs w:val="20"/>
          <w:lang w:val="en-US"/>
        </w:rPr>
        <w:t>p</w:t>
      </w:r>
      <w:r w:rsidR="007E1A76" w:rsidRPr="000D1F5B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H-dependencies of </w:t>
      </w:r>
      <w:r w:rsidR="00136485" w:rsidRPr="000D1F5B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EPR spectra of the spin probes </w:t>
      </w:r>
      <w:r w:rsidR="00A10601" w:rsidRPr="000D1F5B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(a) </w:t>
      </w:r>
      <w:r w:rsidR="007E1A76" w:rsidRPr="000D1F5B">
        <w:rPr>
          <w:rFonts w:ascii="Times New Roman" w:hAnsi="Times New Roman" w:cs="Times New Roman"/>
          <w:iCs/>
          <w:sz w:val="20"/>
          <w:szCs w:val="20"/>
          <w:lang w:val="en-US"/>
        </w:rPr>
        <w:t>DPI</w:t>
      </w:r>
      <w:r w:rsidR="00136485" w:rsidRPr="000D1F5B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and</w:t>
      </w:r>
      <w:r w:rsidR="007E1A76" w:rsidRPr="000D1F5B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 w:rsidR="00A10601" w:rsidRPr="000D1F5B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(b) </w:t>
      </w:r>
      <w:r w:rsidR="007E1A76" w:rsidRPr="000D1F5B">
        <w:rPr>
          <w:rFonts w:ascii="Times New Roman" w:hAnsi="Times New Roman" w:cs="Times New Roman"/>
          <w:iCs/>
          <w:sz w:val="20"/>
          <w:szCs w:val="20"/>
          <w:lang w:val="en-US"/>
        </w:rPr>
        <w:t>MTI</w:t>
      </w:r>
      <w:r w:rsidR="00136485" w:rsidRPr="000D1F5B">
        <w:rPr>
          <w:rFonts w:ascii="Times New Roman" w:hAnsi="Times New Roman" w:cs="Times New Roman"/>
          <w:iCs/>
          <w:sz w:val="20"/>
          <w:szCs w:val="20"/>
          <w:lang w:val="en-US"/>
        </w:rPr>
        <w:t>.</w:t>
      </w:r>
    </w:p>
    <w:p w14:paraId="0F7F390C" w14:textId="3B7D5B94" w:rsidR="007D2354" w:rsidRDefault="007D2354" w:rsidP="00136485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ED36A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lastRenderedPageBreak/>
        <w:t xml:space="preserve">Monitoring of GO powder </w:t>
      </w:r>
      <w:r w:rsidR="00A10601" w:rsidRPr="00ED36A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impregnation </w:t>
      </w:r>
      <w:r w:rsidRPr="00ED36A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with water by EPR spectra</w:t>
      </w:r>
      <w:r w:rsidR="00136485" w:rsidRPr="00ED36A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.</w:t>
      </w:r>
    </w:p>
    <w:p w14:paraId="532F07B1" w14:textId="77777777" w:rsidR="00ED36A0" w:rsidRPr="00ED36A0" w:rsidRDefault="00ED36A0" w:rsidP="00136485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14:paraId="1EBC45D9" w14:textId="18100AC6" w:rsidR="009C54C5" w:rsidRDefault="009C54C5" w:rsidP="00136485">
      <w:pPr>
        <w:autoSpaceDE w:val="0"/>
        <w:autoSpaceDN w:val="0"/>
        <w:adjustRightInd w:val="0"/>
        <w:spacing w:after="0" w:line="312" w:lineRule="auto"/>
        <w:ind w:firstLine="70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1DED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61524A">
        <w:rPr>
          <w:rFonts w:ascii="Times New Roman" w:hAnsi="Times New Roman" w:cs="Times New Roman"/>
          <w:sz w:val="24"/>
          <w:szCs w:val="24"/>
          <w:lang w:val="en-US"/>
        </w:rPr>
        <w:t>2a</w:t>
      </w:r>
      <w:r w:rsidR="00062492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A51DED">
        <w:rPr>
          <w:rFonts w:ascii="Times New Roman" w:hAnsi="Times New Roman" w:cs="Times New Roman"/>
          <w:sz w:val="24"/>
          <w:szCs w:val="24"/>
          <w:lang w:val="en-US"/>
        </w:rPr>
        <w:t xml:space="preserve"> shows EPR spectra of the sample “MTI/</w:t>
      </w:r>
      <w:r w:rsidR="00BB343E">
        <w:rPr>
          <w:rFonts w:ascii="Times New Roman" w:hAnsi="Times New Roman" w:cs="Times New Roman"/>
          <w:sz w:val="24"/>
          <w:szCs w:val="24"/>
          <w:lang w:val="en-US"/>
        </w:rPr>
        <w:t>GO/</w:t>
      </w:r>
      <w:r w:rsidR="0061524A">
        <w:rPr>
          <w:rFonts w:ascii="Times New Roman" w:hAnsi="Times New Roman" w:cs="Times New Roman"/>
          <w:sz w:val="24"/>
          <w:szCs w:val="24"/>
          <w:lang w:val="en-US"/>
        </w:rPr>
        <w:t>water</w:t>
      </w:r>
      <w:r w:rsidRPr="00A51DED">
        <w:rPr>
          <w:rFonts w:ascii="Times New Roman" w:hAnsi="Times New Roman" w:cs="Times New Roman"/>
          <w:sz w:val="24"/>
          <w:szCs w:val="24"/>
          <w:lang w:val="en-US"/>
        </w:rPr>
        <w:t xml:space="preserve">” recorded immediately after </w:t>
      </w:r>
      <w:r w:rsidR="00F666AB" w:rsidRPr="00F666AB">
        <w:rPr>
          <w:rFonts w:ascii="Times New Roman" w:hAnsi="Times New Roman" w:cs="Times New Roman"/>
          <w:sz w:val="24"/>
          <w:szCs w:val="24"/>
          <w:lang w:val="en-US"/>
        </w:rPr>
        <w:t>addition of water to graphite ox</w:t>
      </w:r>
      <w:r w:rsidR="00F666AB">
        <w:rPr>
          <w:rFonts w:ascii="Times New Roman" w:hAnsi="Times New Roman" w:cs="Times New Roman"/>
          <w:sz w:val="24"/>
          <w:szCs w:val="24"/>
          <w:lang w:val="en-US"/>
        </w:rPr>
        <w:t>ide</w:t>
      </w:r>
      <w:r w:rsidR="00A10601">
        <w:rPr>
          <w:rFonts w:ascii="Times New Roman" w:hAnsi="Times New Roman" w:cs="Times New Roman"/>
          <w:sz w:val="24"/>
          <w:szCs w:val="24"/>
          <w:lang w:val="en-US"/>
        </w:rPr>
        <w:t>/nitroxide sample</w:t>
      </w:r>
      <w:r w:rsidR="00F666AB">
        <w:rPr>
          <w:rFonts w:ascii="Times New Roman" w:hAnsi="Times New Roman" w:cs="Times New Roman"/>
          <w:sz w:val="24"/>
          <w:szCs w:val="24"/>
          <w:lang w:val="en-US"/>
        </w:rPr>
        <w:t xml:space="preserve"> placed in a </w:t>
      </w:r>
      <w:r w:rsidR="0061524A">
        <w:rPr>
          <w:rFonts w:ascii="Times New Roman" w:hAnsi="Times New Roman" w:cs="Times New Roman"/>
          <w:sz w:val="24"/>
          <w:szCs w:val="24"/>
          <w:lang w:val="en-US"/>
        </w:rPr>
        <w:t>tube</w:t>
      </w:r>
      <w:r w:rsidR="00F666AB" w:rsidRPr="00F66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1DED">
        <w:rPr>
          <w:rFonts w:ascii="Times New Roman" w:hAnsi="Times New Roman" w:cs="Times New Roman"/>
          <w:sz w:val="24"/>
          <w:szCs w:val="24"/>
          <w:lang w:val="en-US"/>
        </w:rPr>
        <w:t xml:space="preserve">and after centrifugation of the sample. It is seen that </w:t>
      </w:r>
      <w:r w:rsidR="00A1060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A51DED">
        <w:rPr>
          <w:rFonts w:ascii="Times New Roman" w:hAnsi="Times New Roman" w:cs="Times New Roman"/>
          <w:sz w:val="24"/>
          <w:szCs w:val="24"/>
          <w:lang w:val="en-US"/>
        </w:rPr>
        <w:t>centrifugation</w:t>
      </w:r>
      <w:r w:rsidR="00A10601">
        <w:rPr>
          <w:rFonts w:ascii="Times New Roman" w:hAnsi="Times New Roman" w:cs="Times New Roman"/>
          <w:sz w:val="24"/>
          <w:szCs w:val="24"/>
          <w:lang w:val="en-US"/>
        </w:rPr>
        <w:t xml:space="preserve"> resulted in</w:t>
      </w:r>
      <w:r w:rsidR="00B21E4A" w:rsidRPr="00715B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0601">
        <w:rPr>
          <w:rFonts w:ascii="Times New Roman" w:hAnsi="Times New Roman" w:cs="Times New Roman"/>
          <w:sz w:val="24"/>
          <w:szCs w:val="24"/>
          <w:lang w:val="en-US"/>
        </w:rPr>
        <w:t>increase</w:t>
      </w:r>
      <w:r w:rsidR="00A10601" w:rsidRPr="00A51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1E4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A51DED">
        <w:rPr>
          <w:rFonts w:ascii="Times New Roman" w:hAnsi="Times New Roman" w:cs="Times New Roman"/>
          <w:sz w:val="24"/>
          <w:szCs w:val="24"/>
          <w:lang w:val="en-US"/>
        </w:rPr>
        <w:t xml:space="preserve">the signals of </w:t>
      </w:r>
      <w:r w:rsidR="0029189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A51DED">
        <w:rPr>
          <w:rFonts w:ascii="Times New Roman" w:hAnsi="Times New Roman" w:cs="Times New Roman"/>
          <w:sz w:val="24"/>
          <w:szCs w:val="24"/>
          <w:lang w:val="en-US"/>
        </w:rPr>
        <w:t>radical</w:t>
      </w:r>
      <w:r w:rsidR="0061524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51DED">
        <w:rPr>
          <w:rFonts w:ascii="Times New Roman" w:hAnsi="Times New Roman" w:cs="Times New Roman"/>
          <w:sz w:val="24"/>
          <w:szCs w:val="24"/>
          <w:lang w:val="en-US"/>
        </w:rPr>
        <w:t xml:space="preserve"> in liquid (</w:t>
      </w:r>
      <w:proofErr w:type="spellStart"/>
      <w:r w:rsidRPr="00A51DED">
        <w:rPr>
          <w:rFonts w:ascii="Times New Roman" w:hAnsi="Times New Roman" w:cs="Times New Roman"/>
          <w:sz w:val="24"/>
          <w:szCs w:val="24"/>
          <w:lang w:val="en-US"/>
        </w:rPr>
        <w:t>Liq</w:t>
      </w:r>
      <w:r w:rsidRPr="00A51DE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LF</w:t>
      </w:r>
      <w:proofErr w:type="spellEnd"/>
      <w:r w:rsidRPr="00A51DE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A51DED">
        <w:rPr>
          <w:rFonts w:ascii="Times New Roman" w:hAnsi="Times New Roman" w:cs="Times New Roman"/>
          <w:sz w:val="24"/>
          <w:szCs w:val="24"/>
          <w:lang w:val="en-US"/>
        </w:rPr>
        <w:t>Liq</w:t>
      </w:r>
      <w:r w:rsidRPr="00A51DE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HF</w:t>
      </w:r>
      <w:proofErr w:type="spellEnd"/>
      <w:r w:rsidRPr="00A51DED">
        <w:rPr>
          <w:rFonts w:ascii="Times New Roman" w:hAnsi="Times New Roman" w:cs="Times New Roman"/>
          <w:sz w:val="24"/>
          <w:szCs w:val="24"/>
          <w:lang w:val="en-US"/>
        </w:rPr>
        <w:t xml:space="preserve">). Hence, the impregnation of the sample </w:t>
      </w:r>
      <w:r w:rsidR="00B21E4A">
        <w:rPr>
          <w:rFonts w:ascii="Times New Roman" w:hAnsi="Times New Roman" w:cs="Times New Roman"/>
          <w:sz w:val="24"/>
          <w:szCs w:val="24"/>
          <w:lang w:val="en-US"/>
        </w:rPr>
        <w:t>volume</w:t>
      </w:r>
      <w:r w:rsidRPr="00A51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7FC8">
        <w:rPr>
          <w:rFonts w:ascii="Times New Roman" w:hAnsi="Times New Roman" w:cs="Times New Roman"/>
          <w:sz w:val="24"/>
          <w:szCs w:val="24"/>
          <w:lang w:val="en-US"/>
        </w:rPr>
        <w:t>far</w:t>
      </w:r>
      <w:r w:rsidRPr="00A51DED">
        <w:rPr>
          <w:rFonts w:ascii="Times New Roman" w:hAnsi="Times New Roman" w:cs="Times New Roman"/>
          <w:sz w:val="24"/>
          <w:szCs w:val="24"/>
          <w:lang w:val="en-US"/>
        </w:rPr>
        <w:t xml:space="preserve"> from the sample surface has occurred</w:t>
      </w:r>
      <w:r w:rsidR="00874766">
        <w:rPr>
          <w:rFonts w:ascii="Times New Roman" w:hAnsi="Times New Roman" w:cs="Times New Roman"/>
          <w:sz w:val="24"/>
          <w:szCs w:val="24"/>
          <w:lang w:val="en-US"/>
        </w:rPr>
        <w:t xml:space="preserve">; and the radicals, which were </w:t>
      </w:r>
      <w:r w:rsidR="00B21E4A">
        <w:rPr>
          <w:rFonts w:ascii="Times New Roman" w:hAnsi="Times New Roman" w:cs="Times New Roman"/>
          <w:sz w:val="24"/>
          <w:szCs w:val="24"/>
          <w:lang w:val="en-US"/>
        </w:rPr>
        <w:t>initially</w:t>
      </w:r>
      <w:r w:rsidR="00874766">
        <w:rPr>
          <w:rFonts w:ascii="Times New Roman" w:hAnsi="Times New Roman" w:cs="Times New Roman"/>
          <w:sz w:val="24"/>
          <w:szCs w:val="24"/>
          <w:lang w:val="en-US"/>
        </w:rPr>
        <w:t xml:space="preserve"> sorbed on the inner surface of GO, </w:t>
      </w:r>
      <w:r w:rsidR="0029189F" w:rsidRPr="0029189F">
        <w:rPr>
          <w:rFonts w:ascii="Times New Roman" w:hAnsi="Times New Roman" w:cs="Times New Roman"/>
          <w:sz w:val="24"/>
          <w:szCs w:val="24"/>
          <w:lang w:val="en-US"/>
        </w:rPr>
        <w:t xml:space="preserve">partially transferred to </w:t>
      </w:r>
      <w:r w:rsidR="0029189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9189F" w:rsidRPr="0029189F">
        <w:rPr>
          <w:rFonts w:ascii="Times New Roman" w:hAnsi="Times New Roman" w:cs="Times New Roman"/>
          <w:sz w:val="24"/>
          <w:szCs w:val="24"/>
          <w:lang w:val="en-US"/>
        </w:rPr>
        <w:t>intercalated water</w:t>
      </w:r>
      <w:r w:rsidR="0029189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51DED">
        <w:rPr>
          <w:rFonts w:ascii="Times New Roman" w:hAnsi="Times New Roman" w:cs="Times New Roman"/>
          <w:sz w:val="24"/>
          <w:szCs w:val="24"/>
          <w:lang w:val="en-US"/>
        </w:rPr>
        <w:t xml:space="preserve">Scheme of the sample before and after centrifugation is shown in </w:t>
      </w:r>
      <w:r w:rsidR="0029189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A51DED">
        <w:rPr>
          <w:rFonts w:ascii="Times New Roman" w:hAnsi="Times New Roman" w:cs="Times New Roman"/>
          <w:sz w:val="24"/>
          <w:szCs w:val="24"/>
          <w:lang w:val="en-US"/>
        </w:rPr>
        <w:t xml:space="preserve">igure </w:t>
      </w:r>
      <w:r w:rsidR="008E60C2">
        <w:rPr>
          <w:rFonts w:ascii="Times New Roman" w:hAnsi="Times New Roman" w:cs="Times New Roman"/>
          <w:sz w:val="24"/>
          <w:szCs w:val="24"/>
          <w:lang w:val="en-US"/>
        </w:rPr>
        <w:t>2b</w:t>
      </w:r>
      <w:r w:rsidR="0029189F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A51DE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CB5EC14" w14:textId="23D23F0A" w:rsidR="009C54C5" w:rsidRPr="00BC6205" w:rsidRDefault="00BC6205" w:rsidP="009C54C5">
      <w:pPr>
        <w:autoSpaceDE w:val="0"/>
        <w:autoSpaceDN w:val="0"/>
        <w:adjustRightInd w:val="0"/>
        <w:spacing w:after="0" w:line="312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3C91C40" wp14:editId="3FDE6A45">
            <wp:extent cx="5147432" cy="272383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1" t="12356" b="14794"/>
                    <a:stretch/>
                  </pic:blipFill>
                  <pic:spPr bwMode="auto">
                    <a:xfrm>
                      <a:off x="0" y="0"/>
                      <a:ext cx="5148262" cy="2724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2E91CE" w14:textId="4E4703B7" w:rsidR="009C54C5" w:rsidRPr="000D1F5B" w:rsidRDefault="009C54C5" w:rsidP="009C54C5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r w:rsidRPr="000D1F5B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Fig</w:t>
      </w:r>
      <w:r w:rsidR="000D1F5B" w:rsidRPr="000D1F5B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.</w:t>
      </w:r>
      <w:r w:rsidRPr="000D1F5B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 xml:space="preserve"> </w:t>
      </w:r>
      <w:r w:rsidR="00136485" w:rsidRPr="000D1F5B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2SI</w:t>
      </w:r>
      <w:r w:rsidRPr="000D1F5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D00354" w:rsidRPr="000D1F5B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(a) </w:t>
      </w:r>
      <w:r w:rsidRPr="000D1F5B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EPR spectra of the sample MTI/GO/water recorded immediately after adding of water (black line) and after centrifugation of the sample (blue line) Spectra are normalized on amplitude of </w:t>
      </w:r>
      <w:r w:rsidR="00062492" w:rsidRPr="000D1F5B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the </w:t>
      </w:r>
      <w:r w:rsidRPr="000D1F5B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component </w:t>
      </w:r>
      <w:proofErr w:type="spellStart"/>
      <w:r w:rsidR="00D00354" w:rsidRPr="000D1F5B">
        <w:rPr>
          <w:rFonts w:ascii="Times New Roman" w:hAnsi="Times New Roman" w:cs="Times New Roman"/>
          <w:iCs/>
          <w:sz w:val="20"/>
          <w:szCs w:val="20"/>
          <w:lang w:val="en-US"/>
        </w:rPr>
        <w:t>Sorb</w:t>
      </w:r>
      <w:r w:rsidRPr="000D1F5B">
        <w:rPr>
          <w:rFonts w:ascii="Times New Roman" w:hAnsi="Times New Roman" w:cs="Times New Roman"/>
          <w:iCs/>
          <w:sz w:val="20"/>
          <w:szCs w:val="20"/>
          <w:vertAlign w:val="subscript"/>
          <w:lang w:val="en-US"/>
        </w:rPr>
        <w:t>LF</w:t>
      </w:r>
      <w:proofErr w:type="spellEnd"/>
      <w:r w:rsidR="00062492" w:rsidRPr="000D1F5B">
        <w:rPr>
          <w:rFonts w:ascii="Times New Roman" w:hAnsi="Times New Roman" w:cs="Times New Roman"/>
          <w:iCs/>
          <w:sz w:val="20"/>
          <w:szCs w:val="20"/>
          <w:lang w:val="en-US"/>
        </w:rPr>
        <w:t>.</w:t>
      </w:r>
      <w:r w:rsidR="00D00354" w:rsidRPr="000D1F5B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(b)</w:t>
      </w:r>
      <w:r w:rsidR="00062492" w:rsidRPr="000D1F5B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Scheme of impregnation</w:t>
      </w:r>
      <w:r w:rsidR="00D00354" w:rsidRPr="000D1F5B">
        <w:rPr>
          <w:rFonts w:ascii="Times New Roman" w:hAnsi="Times New Roman" w:cs="Times New Roman"/>
          <w:iCs/>
          <w:sz w:val="20"/>
          <w:szCs w:val="20"/>
          <w:lang w:val="en-US"/>
        </w:rPr>
        <w:t>.</w:t>
      </w:r>
      <w:r w:rsidR="00062492" w:rsidRPr="000D1F5B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</w:p>
    <w:p w14:paraId="7A875B08" w14:textId="3B7DE847" w:rsidR="00062492" w:rsidRPr="00062492" w:rsidRDefault="00062492">
      <w:pPr>
        <w:rPr>
          <w:b/>
          <w:lang w:val="en-US"/>
        </w:rPr>
      </w:pPr>
    </w:p>
    <w:sectPr w:rsidR="00062492" w:rsidRPr="00062492" w:rsidSect="00034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4C5"/>
    <w:rsid w:val="00034AA6"/>
    <w:rsid w:val="00062492"/>
    <w:rsid w:val="000D1F5B"/>
    <w:rsid w:val="00136485"/>
    <w:rsid w:val="0029189F"/>
    <w:rsid w:val="003D2287"/>
    <w:rsid w:val="005167B1"/>
    <w:rsid w:val="005F17EA"/>
    <w:rsid w:val="00607ED1"/>
    <w:rsid w:val="0061524A"/>
    <w:rsid w:val="00715B62"/>
    <w:rsid w:val="00747FC8"/>
    <w:rsid w:val="007A5810"/>
    <w:rsid w:val="007D2354"/>
    <w:rsid w:val="007E1A76"/>
    <w:rsid w:val="00842454"/>
    <w:rsid w:val="008574D1"/>
    <w:rsid w:val="00874766"/>
    <w:rsid w:val="008E60C2"/>
    <w:rsid w:val="00961037"/>
    <w:rsid w:val="009C54C5"/>
    <w:rsid w:val="00A10601"/>
    <w:rsid w:val="00AA453E"/>
    <w:rsid w:val="00B21E4A"/>
    <w:rsid w:val="00B56568"/>
    <w:rsid w:val="00BB343E"/>
    <w:rsid w:val="00BC6205"/>
    <w:rsid w:val="00BC7574"/>
    <w:rsid w:val="00BE0DA1"/>
    <w:rsid w:val="00C46BA0"/>
    <w:rsid w:val="00D00354"/>
    <w:rsid w:val="00D35F7E"/>
    <w:rsid w:val="00E927C4"/>
    <w:rsid w:val="00ED36A0"/>
    <w:rsid w:val="00F54FFB"/>
    <w:rsid w:val="00F666AB"/>
    <w:rsid w:val="00FC1BA9"/>
    <w:rsid w:val="00FD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EE239"/>
  <w15:docId w15:val="{D58DA59C-37AF-4F37-A5FC-8FB47555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4C5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5">
    <w:name w:val="Revision"/>
    <w:hidden/>
    <w:uiPriority w:val="99"/>
    <w:semiHidden/>
    <w:rsid w:val="007E1A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26353-C64B-4087-958D-C0AA67693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K240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harmonic</dc:creator>
  <cp:lastModifiedBy>Татьяна Янкова</cp:lastModifiedBy>
  <cp:revision>3</cp:revision>
  <dcterms:created xsi:type="dcterms:W3CDTF">2022-07-15T15:18:00Z</dcterms:created>
  <dcterms:modified xsi:type="dcterms:W3CDTF">2022-07-15T15:38:00Z</dcterms:modified>
</cp:coreProperties>
</file>