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CDFA13" w14:textId="77777777" w:rsidR="00E20CD7" w:rsidRDefault="00E20CD7" w:rsidP="00E20CD7">
      <w:pPr>
        <w:rPr>
          <w:lang w:val="en-US"/>
        </w:rPr>
      </w:pPr>
    </w:p>
    <w:p w14:paraId="30FF6E0A" w14:textId="77777777" w:rsidR="00E20CD7" w:rsidRPr="00E20CD7" w:rsidRDefault="00E20CD7" w:rsidP="00E20CD7">
      <w:pPr>
        <w:ind w:left="-567"/>
        <w:rPr>
          <w:lang w:val="en-US"/>
        </w:rPr>
      </w:pPr>
      <w:r w:rsidRPr="00E20CD7">
        <w:rPr>
          <w:lang w:val="en-US"/>
        </w:rPr>
        <w:t xml:space="preserve">Figure S1 </w:t>
      </w:r>
    </w:p>
    <w:p w14:paraId="522D45E1" w14:textId="2D1528EC" w:rsidR="00E20CD7" w:rsidRDefault="00E20CD7" w:rsidP="005B3E59">
      <w:pPr>
        <w:ind w:left="-567"/>
        <w:rPr>
          <w:rFonts w:cstheme="minorHAnsi"/>
          <w:lang w:val="en-US"/>
        </w:rPr>
      </w:pPr>
      <w:r>
        <w:rPr>
          <w:lang w:val="en-US"/>
        </w:rPr>
        <w:t xml:space="preserve">Generalized Principal Component Analyses plots </w:t>
      </w:r>
      <w:r w:rsidR="002E667A">
        <w:rPr>
          <w:lang w:val="en-US"/>
        </w:rPr>
        <w:t xml:space="preserve">obtained from expression patterns </w:t>
      </w:r>
      <w:r>
        <w:rPr>
          <w:lang w:val="en-US"/>
        </w:rPr>
        <w:t xml:space="preserve">of </w:t>
      </w:r>
      <w:r w:rsidR="002E667A">
        <w:rPr>
          <w:lang w:val="en-US"/>
        </w:rPr>
        <w:t xml:space="preserve">bulb mite </w:t>
      </w:r>
      <w:r>
        <w:rPr>
          <w:lang w:val="en-US"/>
        </w:rPr>
        <w:t>male samples. Color represents temperature (blue: 18</w:t>
      </w:r>
      <w:r>
        <w:rPr>
          <w:rFonts w:cstheme="minorHAnsi"/>
          <w:lang w:val="en-US"/>
        </w:rPr>
        <w:t>°</w:t>
      </w:r>
      <w:r>
        <w:rPr>
          <w:lang w:val="en-US"/>
        </w:rPr>
        <w:t>C, green 23</w:t>
      </w:r>
      <w:r>
        <w:rPr>
          <w:rFonts w:cstheme="minorHAnsi"/>
          <w:lang w:val="en-US"/>
        </w:rPr>
        <w:t>°</w:t>
      </w:r>
      <w:r>
        <w:rPr>
          <w:lang w:val="en-US"/>
        </w:rPr>
        <w:t>C, red 28</w:t>
      </w:r>
      <w:r>
        <w:rPr>
          <w:rFonts w:cstheme="minorHAnsi"/>
          <w:lang w:val="en-US"/>
        </w:rPr>
        <w:t>°C). Empty triangles denote samples fr</w:t>
      </w:r>
      <w:r w:rsidR="005F10A2">
        <w:rPr>
          <w:rFonts w:cstheme="minorHAnsi"/>
          <w:lang w:val="en-US"/>
        </w:rPr>
        <w:t>o</w:t>
      </w:r>
      <w:r>
        <w:rPr>
          <w:rFonts w:cstheme="minorHAnsi"/>
          <w:lang w:val="en-US"/>
        </w:rPr>
        <w:t xml:space="preserve">m </w:t>
      </w:r>
      <w:r w:rsidR="002E667A">
        <w:rPr>
          <w:rFonts w:cstheme="minorHAnsi"/>
          <w:lang w:val="en-US"/>
        </w:rPr>
        <w:t>fighter</w:t>
      </w:r>
      <w:r>
        <w:rPr>
          <w:rFonts w:cstheme="minorHAnsi"/>
          <w:lang w:val="en-US"/>
        </w:rPr>
        <w:t xml:space="preserve">-selected populations, filled circles – samples from scrambler-selected populations. </w:t>
      </w:r>
    </w:p>
    <w:p w14:paraId="2DDEB72F" w14:textId="39840625" w:rsidR="00E20CD7" w:rsidRPr="00DB1237" w:rsidRDefault="005F10A2" w:rsidP="00E20CD7">
      <w:pPr>
        <w:ind w:left="-567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45F27D3" wp14:editId="7187836B">
            <wp:extent cx="5400000" cy="6028571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655DF" w14:textId="77777777" w:rsidR="00E20CD7" w:rsidRDefault="00E20CD7">
      <w:pPr>
        <w:rPr>
          <w:lang w:val="en-US"/>
        </w:rPr>
      </w:pPr>
      <w:r>
        <w:rPr>
          <w:lang w:val="en-US"/>
        </w:rPr>
        <w:br w:type="page"/>
      </w:r>
    </w:p>
    <w:p w14:paraId="5DB93702" w14:textId="77777777" w:rsidR="00E20CD7" w:rsidRDefault="00E20CD7" w:rsidP="00E20CD7">
      <w:pPr>
        <w:ind w:left="-567"/>
        <w:rPr>
          <w:lang w:val="en-US"/>
        </w:rPr>
      </w:pPr>
    </w:p>
    <w:p w14:paraId="25803041" w14:textId="77777777" w:rsidR="00E20CD7" w:rsidRPr="00E20CD7" w:rsidRDefault="00E20CD7" w:rsidP="00E20CD7">
      <w:pPr>
        <w:ind w:left="-567"/>
        <w:rPr>
          <w:lang w:val="en-US"/>
        </w:rPr>
      </w:pPr>
      <w:r>
        <w:rPr>
          <w:lang w:val="en-US"/>
        </w:rPr>
        <w:t>Figure S2</w:t>
      </w:r>
      <w:r w:rsidRPr="00E20CD7">
        <w:rPr>
          <w:lang w:val="en-US"/>
        </w:rPr>
        <w:t xml:space="preserve"> </w:t>
      </w:r>
    </w:p>
    <w:p w14:paraId="41C7F000" w14:textId="7C853B38" w:rsidR="00E20CD7" w:rsidRPr="00E20CD7" w:rsidRDefault="00E20CD7" w:rsidP="00E20CD7">
      <w:pPr>
        <w:ind w:left="-567"/>
        <w:rPr>
          <w:lang w:val="en-US"/>
        </w:rPr>
      </w:pPr>
      <w:r w:rsidRPr="00E20CD7">
        <w:rPr>
          <w:lang w:val="en-US"/>
        </w:rPr>
        <w:t xml:space="preserve">Generalized Principal Component Analyses plots </w:t>
      </w:r>
      <w:r w:rsidR="002E667A">
        <w:rPr>
          <w:lang w:val="en-US"/>
        </w:rPr>
        <w:t xml:space="preserve">obtained from bulb mite </w:t>
      </w:r>
      <w:r>
        <w:rPr>
          <w:lang w:val="en-US"/>
        </w:rPr>
        <w:t xml:space="preserve">female </w:t>
      </w:r>
      <w:r w:rsidRPr="00E20CD7">
        <w:rPr>
          <w:lang w:val="en-US"/>
        </w:rPr>
        <w:t xml:space="preserve">samples. Color represents temperature (blue: 18°C, green 23°C, red 28°C). Empty triangles denote samples from </w:t>
      </w:r>
      <w:r w:rsidR="002E667A">
        <w:rPr>
          <w:lang w:val="en-US"/>
        </w:rPr>
        <w:t>f</w:t>
      </w:r>
      <w:r w:rsidR="002E667A" w:rsidRPr="00E20CD7">
        <w:rPr>
          <w:lang w:val="en-US"/>
        </w:rPr>
        <w:t>ighter</w:t>
      </w:r>
      <w:r w:rsidRPr="00E20CD7">
        <w:rPr>
          <w:lang w:val="en-US"/>
        </w:rPr>
        <w:t xml:space="preserve">-selected populations, filled circles – samples from scrambler-selected populations. </w:t>
      </w:r>
    </w:p>
    <w:p w14:paraId="2E4F074B" w14:textId="77777777" w:rsidR="00E20CD7" w:rsidRDefault="00E20CD7" w:rsidP="005B3E59">
      <w:pPr>
        <w:ind w:left="-567"/>
        <w:rPr>
          <w:lang w:val="en-US"/>
        </w:rPr>
      </w:pPr>
    </w:p>
    <w:p w14:paraId="28D7932D" w14:textId="4DBCA131" w:rsidR="00E20CD7" w:rsidRDefault="005F10A2" w:rsidP="005B3E59">
      <w:pPr>
        <w:ind w:left="-567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369D68" wp14:editId="7E417984">
            <wp:extent cx="5400000" cy="602857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Del="005F10A2">
        <w:rPr>
          <w:noProof/>
          <w:lang w:val="en-US"/>
        </w:rPr>
        <w:t xml:space="preserve"> </w:t>
      </w:r>
    </w:p>
    <w:p w14:paraId="7135F166" w14:textId="77777777" w:rsidR="00E20CD7" w:rsidRDefault="00E20CD7">
      <w:pPr>
        <w:rPr>
          <w:lang w:val="en-US"/>
        </w:rPr>
      </w:pPr>
      <w:r>
        <w:rPr>
          <w:lang w:val="en-US"/>
        </w:rPr>
        <w:br w:type="page"/>
      </w:r>
    </w:p>
    <w:p w14:paraId="3D7ABDE8" w14:textId="51DB98E1" w:rsidR="00330948" w:rsidRPr="005B3E59" w:rsidRDefault="00F6627A" w:rsidP="005B3E59">
      <w:pPr>
        <w:ind w:left="-567"/>
        <w:rPr>
          <w:lang w:val="en-US"/>
        </w:rPr>
      </w:pPr>
      <w:r>
        <w:rPr>
          <w:lang w:val="en-US"/>
        </w:rPr>
        <w:lastRenderedPageBreak/>
        <w:t>Figure S3</w:t>
      </w:r>
      <w:r w:rsidR="005B3E59" w:rsidRPr="005B3E59">
        <w:rPr>
          <w:lang w:val="en-US"/>
        </w:rPr>
        <w:t xml:space="preserve">. Visual representation of </w:t>
      </w:r>
      <w:r w:rsidR="002E667A">
        <w:rPr>
          <w:lang w:val="en-US"/>
        </w:rPr>
        <w:t>b</w:t>
      </w:r>
      <w:r w:rsidR="002E667A" w:rsidRPr="005B3E59">
        <w:rPr>
          <w:lang w:val="en-US"/>
        </w:rPr>
        <w:t xml:space="preserve">iological </w:t>
      </w:r>
      <w:r w:rsidR="005B3E59" w:rsidRPr="005B3E59">
        <w:rPr>
          <w:lang w:val="en-US"/>
        </w:rPr>
        <w:t>processes significantly enriched in males exposed to 18°C compared to 23°C (panel A) and 18°C compared to 23°C (panel B). More semantically similar terms are placed closer to each other. Color and size of circles correspond to a number of genes in a given category. Categories common for both thermal contrasts are marked with asterix.</w:t>
      </w:r>
    </w:p>
    <w:p w14:paraId="28D43DD5" w14:textId="77777777" w:rsidR="005B3E59" w:rsidRPr="005B3E59" w:rsidRDefault="005B3E59" w:rsidP="005B3E59">
      <w:pPr>
        <w:ind w:left="-993" w:hanging="141"/>
        <w:rPr>
          <w:lang w:val="en-US"/>
        </w:rPr>
      </w:pPr>
      <w:r w:rsidRPr="005B3E59">
        <w:rPr>
          <w:noProof/>
          <w:lang w:val="en-US"/>
        </w:rPr>
        <w:drawing>
          <wp:inline distT="0" distB="0" distL="0" distR="0" wp14:anchorId="66D5A8DA" wp14:editId="2DBB9AE6">
            <wp:extent cx="7247941" cy="40195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5990" cy="403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E59">
        <w:rPr>
          <w:lang w:val="en-US"/>
        </w:rPr>
        <w:t xml:space="preserve"> </w:t>
      </w:r>
    </w:p>
    <w:p w14:paraId="7154D1F8" w14:textId="77777777" w:rsidR="005B3E59" w:rsidRDefault="005B3E59">
      <w:pPr>
        <w:rPr>
          <w:lang w:val="en-US"/>
        </w:rPr>
      </w:pPr>
      <w:r>
        <w:rPr>
          <w:lang w:val="en-US"/>
        </w:rPr>
        <w:br w:type="page"/>
      </w:r>
    </w:p>
    <w:p w14:paraId="5E07FCC5" w14:textId="311F0579" w:rsidR="005B3E59" w:rsidRPr="005B3E59" w:rsidRDefault="00F6627A" w:rsidP="005B3E59">
      <w:pPr>
        <w:ind w:left="-567"/>
        <w:rPr>
          <w:lang w:val="en-US"/>
        </w:rPr>
      </w:pPr>
      <w:r>
        <w:rPr>
          <w:lang w:val="en-US"/>
        </w:rPr>
        <w:lastRenderedPageBreak/>
        <w:t>Figure S4</w:t>
      </w:r>
      <w:r w:rsidR="005B3E59" w:rsidRPr="005B3E59">
        <w:rPr>
          <w:lang w:val="en-US"/>
        </w:rPr>
        <w:t xml:space="preserve">. Visual representation of </w:t>
      </w:r>
      <w:r w:rsidR="002E667A">
        <w:rPr>
          <w:lang w:val="en-US"/>
        </w:rPr>
        <w:t>b</w:t>
      </w:r>
      <w:r w:rsidR="002E667A" w:rsidRPr="005B3E59">
        <w:rPr>
          <w:lang w:val="en-US"/>
        </w:rPr>
        <w:t xml:space="preserve">iological </w:t>
      </w:r>
      <w:r w:rsidR="005B3E59" w:rsidRPr="005B3E59">
        <w:rPr>
          <w:lang w:val="en-US"/>
        </w:rPr>
        <w:t xml:space="preserve">processes significantly enriched in </w:t>
      </w:r>
      <w:r w:rsidR="005B3E59">
        <w:rPr>
          <w:lang w:val="en-US"/>
        </w:rPr>
        <w:t>fe</w:t>
      </w:r>
      <w:r w:rsidR="005B3E59" w:rsidRPr="005B3E59">
        <w:rPr>
          <w:lang w:val="en-US"/>
        </w:rPr>
        <w:t>males exposed to 18°C compared to 23°C (panel A) and 18°C compared to 23°C (panel B). More semantically similar terms are placed closer to each other. Color and size of circles correspond to a number of genes in a given category. Categories common for both thermal contrasts are marked with ast</w:t>
      </w:r>
      <w:bookmarkStart w:id="0" w:name="_GoBack"/>
      <w:bookmarkEnd w:id="0"/>
      <w:r w:rsidR="005B3E59" w:rsidRPr="005B3E59">
        <w:rPr>
          <w:lang w:val="en-US"/>
        </w:rPr>
        <w:t>erix.</w:t>
      </w:r>
      <w:r w:rsidR="005B3E59" w:rsidRPr="00330948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1322C05" wp14:editId="4CCF73B6">
            <wp:simplePos x="0" y="0"/>
            <wp:positionH relativeFrom="column">
              <wp:posOffset>-709295</wp:posOffset>
            </wp:positionH>
            <wp:positionV relativeFrom="paragraph">
              <wp:posOffset>938530</wp:posOffset>
            </wp:positionV>
            <wp:extent cx="6690360" cy="3762375"/>
            <wp:effectExtent l="0" t="0" r="0" b="952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3E59" w:rsidRPr="005B3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48"/>
    <w:rsid w:val="00026310"/>
    <w:rsid w:val="000351F8"/>
    <w:rsid w:val="001C757D"/>
    <w:rsid w:val="002E667A"/>
    <w:rsid w:val="00330948"/>
    <w:rsid w:val="00356AEB"/>
    <w:rsid w:val="004E497A"/>
    <w:rsid w:val="005B3E59"/>
    <w:rsid w:val="005F10A2"/>
    <w:rsid w:val="00702E00"/>
    <w:rsid w:val="009B5B1D"/>
    <w:rsid w:val="00C6603D"/>
    <w:rsid w:val="00DB1237"/>
    <w:rsid w:val="00E20CD7"/>
    <w:rsid w:val="00F6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7CEB"/>
  <w15:chartTrackingRefBased/>
  <w15:docId w15:val="{706BE42F-EBD1-4D12-BE20-7E0029AB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E6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6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6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67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C660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3</cp:revision>
  <dcterms:created xsi:type="dcterms:W3CDTF">2022-04-14T11:44:00Z</dcterms:created>
  <dcterms:modified xsi:type="dcterms:W3CDTF">2022-04-15T07:36:00Z</dcterms:modified>
</cp:coreProperties>
</file>