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kern w:val="0"/>
          <w:sz w:val="24"/>
          <w:highlight w:val="none"/>
        </w:rPr>
      </w:pPr>
      <w:bookmarkStart w:id="0" w:name="_GoBack"/>
      <w:r>
        <w:rPr>
          <w:rFonts w:ascii="Times New Roman" w:hAnsi="Times New Roman" w:cs="Times New Roman"/>
          <w:sz w:val="24"/>
          <w:highlight w:val="none"/>
        </w:rPr>
        <w:t>Supplementary</w:t>
      </w:r>
      <w:r>
        <w:rPr>
          <w:rFonts w:hint="eastAsia" w:ascii="Times New Roman" w:hAnsi="Times New Roman" w:cs="Times New Roman"/>
          <w:sz w:val="24"/>
          <w:highlight w:val="none"/>
          <w:lang w:val="en-US" w:eastAsia="zh-CN"/>
        </w:rPr>
        <w:t xml:space="preserve"> </w:t>
      </w:r>
      <w:r>
        <w:rPr>
          <w:rFonts w:ascii="Times New Roman" w:hAnsi="Times New Roman" w:cs="Times New Roman"/>
          <w:kern w:val="0"/>
          <w:sz w:val="24"/>
          <w:highlight w:val="none"/>
        </w:rPr>
        <w:t>Figure</w:t>
      </w:r>
      <w:bookmarkEnd w:id="0"/>
      <w:r>
        <w:rPr>
          <w:rFonts w:ascii="Times New Roman" w:hAnsi="Times New Roman" w:cs="Times New Roman"/>
          <w:kern w:val="0"/>
          <w:sz w:val="24"/>
          <w:highlight w:val="none"/>
        </w:rPr>
        <w:t xml:space="preserve"> 1. Treatment response of representative UPC cases.</w:t>
      </w:r>
    </w:p>
    <w:p>
      <w:pPr>
        <w:numPr>
          <w:ilvl w:val="0"/>
          <w:numId w:val="1"/>
        </w:numPr>
        <w:rPr>
          <w:rFonts w:ascii="Times New Roman" w:hAnsi="Times New Roman" w:cs="Times New Roman"/>
          <w:kern w:val="0"/>
          <w:sz w:val="24"/>
          <w:highlight w:val="none"/>
        </w:rPr>
      </w:pPr>
      <w:r>
        <w:rPr>
          <w:rFonts w:ascii="Times New Roman" w:hAnsi="Times New Roman" w:cs="Times New Roman"/>
          <w:kern w:val="0"/>
          <w:sz w:val="24"/>
          <w:highlight w:val="none"/>
        </w:rPr>
        <w:t>Pretreatment (</w:t>
      </w:r>
      <w:r>
        <w:rPr>
          <w:rFonts w:ascii="Times New Roman" w:hAnsi="Times New Roman" w:cs="Times New Roman"/>
          <w:i/>
          <w:iCs/>
          <w:kern w:val="0"/>
          <w:sz w:val="24"/>
          <w:highlight w:val="none"/>
        </w:rPr>
        <w:t>left</w:t>
      </w:r>
      <w:r>
        <w:rPr>
          <w:rFonts w:ascii="Times New Roman" w:hAnsi="Times New Roman" w:cs="Times New Roman"/>
          <w:kern w:val="0"/>
          <w:sz w:val="24"/>
          <w:highlight w:val="none"/>
        </w:rPr>
        <w:t>) and preoperative (</w:t>
      </w:r>
      <w:r>
        <w:rPr>
          <w:rFonts w:ascii="Times New Roman" w:hAnsi="Times New Roman" w:cs="Times New Roman"/>
          <w:i/>
          <w:iCs/>
          <w:kern w:val="0"/>
          <w:sz w:val="24"/>
          <w:highlight w:val="none"/>
        </w:rPr>
        <w:t>right</w:t>
      </w:r>
      <w:r>
        <w:rPr>
          <w:rFonts w:ascii="Times New Roman" w:hAnsi="Times New Roman" w:cs="Times New Roman"/>
          <w:kern w:val="0"/>
          <w:sz w:val="24"/>
          <w:highlight w:val="none"/>
        </w:rPr>
        <w:t>) contrast-enhanced CT of the abdomen of an LAPC patient who had conversion surgery; B) pretreatment (</w:t>
      </w:r>
      <w:r>
        <w:rPr>
          <w:rFonts w:ascii="Times New Roman" w:hAnsi="Times New Roman" w:cs="Times New Roman"/>
          <w:i/>
          <w:iCs/>
          <w:kern w:val="0"/>
          <w:sz w:val="24"/>
          <w:highlight w:val="none"/>
        </w:rPr>
        <w:t>left</w:t>
      </w:r>
      <w:r>
        <w:rPr>
          <w:rFonts w:ascii="Times New Roman" w:hAnsi="Times New Roman" w:cs="Times New Roman"/>
          <w:kern w:val="0"/>
          <w:sz w:val="24"/>
          <w:highlight w:val="none"/>
        </w:rPr>
        <w:t>) and preoperative (</w:t>
      </w:r>
      <w:r>
        <w:rPr>
          <w:rFonts w:ascii="Times New Roman" w:hAnsi="Times New Roman" w:cs="Times New Roman"/>
          <w:i/>
          <w:iCs/>
          <w:kern w:val="0"/>
          <w:sz w:val="24"/>
          <w:highlight w:val="none"/>
        </w:rPr>
        <w:t>right</w:t>
      </w:r>
      <w:r>
        <w:rPr>
          <w:rFonts w:ascii="Times New Roman" w:hAnsi="Times New Roman" w:cs="Times New Roman"/>
          <w:kern w:val="0"/>
          <w:sz w:val="24"/>
          <w:highlight w:val="none"/>
        </w:rPr>
        <w:t>) contrast-enhanced CT of the abdome/contrast-enhanced MRI of the liver of a MPC patient who had conversion surgery.</w:t>
      </w:r>
    </w:p>
    <w:p>
      <w:pPr>
        <w:rPr>
          <w:rFonts w:ascii="Times New Roman" w:hAnsi="Times New Roman" w:cs="Times New Roman"/>
          <w:kern w:val="0"/>
          <w:sz w:val="24"/>
          <w:highlight w:val="none"/>
        </w:rPr>
      </w:pPr>
    </w:p>
    <w:p>
      <w:pPr>
        <w:rPr>
          <w:rFonts w:ascii="Times New Roman" w:hAnsi="Times New Roman" w:cs="Times New Roman"/>
          <w:kern w:val="0"/>
          <w:sz w:val="24"/>
          <w:highlight w:val="none"/>
        </w:rPr>
      </w:pPr>
      <w:r>
        <w:rPr>
          <w:rFonts w:ascii="Times New Roman" w:hAnsi="Times New Roman" w:cs="Times New Roman"/>
          <w:kern w:val="0"/>
          <w:sz w:val="24"/>
          <w:highlight w:val="none"/>
        </w:rPr>
        <w:t xml:space="preserve">Supplemetary Figure </w:t>
      </w:r>
      <w:r>
        <w:rPr>
          <w:rFonts w:hint="eastAsia" w:ascii="Times New Roman" w:hAnsi="Times New Roman" w:cs="Times New Roman"/>
          <w:kern w:val="0"/>
          <w:sz w:val="24"/>
          <w:highlight w:val="none"/>
          <w:lang w:val="en-US" w:eastAsia="zh-CN"/>
        </w:rPr>
        <w:t>2</w:t>
      </w:r>
      <w:r>
        <w:rPr>
          <w:rFonts w:ascii="Times New Roman" w:hAnsi="Times New Roman" w:cs="Times New Roman"/>
          <w:kern w:val="0"/>
          <w:sz w:val="24"/>
          <w:highlight w:val="none"/>
        </w:rPr>
        <w:t>. Details of patients with a pathological complete response (pCR).</w:t>
      </w:r>
    </w:p>
    <w:p>
      <w:pPr>
        <w:rPr>
          <w:rFonts w:ascii="Times New Roman" w:hAnsi="Times New Roman" w:cs="Times New Roman"/>
          <w:kern w:val="0"/>
          <w:sz w:val="24"/>
          <w:highlight w:val="none"/>
        </w:rPr>
      </w:pPr>
      <w:r>
        <w:rPr>
          <w:rFonts w:ascii="Times New Roman" w:hAnsi="Times New Roman" w:cs="Times New Roman"/>
          <w:kern w:val="0"/>
          <w:sz w:val="24"/>
          <w:highlight w:val="none"/>
        </w:rPr>
        <w:t>Detailed information of clinical events for four patients who experienced a pCR during treatment.</w:t>
      </w:r>
    </w:p>
    <w:p>
      <w:pPr>
        <w:numPr>
          <w:ilvl w:val="255"/>
          <w:numId w:val="0"/>
        </w:numPr>
        <w:rPr>
          <w:rFonts w:ascii="Times New Roman" w:hAnsi="Times New Roman" w:cs="Times New Roman"/>
          <w:kern w:val="0"/>
          <w:sz w:val="24"/>
          <w:highlight w:val="none"/>
        </w:rPr>
      </w:pPr>
    </w:p>
    <w:p>
      <w:pPr>
        <w:numPr>
          <w:ilvl w:val="255"/>
          <w:numId w:val="0"/>
        </w:numPr>
        <w:rPr>
          <w:rFonts w:ascii="Times New Roman" w:hAnsi="Times New Roman" w:cs="Times New Roman"/>
          <w:kern w:val="0"/>
          <w:sz w:val="24"/>
          <w:highlight w:val="none"/>
        </w:rPr>
      </w:pPr>
      <w:r>
        <w:rPr>
          <w:rFonts w:ascii="Times New Roman" w:hAnsi="Times New Roman" w:cs="Times New Roman"/>
          <w:kern w:val="0"/>
          <w:sz w:val="24"/>
          <w:highlight w:val="none"/>
        </w:rPr>
        <w:t xml:space="preserve">Supplementary Figure </w:t>
      </w:r>
      <w:r>
        <w:rPr>
          <w:rFonts w:hint="eastAsia" w:ascii="Times New Roman" w:hAnsi="Times New Roman" w:cs="Times New Roman"/>
          <w:kern w:val="0"/>
          <w:sz w:val="24"/>
          <w:highlight w:val="none"/>
          <w:lang w:val="en-US" w:eastAsia="zh-CN"/>
        </w:rPr>
        <w:t>3</w:t>
      </w:r>
      <w:r>
        <w:rPr>
          <w:rFonts w:ascii="Times New Roman" w:hAnsi="Times New Roman" w:cs="Times New Roman"/>
          <w:kern w:val="0"/>
          <w:sz w:val="24"/>
          <w:highlight w:val="none"/>
        </w:rPr>
        <w:t>. Survival data of LAPC patients and MPC patients.</w:t>
      </w:r>
    </w:p>
    <w:p>
      <w:pPr>
        <w:numPr>
          <w:ilvl w:val="255"/>
          <w:numId w:val="0"/>
        </w:numPr>
        <w:rPr>
          <w:rFonts w:ascii="Times New Roman" w:hAnsi="Times New Roman" w:cs="Times New Roman"/>
          <w:kern w:val="0"/>
          <w:sz w:val="24"/>
          <w:highlight w:val="none"/>
        </w:rPr>
      </w:pPr>
      <w:r>
        <w:rPr>
          <w:rFonts w:ascii="Times New Roman" w:hAnsi="Times New Roman" w:cs="Times New Roman"/>
          <w:kern w:val="0"/>
          <w:sz w:val="24"/>
          <w:highlight w:val="none"/>
        </w:rPr>
        <w:t>A) OS and PFS of all LAPC patients (</w:t>
      </w:r>
      <w:r>
        <w:rPr>
          <w:rFonts w:ascii="Times New Roman" w:hAnsi="Times New Roman" w:cs="Times New Roman"/>
          <w:i/>
          <w:iCs/>
          <w:kern w:val="0"/>
          <w:sz w:val="24"/>
          <w:highlight w:val="none"/>
        </w:rPr>
        <w:t>left</w:t>
      </w:r>
      <w:r>
        <w:rPr>
          <w:rFonts w:ascii="Times New Roman" w:hAnsi="Times New Roman" w:cs="Times New Roman"/>
          <w:kern w:val="0"/>
          <w:sz w:val="24"/>
          <w:highlight w:val="none"/>
        </w:rPr>
        <w:t>) and PO-OS and PO-PFS of LAPC patients who had tumor resection (</w:t>
      </w:r>
      <w:r>
        <w:rPr>
          <w:rFonts w:ascii="Times New Roman" w:hAnsi="Times New Roman" w:cs="Times New Roman"/>
          <w:i/>
          <w:iCs/>
          <w:kern w:val="0"/>
          <w:sz w:val="24"/>
          <w:highlight w:val="none"/>
        </w:rPr>
        <w:t>right</w:t>
      </w:r>
      <w:r>
        <w:rPr>
          <w:rFonts w:ascii="Times New Roman" w:hAnsi="Times New Roman" w:cs="Times New Roman"/>
          <w:kern w:val="0"/>
          <w:sz w:val="24"/>
          <w:highlight w:val="none"/>
        </w:rPr>
        <w:t>); B) OS and PFS of all MPC patients (</w:t>
      </w:r>
      <w:r>
        <w:rPr>
          <w:rFonts w:ascii="Times New Roman" w:hAnsi="Times New Roman" w:cs="Times New Roman"/>
          <w:i/>
          <w:iCs/>
          <w:kern w:val="0"/>
          <w:sz w:val="24"/>
          <w:highlight w:val="none"/>
        </w:rPr>
        <w:t>left</w:t>
      </w:r>
      <w:r>
        <w:rPr>
          <w:rFonts w:ascii="Times New Roman" w:hAnsi="Times New Roman" w:cs="Times New Roman"/>
          <w:kern w:val="0"/>
          <w:sz w:val="24"/>
          <w:highlight w:val="none"/>
        </w:rPr>
        <w:t>) and PO-OS and PO-PFS of MPC patients who underwent tumor resection (</w:t>
      </w:r>
      <w:r>
        <w:rPr>
          <w:rFonts w:ascii="Times New Roman" w:hAnsi="Times New Roman" w:cs="Times New Roman"/>
          <w:i/>
          <w:iCs/>
          <w:kern w:val="0"/>
          <w:sz w:val="24"/>
          <w:highlight w:val="none"/>
        </w:rPr>
        <w:t>right</w:t>
      </w:r>
      <w:r>
        <w:rPr>
          <w:rFonts w:ascii="Times New Roman" w:hAnsi="Times New Roman" w:cs="Times New Roman"/>
          <w:kern w:val="0"/>
          <w:sz w:val="24"/>
          <w:highlight w:val="none"/>
        </w:rPr>
        <w:t>).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6D7B876"/>
    <w:multiLevelType w:val="singleLevel"/>
    <w:tmpl w:val="B6D7B876"/>
    <w:lvl w:ilvl="0" w:tentative="0">
      <w:start w:val="1"/>
      <w:numFmt w:val="upperLetter"/>
      <w:suff w:val="space"/>
      <w:lvlText w:val="%1)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xMzRkNTA5NjQ3YTk0YzU1NjliNzc3MDRjMTgxYTgifQ=="/>
  </w:docVars>
  <w:rsids>
    <w:rsidRoot w:val="005064C3"/>
    <w:rsid w:val="005064C3"/>
    <w:rsid w:val="199B7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2022-08-03T02:28:00Z</dcterms:created>
  <dc:creator>Dr. Li 李医森</dc:creator>
  <cp:lastModifiedBy>Dr. Li 李医森</cp:lastModifiedBy>
  <dcterms:modified xsi:type="dcterms:W3CDTF">2022-08-03T02:30:41Z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0EC914FBFF10436782C3DD2B58534119</vt:lpwstr>
  </property>
</Properties>
</file>