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85BFC1" w14:textId="77777777" w:rsidR="00E34A75" w:rsidRPr="00196A76" w:rsidRDefault="00E34A75" w:rsidP="00E34A75">
      <w:pPr>
        <w:spacing w:line="480" w:lineRule="auto"/>
        <w:rPr>
          <w:b/>
          <w:sz w:val="22"/>
          <w:szCs w:val="22"/>
          <w:lang w:val="en-US"/>
        </w:rPr>
      </w:pPr>
      <w:r w:rsidRPr="00196A76">
        <w:rPr>
          <w:b/>
          <w:sz w:val="22"/>
          <w:szCs w:val="22"/>
          <w:lang w:val="en-US"/>
        </w:rPr>
        <w:t>Statistical analysis</w:t>
      </w:r>
    </w:p>
    <w:p w14:paraId="6019F327" w14:textId="77777777" w:rsidR="00E34A75" w:rsidRDefault="00E34A75" w:rsidP="00E34A75">
      <w:pPr>
        <w:spacing w:line="480" w:lineRule="auto"/>
        <w:jc w:val="both"/>
        <w:rPr>
          <w:sz w:val="22"/>
          <w:szCs w:val="22"/>
          <w:lang w:val="en-US"/>
        </w:rPr>
      </w:pPr>
      <w:r w:rsidRPr="00ED3C80">
        <w:rPr>
          <w:color w:val="000000" w:themeColor="text1"/>
          <w:sz w:val="22"/>
          <w:szCs w:val="22"/>
          <w:lang w:val="en-US"/>
        </w:rPr>
        <w:t xml:space="preserve">All </w:t>
      </w:r>
      <w:r w:rsidRPr="00ED3C80">
        <w:rPr>
          <w:sz w:val="22"/>
          <w:szCs w:val="22"/>
          <w:lang w:val="en-US"/>
        </w:rPr>
        <w:t xml:space="preserve">the statistical analyses were performed with Python (version 3.6; Python Software Foundation, </w:t>
      </w:r>
      <w:hyperlink r:id="rId4" w:history="1">
        <w:r w:rsidRPr="00ED3C80">
          <w:rPr>
            <w:rStyle w:val="Hyperlink"/>
            <w:sz w:val="22"/>
            <w:szCs w:val="22"/>
            <w:lang w:val="en-US"/>
          </w:rPr>
          <w:t>www.python.org</w:t>
        </w:r>
      </w:hyperlink>
      <w:r w:rsidRPr="00ED3C80">
        <w:rPr>
          <w:sz w:val="22"/>
          <w:szCs w:val="22"/>
          <w:lang w:val="en-US"/>
        </w:rPr>
        <w:t xml:space="preserve">) and R studio (version 3.4.0; R Project for Statistical Computing, </w:t>
      </w:r>
      <w:hyperlink r:id="rId5" w:history="1">
        <w:r w:rsidRPr="00ED3C80">
          <w:rPr>
            <w:rStyle w:val="Hyperlink"/>
            <w:sz w:val="22"/>
            <w:szCs w:val="22"/>
            <w:lang w:val="en-US"/>
          </w:rPr>
          <w:t>https://rstudio.com</w:t>
        </w:r>
      </w:hyperlink>
      <w:r>
        <w:rPr>
          <w:sz w:val="22"/>
          <w:szCs w:val="22"/>
          <w:lang w:val="en-US"/>
        </w:rPr>
        <w:t>)</w:t>
      </w:r>
    </w:p>
    <w:p w14:paraId="5E92072B" w14:textId="77777777" w:rsidR="00E34A75" w:rsidRPr="002F2A3D" w:rsidRDefault="00E34A75" w:rsidP="00E34A75">
      <w:pPr>
        <w:spacing w:line="480" w:lineRule="auto"/>
        <w:jc w:val="both"/>
        <w:rPr>
          <w:color w:val="000000" w:themeColor="text1"/>
          <w:sz w:val="22"/>
          <w:szCs w:val="22"/>
          <w:lang w:val="en-US"/>
        </w:rPr>
      </w:pPr>
      <w:r w:rsidRPr="00ED3C80" w:rsidDel="00ED3C80">
        <w:rPr>
          <w:lang w:val="en-US"/>
        </w:rPr>
        <w:t xml:space="preserve"> </w:t>
      </w:r>
      <w:r w:rsidRPr="00196A76">
        <w:rPr>
          <w:color w:val="000000" w:themeColor="text1"/>
          <w:sz w:val="22"/>
          <w:szCs w:val="22"/>
          <w:lang w:val="en-US"/>
        </w:rPr>
        <w:t>Curve fitting errors of our in-house PET and DCE kinetic modeling implementation were assessed voxel-wise by computing the relative Root Mean Square Errors</w:t>
      </w:r>
      <w:r>
        <w:rPr>
          <w:color w:val="000000" w:themeColor="text1"/>
          <w:sz w:val="22"/>
          <w:szCs w:val="22"/>
          <w:lang w:val="en-US"/>
        </w:rPr>
        <w:t xml:space="preserve"> </w:t>
      </w:r>
      <w:r w:rsidRPr="00D12454">
        <w:rPr>
          <w:color w:val="000000" w:themeColor="text1"/>
          <w:sz w:val="22"/>
          <w:szCs w:val="22"/>
          <w:highlight w:val="yellow"/>
          <w:lang w:val="en-US"/>
        </w:rPr>
        <w:t>(</w:t>
      </w:r>
      <w:r>
        <w:rPr>
          <w:color w:val="000000" w:themeColor="text1"/>
          <w:sz w:val="22"/>
          <w:szCs w:val="22"/>
          <w:highlight w:val="yellow"/>
          <w:lang w:val="en-US"/>
        </w:rPr>
        <w:t xml:space="preserve">Python, </w:t>
      </w:r>
      <w:r w:rsidRPr="00D12454">
        <w:rPr>
          <w:color w:val="000000" w:themeColor="text1"/>
          <w:sz w:val="22"/>
          <w:szCs w:val="22"/>
          <w:highlight w:val="yellow"/>
          <w:lang w:val="en-US"/>
        </w:rPr>
        <w:t>librar</w:t>
      </w:r>
      <w:r>
        <w:rPr>
          <w:color w:val="000000" w:themeColor="text1"/>
          <w:sz w:val="22"/>
          <w:szCs w:val="22"/>
          <w:highlight w:val="yellow"/>
          <w:lang w:val="en-US"/>
        </w:rPr>
        <w:t>ies</w:t>
      </w:r>
      <w:r w:rsidRPr="00D12454">
        <w:rPr>
          <w:color w:val="000000" w:themeColor="text1"/>
          <w:sz w:val="22"/>
          <w:szCs w:val="22"/>
          <w:highlight w:val="yellow"/>
          <w:lang w:val="en-US"/>
        </w:rPr>
        <w:t xml:space="preserve"> </w:t>
      </w:r>
      <w:proofErr w:type="spellStart"/>
      <w:r w:rsidRPr="00D12454">
        <w:rPr>
          <w:color w:val="000000" w:themeColor="text1"/>
          <w:sz w:val="22"/>
          <w:szCs w:val="22"/>
          <w:highlight w:val="yellow"/>
          <w:lang w:val="en-US"/>
        </w:rPr>
        <w:t>numpy</w:t>
      </w:r>
      <w:proofErr w:type="spellEnd"/>
      <w:r>
        <w:rPr>
          <w:color w:val="000000" w:themeColor="text1"/>
          <w:sz w:val="22"/>
          <w:szCs w:val="22"/>
          <w:highlight w:val="yellow"/>
          <w:lang w:val="en-US"/>
        </w:rPr>
        <w:t xml:space="preserve"> and pandas</w:t>
      </w:r>
      <w:r w:rsidRPr="00D12454">
        <w:rPr>
          <w:color w:val="000000" w:themeColor="text1"/>
          <w:sz w:val="22"/>
          <w:szCs w:val="22"/>
          <w:highlight w:val="yellow"/>
          <w:lang w:val="en-US"/>
        </w:rPr>
        <w:t>)</w:t>
      </w:r>
      <w:r w:rsidRPr="00196A76">
        <w:rPr>
          <w:color w:val="000000" w:themeColor="text1"/>
          <w:sz w:val="22"/>
          <w:szCs w:val="22"/>
          <w:lang w:val="en-US"/>
        </w:rPr>
        <w:t>, defined by</w:t>
      </w:r>
      <m:oMath>
        <m:r>
          <w:rPr>
            <w:rFonts w:ascii="Cambria Math" w:hAnsi="Cambria Math"/>
            <w:color w:val="000000" w:themeColor="text1"/>
            <w:sz w:val="22"/>
            <w:szCs w:val="22"/>
            <w:lang w:val="en-US"/>
          </w:rPr>
          <m:t xml:space="preserve"> rRMSE=</m:t>
        </m:r>
        <m:f>
          <m:fPr>
            <m:ctrlPr>
              <w:rPr>
                <w:rFonts w:ascii="Cambria Math" w:hAnsi="Cambria Math"/>
                <w:i/>
                <w:color w:val="000000" w:themeColor="text1"/>
                <w:sz w:val="22"/>
                <w:szCs w:val="22"/>
                <w:lang w:val="en-US"/>
              </w:rPr>
            </m:ctrlPr>
          </m:fPr>
          <m:num>
            <m:sSub>
              <m:sSubPr>
                <m:ctrlPr>
                  <w:rPr>
                    <w:rFonts w:ascii="Cambria Math" w:hAnsi="Cambria Math"/>
                    <w:i/>
                    <w:color w:val="000000" w:themeColor="text1"/>
                    <w:sz w:val="22"/>
                    <w:szCs w:val="22"/>
                    <w:lang w:val="en-US"/>
                  </w:rPr>
                </m:ctrlPr>
              </m:sSubPr>
              <m:e>
                <m:d>
                  <m:dPr>
                    <m:begChr m:val="‖"/>
                    <m:endChr m:val="‖"/>
                    <m:ctrlPr>
                      <w:rPr>
                        <w:rFonts w:ascii="Cambria Math" w:hAnsi="Cambria Math"/>
                        <w:i/>
                        <w:color w:val="000000" w:themeColor="text1"/>
                        <w:sz w:val="22"/>
                        <w:szCs w:val="22"/>
                        <w:lang w:val="en-US"/>
                      </w:rPr>
                    </m:ctrlPr>
                  </m:dPr>
                  <m:e>
                    <m:r>
                      <w:rPr>
                        <w:rFonts w:ascii="Cambria Math" w:hAnsi="Cambria Math"/>
                        <w:color w:val="000000" w:themeColor="text1"/>
                        <w:sz w:val="22"/>
                        <w:szCs w:val="22"/>
                        <w:lang w:val="en-US"/>
                      </w:rPr>
                      <m:t>signal-</m:t>
                    </m:r>
                    <m:acc>
                      <m:accPr>
                        <m:chr m:val="̅"/>
                        <m:ctrlPr>
                          <w:rPr>
                            <w:rFonts w:ascii="Cambria Math" w:hAnsi="Cambria Math"/>
                            <w:i/>
                            <w:color w:val="000000" w:themeColor="text1"/>
                            <w:sz w:val="22"/>
                            <w:szCs w:val="22"/>
                            <w:lang w:val="en-US"/>
                          </w:rPr>
                        </m:ctrlPr>
                      </m:accPr>
                      <m:e>
                        <m:r>
                          <w:rPr>
                            <w:rFonts w:ascii="Cambria Math" w:hAnsi="Cambria Math"/>
                            <w:color w:val="000000" w:themeColor="text1"/>
                            <w:sz w:val="22"/>
                            <w:szCs w:val="22"/>
                            <w:lang w:val="en-US"/>
                          </w:rPr>
                          <m:t>signal</m:t>
                        </m:r>
                      </m:e>
                    </m:acc>
                  </m:e>
                </m:d>
              </m:e>
              <m:sub>
                <m:r>
                  <w:rPr>
                    <w:rFonts w:ascii="Cambria Math" w:hAnsi="Cambria Math"/>
                    <w:color w:val="000000" w:themeColor="text1"/>
                    <w:sz w:val="22"/>
                    <w:szCs w:val="22"/>
                    <w:lang w:val="en-US"/>
                  </w:rPr>
                  <m:t>2</m:t>
                </m:r>
              </m:sub>
            </m:sSub>
          </m:num>
          <m:den>
            <m:sSub>
              <m:sSubPr>
                <m:ctrlPr>
                  <w:rPr>
                    <w:rFonts w:ascii="Cambria Math" w:hAnsi="Cambria Math"/>
                    <w:i/>
                    <w:color w:val="000000" w:themeColor="text1"/>
                    <w:sz w:val="22"/>
                    <w:szCs w:val="22"/>
                    <w:lang w:val="en-US"/>
                  </w:rPr>
                </m:ctrlPr>
              </m:sSubPr>
              <m:e>
                <m:d>
                  <m:dPr>
                    <m:begChr m:val="‖"/>
                    <m:endChr m:val="‖"/>
                    <m:ctrlPr>
                      <w:rPr>
                        <w:rFonts w:ascii="Cambria Math" w:hAnsi="Cambria Math"/>
                        <w:i/>
                        <w:color w:val="000000" w:themeColor="text1"/>
                        <w:sz w:val="22"/>
                        <w:szCs w:val="22"/>
                        <w:lang w:val="en-US"/>
                      </w:rPr>
                    </m:ctrlPr>
                  </m:dPr>
                  <m:e>
                    <m:r>
                      <w:rPr>
                        <w:rFonts w:ascii="Cambria Math" w:hAnsi="Cambria Math"/>
                        <w:color w:val="000000" w:themeColor="text1"/>
                        <w:sz w:val="22"/>
                        <w:szCs w:val="22"/>
                        <w:lang w:val="en-US"/>
                      </w:rPr>
                      <m:t>signal</m:t>
                    </m:r>
                  </m:e>
                </m:d>
              </m:e>
              <m:sub>
                <m:r>
                  <w:rPr>
                    <w:rFonts w:ascii="Cambria Math" w:hAnsi="Cambria Math"/>
                    <w:color w:val="000000" w:themeColor="text1"/>
                    <w:sz w:val="22"/>
                    <w:szCs w:val="22"/>
                    <w:lang w:val="en-US"/>
                  </w:rPr>
                  <m:t>2</m:t>
                </m:r>
              </m:sub>
            </m:sSub>
          </m:den>
        </m:f>
      </m:oMath>
      <w:r w:rsidRPr="00196A76">
        <w:rPr>
          <w:color w:val="000000" w:themeColor="text1"/>
          <w:sz w:val="22"/>
          <w:szCs w:val="22"/>
          <w:lang w:val="en-US"/>
        </w:rPr>
        <w:t xml:space="preserve"> where </w:t>
      </w:r>
      <m:oMath>
        <m:r>
          <w:rPr>
            <w:rFonts w:ascii="Cambria Math" w:hAnsi="Cambria Math"/>
            <w:color w:val="000000" w:themeColor="text1"/>
            <w:sz w:val="22"/>
            <w:szCs w:val="22"/>
            <w:lang w:val="en-US"/>
          </w:rPr>
          <m:t>signal</m:t>
        </m:r>
      </m:oMath>
      <w:r w:rsidRPr="00196A76">
        <w:rPr>
          <w:color w:val="000000" w:themeColor="text1"/>
          <w:sz w:val="22"/>
          <w:szCs w:val="22"/>
          <w:lang w:val="en-US"/>
        </w:rPr>
        <w:t xml:space="preserve"> is the measured signal and </w:t>
      </w:r>
      <m:oMath>
        <m:acc>
          <m:accPr>
            <m:chr m:val="̅"/>
            <m:ctrlPr>
              <w:rPr>
                <w:rFonts w:ascii="Cambria Math" w:hAnsi="Cambria Math"/>
                <w:i/>
                <w:color w:val="000000" w:themeColor="text1"/>
                <w:sz w:val="22"/>
                <w:szCs w:val="22"/>
                <w:lang w:val="en-US"/>
              </w:rPr>
            </m:ctrlPr>
          </m:accPr>
          <m:e>
            <m:r>
              <w:rPr>
                <w:rFonts w:ascii="Cambria Math" w:hAnsi="Cambria Math"/>
                <w:color w:val="000000" w:themeColor="text1"/>
                <w:sz w:val="22"/>
                <w:szCs w:val="22"/>
                <w:lang w:val="en-US"/>
              </w:rPr>
              <m:t>signal</m:t>
            </m:r>
          </m:e>
        </m:acc>
      </m:oMath>
      <w:r w:rsidRPr="00196A76">
        <w:rPr>
          <w:color w:val="000000" w:themeColor="text1"/>
          <w:sz w:val="22"/>
          <w:szCs w:val="22"/>
          <w:lang w:val="en-US"/>
        </w:rPr>
        <w:t xml:space="preserve"> is the estimated signal after </w:t>
      </w:r>
      <w:r>
        <w:rPr>
          <w:color w:val="000000" w:themeColor="text1"/>
          <w:sz w:val="22"/>
          <w:szCs w:val="22"/>
          <w:lang w:val="en-US"/>
        </w:rPr>
        <w:t xml:space="preserve">the </w:t>
      </w:r>
      <w:r w:rsidRPr="00196A76">
        <w:rPr>
          <w:color w:val="000000" w:themeColor="text1"/>
          <w:sz w:val="22"/>
          <w:szCs w:val="22"/>
          <w:lang w:val="en-US"/>
        </w:rPr>
        <w:t xml:space="preserve">fitting procedure. The PET and DCE kinetic microparameters values are expressed as median </w:t>
      </w:r>
      <m:oMath>
        <m:r>
          <w:rPr>
            <w:rFonts w:ascii="Cambria Math" w:hAnsi="Cambria Math"/>
            <w:color w:val="000000" w:themeColor="text1"/>
            <w:sz w:val="22"/>
            <w:szCs w:val="22"/>
            <w:lang w:val="en-US"/>
          </w:rPr>
          <m:t>±</m:t>
        </m:r>
      </m:oMath>
      <w:r w:rsidRPr="00196A76">
        <w:rPr>
          <w:rFonts w:eastAsiaTheme="minorEastAsia"/>
          <w:color w:val="000000" w:themeColor="text1"/>
          <w:sz w:val="22"/>
          <w:szCs w:val="22"/>
          <w:lang w:val="en-US"/>
        </w:rPr>
        <w:t xml:space="preserve"> IQR. </w:t>
      </w:r>
      <w:r w:rsidRPr="00196A76">
        <w:rPr>
          <w:color w:val="000000" w:themeColor="text1"/>
          <w:sz w:val="22"/>
          <w:szCs w:val="22"/>
          <w:lang w:val="en-US"/>
        </w:rPr>
        <w:t>After data transform</w:t>
      </w:r>
      <w:r w:rsidRPr="002F2A3D">
        <w:rPr>
          <w:color w:val="000000" w:themeColor="text1"/>
          <w:sz w:val="22"/>
          <w:szCs w:val="22"/>
          <w:lang w:val="en-US"/>
        </w:rPr>
        <w:t xml:space="preserve">ation into z-score (zero mean and unit variance) and cleaning-up from outliers (z-score &gt; 3), the PET-PET, DCE-DCE and PET-DCE voxel-wise </w:t>
      </w:r>
      <w:r>
        <w:rPr>
          <w:color w:val="000000" w:themeColor="text1"/>
          <w:sz w:val="22"/>
          <w:szCs w:val="22"/>
          <w:lang w:val="en-US"/>
        </w:rPr>
        <w:t>correlations</w:t>
      </w:r>
      <w:r w:rsidRPr="002F2A3D">
        <w:rPr>
          <w:color w:val="000000" w:themeColor="text1"/>
          <w:sz w:val="22"/>
          <w:szCs w:val="22"/>
          <w:lang w:val="en-US"/>
        </w:rPr>
        <w:t xml:space="preserve"> were assessed for each tumor by estimating the related spearman </w:t>
      </w:r>
      <w:r w:rsidRPr="002F2A3D">
        <w:rPr>
          <w:sz w:val="22"/>
          <w:szCs w:val="22"/>
          <w:lang w:val="en-US"/>
        </w:rPr>
        <w:t xml:space="preserve">coefficients </w:t>
      </w:r>
      <w:r w:rsidRPr="002F2A3D">
        <w:rPr>
          <w:color w:val="000000" w:themeColor="text1"/>
          <w:sz w:val="22"/>
          <w:szCs w:val="22"/>
          <w:lang w:val="en-US"/>
        </w:rPr>
        <w:t>(</w:t>
      </w:r>
      <w:proofErr w:type="spellStart"/>
      <w:r w:rsidRPr="002F2A3D">
        <w:rPr>
          <w:sz w:val="22"/>
          <w:szCs w:val="22"/>
          <w:lang w:val="en-US"/>
        </w:rPr>
        <w:t>r</w:t>
      </w:r>
      <w:r w:rsidRPr="002F2A3D">
        <w:rPr>
          <w:sz w:val="22"/>
          <w:szCs w:val="22"/>
          <w:vertAlign w:val="subscript"/>
          <w:lang w:val="en-US"/>
        </w:rPr>
        <w:t>s</w:t>
      </w:r>
      <w:proofErr w:type="spellEnd"/>
      <w:r w:rsidRPr="002F2A3D">
        <w:rPr>
          <w:sz w:val="22"/>
          <w:szCs w:val="22"/>
          <w:lang w:val="en-US"/>
        </w:rPr>
        <w:t>), along with their respective bootstrapped 95% confidence intervals (</w:t>
      </w:r>
      <w:r w:rsidRPr="00D12454">
        <w:rPr>
          <w:sz w:val="22"/>
          <w:szCs w:val="22"/>
          <w:highlight w:val="yellow"/>
          <w:lang w:val="en-US"/>
        </w:rPr>
        <w:t xml:space="preserve">R studio, </w:t>
      </w:r>
      <w:proofErr w:type="spellStart"/>
      <w:r w:rsidRPr="00D12454">
        <w:rPr>
          <w:sz w:val="22"/>
          <w:szCs w:val="22"/>
          <w:highlight w:val="yellow"/>
          <w:lang w:val="en-US"/>
        </w:rPr>
        <w:t>RVAideMemoire</w:t>
      </w:r>
      <w:proofErr w:type="spellEnd"/>
      <w:r w:rsidRPr="00D12454">
        <w:rPr>
          <w:sz w:val="22"/>
          <w:szCs w:val="22"/>
          <w:highlight w:val="yellow"/>
          <w:lang w:val="en-US"/>
        </w:rPr>
        <w:t xml:space="preserve"> package,</w:t>
      </w:r>
      <w:r>
        <w:rPr>
          <w:sz w:val="22"/>
          <w:szCs w:val="22"/>
          <w:lang w:val="en-US"/>
        </w:rPr>
        <w:t xml:space="preserve"> </w:t>
      </w:r>
      <w:r w:rsidRPr="002F2A3D">
        <w:rPr>
          <w:sz w:val="22"/>
          <w:szCs w:val="22"/>
          <w:lang w:val="en-US"/>
        </w:rPr>
        <w:t>n = 1000 iterations)</w:t>
      </w:r>
      <w:r w:rsidRPr="002F2A3D">
        <w:rPr>
          <w:color w:val="000000" w:themeColor="text1"/>
          <w:sz w:val="22"/>
          <w:szCs w:val="22"/>
          <w:lang w:val="en-US"/>
        </w:rPr>
        <w:t xml:space="preserve">. The absolute </w:t>
      </w:r>
      <w:proofErr w:type="spellStart"/>
      <w:r w:rsidRPr="002F2A3D">
        <w:rPr>
          <w:color w:val="000000" w:themeColor="text1"/>
          <w:sz w:val="22"/>
          <w:szCs w:val="22"/>
          <w:lang w:val="en-US"/>
        </w:rPr>
        <w:t>r</w:t>
      </w:r>
      <w:r w:rsidRPr="002F2A3D">
        <w:rPr>
          <w:color w:val="000000" w:themeColor="text1"/>
          <w:sz w:val="22"/>
          <w:szCs w:val="22"/>
          <w:vertAlign w:val="subscript"/>
          <w:lang w:val="en-US"/>
        </w:rPr>
        <w:t>s</w:t>
      </w:r>
      <w:proofErr w:type="spellEnd"/>
      <w:r w:rsidRPr="002F2A3D">
        <w:rPr>
          <w:color w:val="000000" w:themeColor="text1"/>
          <w:sz w:val="22"/>
          <w:szCs w:val="22"/>
          <w:lang w:val="en-US"/>
        </w:rPr>
        <w:t xml:space="preserve"> estimated values (</w:t>
      </w:r>
      <m:oMath>
        <m:d>
          <m:dPr>
            <m:begChr m:val="|"/>
            <m:endChr m:val="|"/>
            <m:ctrlPr>
              <w:rPr>
                <w:rFonts w:ascii="Cambria Math" w:hAnsi="Cambria Math"/>
                <w:i/>
                <w:color w:val="000000" w:themeColor="text1"/>
                <w:sz w:val="22"/>
                <w:szCs w:val="22"/>
                <w:lang w:val="en-US"/>
              </w:rPr>
            </m:ctrlPr>
          </m:dPr>
          <m:e>
            <m:sSub>
              <m:sSubPr>
                <m:ctrlPr>
                  <w:rPr>
                    <w:rFonts w:ascii="Cambria Math" w:hAnsi="Cambria Math"/>
                    <w:i/>
                    <w:color w:val="000000" w:themeColor="text1"/>
                    <w:sz w:val="22"/>
                    <w:szCs w:val="22"/>
                    <w:lang w:val="en-US"/>
                  </w:rPr>
                </m:ctrlPr>
              </m:sSubPr>
              <m:e>
                <m:r>
                  <w:rPr>
                    <w:rFonts w:ascii="Cambria Math" w:hAnsi="Cambria Math"/>
                    <w:color w:val="000000" w:themeColor="text1"/>
                    <w:sz w:val="22"/>
                    <w:szCs w:val="22"/>
                    <w:lang w:val="en-US"/>
                  </w:rPr>
                  <m:t>r</m:t>
                </m:r>
              </m:e>
              <m:sub>
                <m:r>
                  <w:rPr>
                    <w:rFonts w:ascii="Cambria Math" w:hAnsi="Cambria Math"/>
                    <w:color w:val="000000" w:themeColor="text1"/>
                    <w:sz w:val="22"/>
                    <w:szCs w:val="22"/>
                    <w:lang w:val="en-US"/>
                  </w:rPr>
                  <m:t>s</m:t>
                </m:r>
              </m:sub>
            </m:sSub>
          </m:e>
        </m:d>
        <m:r>
          <w:rPr>
            <w:rFonts w:ascii="Cambria Math" w:hAnsi="Cambria Math"/>
            <w:color w:val="000000" w:themeColor="text1"/>
            <w:sz w:val="22"/>
            <w:szCs w:val="22"/>
            <w:lang w:val="en-US"/>
          </w:rPr>
          <m:t>)</m:t>
        </m:r>
      </m:oMath>
      <w:r w:rsidRPr="002F2A3D">
        <w:rPr>
          <w:rFonts w:eastAsiaTheme="minorEastAsia"/>
          <w:color w:val="000000" w:themeColor="text1"/>
          <w:sz w:val="22"/>
          <w:szCs w:val="22"/>
          <w:lang w:val="en-US"/>
        </w:rPr>
        <w:t xml:space="preserve"> </w:t>
      </w:r>
      <w:r w:rsidRPr="009923EF">
        <w:rPr>
          <w:color w:val="000000" w:themeColor="text1"/>
          <w:sz w:val="22"/>
          <w:szCs w:val="22"/>
          <w:lang w:val="en-US"/>
        </w:rPr>
        <w:t xml:space="preserve">were considered low under 0.4, moderate between 0.4 and 0.7, and high </w:t>
      </w:r>
      <w:r w:rsidRPr="00D307B3">
        <w:rPr>
          <w:color w:val="000000" w:themeColor="text1"/>
          <w:sz w:val="22"/>
          <w:szCs w:val="22"/>
          <w:lang w:val="en-US"/>
        </w:rPr>
        <w:t xml:space="preserve">above 0.7 </w:t>
      </w:r>
      <w:r>
        <w:rPr>
          <w:color w:val="000000" w:themeColor="text1"/>
          <w:sz w:val="22"/>
          <w:szCs w:val="22"/>
          <w:lang w:val="en-US"/>
        </w:rPr>
        <w:fldChar w:fldCharType="begin"/>
      </w:r>
      <w:r>
        <w:rPr>
          <w:color w:val="000000" w:themeColor="text1"/>
          <w:sz w:val="22"/>
          <w:szCs w:val="22"/>
          <w:lang w:val="en-US"/>
        </w:rPr>
        <w:instrText xml:space="preserve"> ADDIN ZOTERO_ITEM CSL_CITATION {"citationID":"dgRtLHr5","properties":{"formattedCitation":"[47]","plainCitation":"[47]","noteIndex":0},"citationItems":[{"id":732,"uris":["http://zotero.org/users/3213350/items/ECA8K88D"],"uri":["http://zotero.org/users/3213350/items/ECA8K88D"],"itemData":{"id":732,"type":"article-journal","abstract":"Correlation in the broadest sense is a measure of an association between variables. In correlated data, the change in the magnitude of 1 variable is associated with a change in the magnitude of another variable, either in the same (positive correlation) or in the opposite (negative correlation) direction. Most often, the term correlation is used in the context of a linear relationship between 2 continuous variables and expressed as Pearson product-moment correlation. The Pearson correlation coefficient is typically used for jointly normally distributed data (data that follow a bivariate normal distribution). For nonnormally distributed continuous data, for ordinal data, or for data with relevant outliers, a Spearman rank correlation can be used as a measure of a monotonic association. Both correlation coefficients are scaled such that they range from -1 to +1, where 0 indicates that there is no linear or monotonic association, and the relationship gets stronger and ultimately approaches a straight line (Pearson correlation) or a constantly increasing or decreasing curve (Spearman correlation) as the coefficient approaches an absolute value of 1. Hypothesis tests and confidence intervals can be used to address the statistical significance of the results and to estimate the strength of the relationship in the population from which the data were sampled. The aim of this tutorial is to guide researchers and clinicians in the appropriate use and interpretation of correlation coefficients.","container-title":"Anesthesia and Analgesia","DOI":"10.1213/ANE.0000000000002864","ISSN":"1526-7598","issue":"5","journalAbbreviation":"Anesth. Analg.","language":"eng","note":"PMID: 29481436","page":"1763-1768","source":"PubMed","title":"Correlation Coefficients: Appropriate Use and Interpretation","title-short":"Correlation Coefficients","volume":"126","author":[{"family":"Schober","given":"Patrick"},{"family":"Boer","given":"Christa"},{"family":"Schwarte","given":"Lothar A."}],"issued":{"date-parts":[["2018"]]}}}],"schema":"https://github.com/citation-style-language/schema/raw/master/csl-citation.json"} </w:instrText>
      </w:r>
      <w:r>
        <w:rPr>
          <w:color w:val="000000" w:themeColor="text1"/>
          <w:sz w:val="22"/>
          <w:szCs w:val="22"/>
          <w:lang w:val="en-US"/>
        </w:rPr>
        <w:fldChar w:fldCharType="separate"/>
      </w:r>
      <w:r>
        <w:rPr>
          <w:noProof/>
          <w:color w:val="000000" w:themeColor="text1"/>
          <w:sz w:val="22"/>
          <w:szCs w:val="22"/>
          <w:lang w:val="en-US"/>
        </w:rPr>
        <w:t>[47]</w:t>
      </w:r>
      <w:r>
        <w:rPr>
          <w:color w:val="000000" w:themeColor="text1"/>
          <w:sz w:val="22"/>
          <w:szCs w:val="22"/>
          <w:lang w:val="en-US"/>
        </w:rPr>
        <w:fldChar w:fldCharType="end"/>
      </w:r>
      <w:r w:rsidRPr="002F2A3D">
        <w:rPr>
          <w:color w:val="000000" w:themeColor="text1"/>
          <w:sz w:val="22"/>
          <w:szCs w:val="22"/>
          <w:lang w:val="en-US"/>
        </w:rPr>
        <w:t>.</w:t>
      </w:r>
    </w:p>
    <w:p w14:paraId="3BF56D72" w14:textId="77777777" w:rsidR="00386883" w:rsidRDefault="00E34A75"/>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A75"/>
    <w:rsid w:val="00316534"/>
    <w:rsid w:val="00D50CFA"/>
    <w:rsid w:val="00E34A75"/>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CA993"/>
  <w15:chartTrackingRefBased/>
  <w15:docId w15:val="{295BB777-2FA7-4FA9-9C1F-903A29274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4A75"/>
    <w:pPr>
      <w:spacing w:after="0" w:line="240" w:lineRule="auto"/>
    </w:pPr>
    <w:rPr>
      <w:rFonts w:ascii="Times New Roman" w:eastAsia="Times New Roman" w:hAnsi="Times New Roman" w:cs="Times New Roman"/>
      <w:sz w:val="24"/>
      <w:szCs w:val="24"/>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E34A7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rstudio.com" TargetMode="External"/><Relationship Id="rId4" Type="http://schemas.openxmlformats.org/officeDocument/2006/relationships/hyperlink" Target="http://www.pyth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556</Words>
  <Characters>3175</Characters>
  <Application>Microsoft Office Word</Application>
  <DocSecurity>0</DocSecurity>
  <Lines>26</Lines>
  <Paragraphs>7</Paragraphs>
  <ScaleCrop>false</ScaleCrop>
  <Company/>
  <LinksUpToDate>false</LinksUpToDate>
  <CharactersWithSpaces>3724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2020-07-09T14:39:00Z</dcterms:created>
  <dcterms:modified xsi:type="dcterms:W3CDTF">2020-07-09T14:39:00Z</dcterms:modified>
</cp:coreProperties>
</file>