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20320</wp:posOffset>
            </wp:positionV>
            <wp:extent cx="5725160" cy="3787140"/>
            <wp:effectExtent l="19050" t="0" r="8890" b="0"/>
            <wp:wrapSquare wrapText="bothSides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A: GO analysis for DEPs of AC_N</w:t>
      </w:r>
      <w:r>
        <w:t xml:space="preserve"> vs </w:t>
      </w:r>
      <w:r>
        <w:rPr>
          <w:rFonts w:hint="eastAsia"/>
        </w:rPr>
        <w:t>EC_N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94615</wp:posOffset>
            </wp:positionV>
            <wp:extent cx="5581650" cy="3698240"/>
            <wp:effectExtent l="0" t="0" r="0" b="0"/>
            <wp:wrapSquare wrapText="bothSides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End w:id="0"/>
      <w:r>
        <w:rPr>
          <w:rFonts w:hint="eastAsia"/>
        </w:rPr>
        <w:t>B: GO analysis for DEPs of AC_hN</w:t>
      </w:r>
      <w:r>
        <w:t xml:space="preserve"> vs </w:t>
      </w:r>
      <w:r>
        <w:rPr>
          <w:rFonts w:hint="eastAsia"/>
        </w:rPr>
        <w:t>EC_hN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drawing>
          <wp:inline distT="0" distB="0" distL="0" distR="0">
            <wp:extent cx="5274310" cy="3296285"/>
            <wp:effectExtent l="19050" t="0" r="0" b="0"/>
            <wp:docPr id="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C: GO analysis for DEPs of AC_A</w:t>
      </w:r>
      <w:r>
        <w:t xml:space="preserve"> vs </w:t>
      </w:r>
      <w:r>
        <w:rPr>
          <w:rFonts w:hint="eastAsia"/>
        </w:rPr>
        <w:t>EC_A</w:t>
      </w: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cyNmE3NmQyOTE4NjcwNjI5MGNjMmJmNjU1N2U0YzMifQ=="/>
  </w:docVars>
  <w:rsids>
    <w:rsidRoot w:val="008D62E8"/>
    <w:rsid w:val="000E1849"/>
    <w:rsid w:val="001B2278"/>
    <w:rsid w:val="002039AD"/>
    <w:rsid w:val="0026207F"/>
    <w:rsid w:val="00356EBB"/>
    <w:rsid w:val="00504F0D"/>
    <w:rsid w:val="005E5C2A"/>
    <w:rsid w:val="00741A55"/>
    <w:rsid w:val="008D62E8"/>
    <w:rsid w:val="00F633EF"/>
    <w:rsid w:val="5C48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4507;&#30333;&#32452;\itraq\&#24046;&#24322;&#34507;&#30333;\N&#32452;%20%20GO&#23500;&#38598;&#20998;&#26512;&#32479;&#35745;&#34920;2020-07-27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4507;&#30333;&#32452;\itraq\&#24046;&#24322;&#34507;&#30333;\N&#32452;%20%20GO&#23500;&#38598;&#20998;&#26512;&#32479;&#35745;&#34920;2020-07-27%20-%20&#21103;&#26412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4507;&#30333;&#32452;\itraq\&#24046;&#24322;&#34507;&#30333;\A&#32452;&#20316;&#22270;%20%20GO&#23500;&#38598;&#20998;&#26512;&#32479;&#35745;&#34920;2020-07-2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4701271021274"/>
          <c:y val="0.0393706371809907"/>
          <c:w val="0.734809534489059"/>
          <c:h val="0.5104343832020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GO富集分析统计表!$M$2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zh-CN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7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GO富集分析统计表!$C$1:$C$20</c:f>
              <c:strCache>
                <c:ptCount val="20"/>
                <c:pt idx="0">
                  <c:v>regulation of cellular metabolic process:BP</c:v>
                </c:pt>
                <c:pt idx="1">
                  <c:v>regulation of metabolic process:BP</c:v>
                </c:pt>
                <c:pt idx="2">
                  <c:v>regulation of primary metabolic process:BP</c:v>
                </c:pt>
                <c:pt idx="3">
                  <c:v>GTPase activity:MF</c:v>
                </c:pt>
                <c:pt idx="4">
                  <c:v>protein sumoylation:BP</c:v>
                </c:pt>
                <c:pt idx="5">
                  <c:v>protein tag:MF</c:v>
                </c:pt>
                <c:pt idx="6">
                  <c:v>positive regulation of metabolic process:BP</c:v>
                </c:pt>
                <c:pt idx="7">
                  <c:v>regulation of macromolecule metabolic process:BP</c:v>
                </c:pt>
                <c:pt idx="8">
                  <c:v>regulation of nitrogen compound metabolic process:BP</c:v>
                </c:pt>
                <c:pt idx="9">
                  <c:v>regulation of cellular macromolecule biosynthetic process:BP</c:v>
                </c:pt>
                <c:pt idx="10">
                  <c:v>regulation of macromolecule biosynthetic process:BP</c:v>
                </c:pt>
                <c:pt idx="11">
                  <c:v>chromatin organization:BP</c:v>
                </c:pt>
                <c:pt idx="12">
                  <c:v>nucleic acid binding:MF</c:v>
                </c:pt>
                <c:pt idx="13">
                  <c:v>positive regulation of cellular process:BP</c:v>
                </c:pt>
                <c:pt idx="14">
                  <c:v>regulation of transcription, DNA-templated:BP</c:v>
                </c:pt>
                <c:pt idx="15">
                  <c:v>regulation of nucleic acid-templated transcription:BP</c:v>
                </c:pt>
                <c:pt idx="16">
                  <c:v>regulation of RNA biosynthetic process:BP</c:v>
                </c:pt>
                <c:pt idx="17">
                  <c:v>regulation of cellular biosynthetic process:BP</c:v>
                </c:pt>
                <c:pt idx="18">
                  <c:v>regulation of biosynthetic process:BP</c:v>
                </c:pt>
                <c:pt idx="19">
                  <c:v>inflorescence development:BP</c:v>
                </c:pt>
              </c:strCache>
            </c:strRef>
          </c:cat>
          <c:val>
            <c:numRef>
              <c:f>GO富集分析统计表!$A$1:$A$20</c:f>
              <c:numCache>
                <c:formatCode>General</c:formatCode>
                <c:ptCount val="20"/>
                <c:pt idx="0">
                  <c:v>15</c:v>
                </c:pt>
                <c:pt idx="1">
                  <c:v>17</c:v>
                </c:pt>
                <c:pt idx="2">
                  <c:v>13</c:v>
                </c:pt>
                <c:pt idx="3">
                  <c:v>11</c:v>
                </c:pt>
                <c:pt idx="4">
                  <c:v>3</c:v>
                </c:pt>
                <c:pt idx="5">
                  <c:v>3</c:v>
                </c:pt>
                <c:pt idx="6">
                  <c:v>7</c:v>
                </c:pt>
                <c:pt idx="7">
                  <c:v>14</c:v>
                </c:pt>
                <c:pt idx="8">
                  <c:v>11</c:v>
                </c:pt>
                <c:pt idx="9">
                  <c:v>10</c:v>
                </c:pt>
                <c:pt idx="10">
                  <c:v>10</c:v>
                </c:pt>
                <c:pt idx="11">
                  <c:v>5</c:v>
                </c:pt>
                <c:pt idx="12">
                  <c:v>38</c:v>
                </c:pt>
                <c:pt idx="13">
                  <c:v>8</c:v>
                </c:pt>
                <c:pt idx="14">
                  <c:v>8</c:v>
                </c:pt>
                <c:pt idx="15">
                  <c:v>8</c:v>
                </c:pt>
                <c:pt idx="16">
                  <c:v>8</c:v>
                </c:pt>
                <c:pt idx="17">
                  <c:v>10</c:v>
                </c:pt>
                <c:pt idx="18">
                  <c:v>10</c:v>
                </c:pt>
                <c:pt idx="19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1005952"/>
        <c:axId val="259201280"/>
      </c:barChart>
      <c:lineChart>
        <c:grouping val="standard"/>
        <c:varyColors val="0"/>
        <c:ser>
          <c:idx val="1"/>
          <c:order val="1"/>
          <c:tx>
            <c:strRef>
              <c:f>GO富集分析统计表!$M$1</c:f>
              <c:strCache>
                <c:ptCount val="1"/>
                <c:pt idx="0">
                  <c:v>Enrichment ratio</c:v>
                </c:pt>
              </c:strCache>
            </c:strRef>
          </c:tx>
          <c:spPr>
            <a:ln w="9525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GO富集分析统计表!$K$1:$K$20</c:f>
              <c:numCache>
                <c:formatCode>General</c:formatCode>
                <c:ptCount val="20"/>
                <c:pt idx="0">
                  <c:v>0.15</c:v>
                </c:pt>
                <c:pt idx="1">
                  <c:v>0.136</c:v>
                </c:pt>
                <c:pt idx="2">
                  <c:v>0.146067415730337</c:v>
                </c:pt>
                <c:pt idx="3">
                  <c:v>0.161764705882353</c:v>
                </c:pt>
                <c:pt idx="4">
                  <c:v>0.6</c:v>
                </c:pt>
                <c:pt idx="5">
                  <c:v>0.6</c:v>
                </c:pt>
                <c:pt idx="6">
                  <c:v>0.21875</c:v>
                </c:pt>
                <c:pt idx="7">
                  <c:v>0.135922330097087</c:v>
                </c:pt>
                <c:pt idx="8">
                  <c:v>0.154929577464789</c:v>
                </c:pt>
                <c:pt idx="9">
                  <c:v>0.163934426229508</c:v>
                </c:pt>
                <c:pt idx="10">
                  <c:v>0.163934426229508</c:v>
                </c:pt>
                <c:pt idx="11">
                  <c:v>0.294117647058824</c:v>
                </c:pt>
                <c:pt idx="12">
                  <c:v>0.0920096852300242</c:v>
                </c:pt>
                <c:pt idx="13">
                  <c:v>0.190476190476191</c:v>
                </c:pt>
                <c:pt idx="14">
                  <c:v>0.181818181818182</c:v>
                </c:pt>
                <c:pt idx="15">
                  <c:v>0.181818181818182</c:v>
                </c:pt>
                <c:pt idx="16">
                  <c:v>0.181818181818182</c:v>
                </c:pt>
                <c:pt idx="17">
                  <c:v>0.15625</c:v>
                </c:pt>
                <c:pt idx="18">
                  <c:v>0.153846153846154</c:v>
                </c:pt>
                <c:pt idx="19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9244416"/>
        <c:axId val="259226240"/>
      </c:lineChart>
      <c:catAx>
        <c:axId val="251005952"/>
        <c:scaling>
          <c:orientation val="minMax"/>
        </c:scaling>
        <c:delete val="0"/>
        <c:axPos val="b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9201280"/>
        <c:crosses val="autoZero"/>
        <c:auto val="1"/>
        <c:lblAlgn val="ctr"/>
        <c:lblOffset val="100"/>
        <c:noMultiLvlLbl val="0"/>
      </c:catAx>
      <c:valAx>
        <c:axId val="25920128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Number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11649258386405"/>
              <c:y val="0.192370930614929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1005952"/>
        <c:crosses val="autoZero"/>
        <c:crossBetween val="between"/>
      </c:valAx>
      <c:catAx>
        <c:axId val="259244416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9226240"/>
        <c:crosses val="autoZero"/>
        <c:auto val="1"/>
        <c:lblAlgn val="ctr"/>
        <c:lblOffset val="100"/>
        <c:noMultiLvlLbl val="0"/>
      </c:catAx>
      <c:valAx>
        <c:axId val="259226240"/>
        <c:scaling>
          <c:orientation val="minMax"/>
        </c:scaling>
        <c:delete val="0"/>
        <c:axPos val="r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Enrichment ratio</a:t>
                </a:r>
                <a:endParaRPr lang="en-US"/>
              </a:p>
            </c:rich>
          </c:tx>
          <c:layout/>
          <c:overlay val="0"/>
        </c:title>
        <c:numFmt formatCode="#,##0.00;[Red]\-#,##0.00" sourceLinked="0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9244416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226148254463617"/>
          <c:y val="0.0336453463186391"/>
          <c:w val="0.285428484060852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7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7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5542857666962"/>
          <c:y val="0.0393706195379424"/>
          <c:w val="0.769550626206669"/>
          <c:h val="0.5104343832020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GO富集分析统计表!$M$2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zh-CN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7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GO富集分析统计表!$C$1:$C$20</c:f>
              <c:strCache>
                <c:ptCount val="20"/>
                <c:pt idx="0">
                  <c:v>glutamine biosynthetic process:BP</c:v>
                </c:pt>
                <c:pt idx="1">
                  <c:v>ammonia ligase activity:MF</c:v>
                </c:pt>
                <c:pt idx="2">
                  <c:v>glutamate-ammonia ligase activity:MF</c:v>
                </c:pt>
                <c:pt idx="3">
                  <c:v>acid-ammonia (or amide) ligase activity:MF</c:v>
                </c:pt>
                <c:pt idx="4">
                  <c:v>carotenoid biosynthetic process:BP</c:v>
                </c:pt>
                <c:pt idx="5">
                  <c:v>tetraterpenoid biosynthetic process</c:v>
                </c:pt>
                <c:pt idx="6">
                  <c:v>monooxygenase activity:MF</c:v>
                </c:pt>
                <c:pt idx="7">
                  <c:v>calcium ion binding:MF</c:v>
                </c:pt>
                <c:pt idx="8">
                  <c:v>tetraterpenoid metabolic process:BP</c:v>
                </c:pt>
                <c:pt idx="9">
                  <c:v>carotenoid metabolic process:BP</c:v>
                </c:pt>
                <c:pt idx="10">
                  <c:v>ribosomal small subunit biogenesis:BP</c:v>
                </c:pt>
                <c:pt idx="11">
                  <c:v>ribonucleoprotein complex subunit organization:BP</c:v>
                </c:pt>
                <c:pt idx="12">
                  <c:v>alcohol metabolic process:BP</c:v>
                </c:pt>
                <c:pt idx="13">
                  <c:v>ribonucleoprotein complex assembly:BP</c:v>
                </c:pt>
                <c:pt idx="14">
                  <c:v>oxidoreductase activity, acting on the CH-OH group of donors, oxygen as acceptor:MF</c:v>
                </c:pt>
                <c:pt idx="15">
                  <c:v>amidase activity:MF</c:v>
                </c:pt>
                <c:pt idx="16">
                  <c:v>protein targeting:BP</c:v>
                </c:pt>
                <c:pt idx="17">
                  <c:v>translation initiation factor activity:MF</c:v>
                </c:pt>
                <c:pt idx="18">
                  <c:v>regulation of stomatal movement:BP</c:v>
                </c:pt>
                <c:pt idx="19">
                  <c:v>proteasome complex:CC</c:v>
                </c:pt>
              </c:strCache>
            </c:strRef>
          </c:cat>
          <c:val>
            <c:numRef>
              <c:f>GO富集分析统计表!$A$1:$A$20</c:f>
              <c:numCache>
                <c:formatCode>General</c:formatCode>
                <c:ptCount val="20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13</c:v>
                </c:pt>
                <c:pt idx="7">
                  <c:v>25</c:v>
                </c:pt>
                <c:pt idx="8">
                  <c:v>5</c:v>
                </c:pt>
                <c:pt idx="9">
                  <c:v>5</c:v>
                </c:pt>
                <c:pt idx="10">
                  <c:v>4</c:v>
                </c:pt>
                <c:pt idx="11">
                  <c:v>13</c:v>
                </c:pt>
                <c:pt idx="12">
                  <c:v>11</c:v>
                </c:pt>
                <c:pt idx="13">
                  <c:v>12</c:v>
                </c:pt>
                <c:pt idx="14">
                  <c:v>4</c:v>
                </c:pt>
                <c:pt idx="15">
                  <c:v>4</c:v>
                </c:pt>
                <c:pt idx="16">
                  <c:v>8</c:v>
                </c:pt>
                <c:pt idx="17">
                  <c:v>16</c:v>
                </c:pt>
                <c:pt idx="18">
                  <c:v>3</c:v>
                </c:pt>
                <c:pt idx="19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6921344"/>
        <c:axId val="106939904"/>
      </c:barChart>
      <c:lineChart>
        <c:grouping val="standard"/>
        <c:varyColors val="0"/>
        <c:ser>
          <c:idx val="1"/>
          <c:order val="1"/>
          <c:tx>
            <c:strRef>
              <c:f>GO富集分析统计表!$M$1</c:f>
              <c:strCache>
                <c:ptCount val="1"/>
                <c:pt idx="0">
                  <c:v>Enrichment ratio</c:v>
                </c:pt>
              </c:strCache>
            </c:strRef>
          </c:tx>
          <c:spPr>
            <a:ln w="9525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GO富集分析统计表!$K$1:$K$20</c:f>
              <c:numCache>
                <c:formatCode>General</c:formatCode>
                <c:ptCount val="20"/>
                <c:pt idx="0">
                  <c:v>0.857142857142857</c:v>
                </c:pt>
                <c:pt idx="1">
                  <c:v>0.857142857142857</c:v>
                </c:pt>
                <c:pt idx="2">
                  <c:v>0.857142857142857</c:v>
                </c:pt>
                <c:pt idx="3">
                  <c:v>0.857142857142857</c:v>
                </c:pt>
                <c:pt idx="4">
                  <c:v>1</c:v>
                </c:pt>
                <c:pt idx="5">
                  <c:v>1</c:v>
                </c:pt>
                <c:pt idx="6">
                  <c:v>0.419354838709678</c:v>
                </c:pt>
                <c:pt idx="7">
                  <c:v>0.280898876404494</c:v>
                </c:pt>
                <c:pt idx="8">
                  <c:v>0.833333333333333</c:v>
                </c:pt>
                <c:pt idx="9">
                  <c:v>0.833333333333333</c:v>
                </c:pt>
                <c:pt idx="10">
                  <c:v>1</c:v>
                </c:pt>
                <c:pt idx="11">
                  <c:v>0.351351351351351</c:v>
                </c:pt>
                <c:pt idx="12">
                  <c:v>0.366666666666667</c:v>
                </c:pt>
                <c:pt idx="13">
                  <c:v>0.342857142857143</c:v>
                </c:pt>
                <c:pt idx="14">
                  <c:v>0.8</c:v>
                </c:pt>
                <c:pt idx="15">
                  <c:v>0.8</c:v>
                </c:pt>
                <c:pt idx="16">
                  <c:v>0.421052631578947</c:v>
                </c:pt>
                <c:pt idx="17">
                  <c:v>0.290909090909091</c:v>
                </c:pt>
                <c:pt idx="18">
                  <c:v>1</c:v>
                </c:pt>
                <c:pt idx="19">
                  <c:v>0.324324324324324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944000"/>
        <c:axId val="106941824"/>
      </c:lineChart>
      <c:catAx>
        <c:axId val="106921344"/>
        <c:scaling>
          <c:orientation val="minMax"/>
        </c:scaling>
        <c:delete val="0"/>
        <c:axPos val="b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6939904"/>
        <c:crosses val="autoZero"/>
        <c:auto val="1"/>
        <c:lblAlgn val="ctr"/>
        <c:lblOffset val="100"/>
        <c:noMultiLvlLbl val="0"/>
      </c:catAx>
      <c:valAx>
        <c:axId val="106939904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Number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70511024190842"/>
              <c:y val="0.219277500239652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6921344"/>
        <c:crosses val="autoZero"/>
        <c:crossBetween val="between"/>
      </c:valAx>
      <c:catAx>
        <c:axId val="10694400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6941824"/>
        <c:crosses val="autoZero"/>
        <c:auto val="1"/>
        <c:lblAlgn val="ctr"/>
        <c:lblOffset val="100"/>
        <c:noMultiLvlLbl val="0"/>
      </c:catAx>
      <c:valAx>
        <c:axId val="106941824"/>
        <c:scaling>
          <c:orientation val="minMax"/>
        </c:scaling>
        <c:delete val="0"/>
        <c:axPos val="r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Enrichment ratio</a:t>
                </a:r>
                <a:endParaRPr lang="en-US"/>
              </a:p>
            </c:rich>
          </c:tx>
          <c:layout/>
          <c:overlay val="0"/>
        </c:title>
        <c:numFmt formatCode="#,##0.00;[Red]\-#,##0.00" sourceLinked="0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6944000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165526485928965"/>
          <c:y val="0.0259400736065894"/>
          <c:w val="0.285428484060852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7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7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4701271021274"/>
          <c:y val="0.0393706371809907"/>
          <c:w val="0.749263308105904"/>
          <c:h val="0.5104343832020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GO富集分析统计表!$M$2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0.023115818136149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zh-CN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7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 altLang="en-US"/>
                      <a:t>**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7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GO富集分析统计表!$C$1:$C$20</c:f>
              <c:strCache>
                <c:ptCount val="20"/>
                <c:pt idx="0">
                  <c:v>transporter activity:MF</c:v>
                </c:pt>
                <c:pt idx="1">
                  <c:v>integral component of membrane:CC</c:v>
                </c:pt>
                <c:pt idx="2">
                  <c:v>intrinsic component of membrane:CC</c:v>
                </c:pt>
                <c:pt idx="3">
                  <c:v>transmembrane transporter activity:MF</c:v>
                </c:pt>
                <c:pt idx="4">
                  <c:v>membrane part:CC</c:v>
                </c:pt>
                <c:pt idx="5">
                  <c:v>anion transmembrane transporter activity:MF</c:v>
                </c:pt>
                <c:pt idx="6">
                  <c:v>organic acid transmembrane transporter activity:MF</c:v>
                </c:pt>
                <c:pt idx="7">
                  <c:v>carboxylic acid transmembrane transporter activity:MF</c:v>
                </c:pt>
                <c:pt idx="8">
                  <c:v>substrate-specific transporter activity:MF</c:v>
                </c:pt>
                <c:pt idx="9">
                  <c:v>plastid outer membrane:CC</c:v>
                </c:pt>
                <c:pt idx="10">
                  <c:v>chloroplast outer membrane:CC</c:v>
                </c:pt>
                <c:pt idx="11">
                  <c:v>outer membrane:CC</c:v>
                </c:pt>
                <c:pt idx="12">
                  <c:v>organelle outer membrane:CC</c:v>
                </c:pt>
                <c:pt idx="13">
                  <c:v>small ribosomal subunit:CC</c:v>
                </c:pt>
                <c:pt idx="14">
                  <c:v>substrate-specific transmembrane transporter activity:MF</c:v>
                </c:pt>
                <c:pt idx="15">
                  <c:v>developmental vegetative growth:BP</c:v>
                </c:pt>
                <c:pt idx="16">
                  <c:v>P-P-bond-hydrolysis-driven protein transmembrane transporter activity:MF</c:v>
                </c:pt>
                <c:pt idx="17">
                  <c:v>allene-oxide cyclase activity:MF</c:v>
                </c:pt>
                <c:pt idx="18">
                  <c:v>ribonucleoprotein complex:CC</c:v>
                </c:pt>
                <c:pt idx="19">
                  <c:v>organic anion transmembrane transporter activity</c:v>
                </c:pt>
              </c:strCache>
            </c:strRef>
          </c:cat>
          <c:val>
            <c:numRef>
              <c:f>GO富集分析统计表!$A$1:$A$20</c:f>
              <c:numCache>
                <c:formatCode>General</c:formatCode>
                <c:ptCount val="20"/>
                <c:pt idx="0">
                  <c:v>20</c:v>
                </c:pt>
                <c:pt idx="1">
                  <c:v>68</c:v>
                </c:pt>
                <c:pt idx="2">
                  <c:v>68</c:v>
                </c:pt>
                <c:pt idx="3">
                  <c:v>18</c:v>
                </c:pt>
                <c:pt idx="4">
                  <c:v>75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8">
                  <c:v>13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  <c:pt idx="12">
                  <c:v>4</c:v>
                </c:pt>
                <c:pt idx="13">
                  <c:v>5</c:v>
                </c:pt>
                <c:pt idx="14">
                  <c:v>11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21</c:v>
                </c:pt>
                <c:pt idx="19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6973824"/>
        <c:axId val="107574016"/>
      </c:barChart>
      <c:lineChart>
        <c:grouping val="standard"/>
        <c:varyColors val="0"/>
        <c:ser>
          <c:idx val="1"/>
          <c:order val="1"/>
          <c:tx>
            <c:strRef>
              <c:f>GO富集分析统计表!$M$1</c:f>
              <c:strCache>
                <c:ptCount val="1"/>
                <c:pt idx="0">
                  <c:v>Enrichment ratio</c:v>
                </c:pt>
              </c:strCache>
            </c:strRef>
          </c:tx>
          <c:spPr>
            <a:ln w="9525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GO富集分析统计表!$K$1:$K$20</c:f>
              <c:numCache>
                <c:formatCode>General</c:formatCode>
                <c:ptCount val="20"/>
                <c:pt idx="0">
                  <c:v>0.190476190476191</c:v>
                </c:pt>
                <c:pt idx="1">
                  <c:v>0.102409638554217</c:v>
                </c:pt>
                <c:pt idx="2">
                  <c:v>0.102102102102102</c:v>
                </c:pt>
                <c:pt idx="3">
                  <c:v>0.1875</c:v>
                </c:pt>
                <c:pt idx="4">
                  <c:v>0.0967741935483871</c:v>
                </c:pt>
                <c:pt idx="5">
                  <c:v>0.416666666666667</c:v>
                </c:pt>
                <c:pt idx="6">
                  <c:v>0.75</c:v>
                </c:pt>
                <c:pt idx="7">
                  <c:v>0.75</c:v>
                </c:pt>
                <c:pt idx="8">
                  <c:v>0.166666666666667</c:v>
                </c:pt>
                <c:pt idx="9">
                  <c:v>0.6</c:v>
                </c:pt>
                <c:pt idx="10">
                  <c:v>0.6</c:v>
                </c:pt>
                <c:pt idx="11">
                  <c:v>0.4</c:v>
                </c:pt>
                <c:pt idx="12">
                  <c:v>0.4</c:v>
                </c:pt>
                <c:pt idx="13">
                  <c:v>0.294117647058824</c:v>
                </c:pt>
                <c:pt idx="14">
                  <c:v>0.159420289855073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0.11731843575419</c:v>
                </c:pt>
                <c:pt idx="19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598592"/>
        <c:axId val="107575936"/>
      </c:lineChart>
      <c:catAx>
        <c:axId val="106973824"/>
        <c:scaling>
          <c:orientation val="minMax"/>
        </c:scaling>
        <c:delete val="0"/>
        <c:axPos val="b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7574016"/>
        <c:crosses val="autoZero"/>
        <c:auto val="1"/>
        <c:lblAlgn val="ctr"/>
        <c:lblOffset val="100"/>
        <c:noMultiLvlLbl val="0"/>
      </c:catAx>
      <c:valAx>
        <c:axId val="107574016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Number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344310440607397"/>
              <c:y val="0.215424863883627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6973824"/>
        <c:crosses val="autoZero"/>
        <c:crossBetween val="between"/>
      </c:valAx>
      <c:catAx>
        <c:axId val="107598592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7575936"/>
        <c:crosses val="autoZero"/>
        <c:auto val="1"/>
        <c:lblAlgn val="ctr"/>
        <c:lblOffset val="100"/>
        <c:noMultiLvlLbl val="0"/>
      </c:catAx>
      <c:valAx>
        <c:axId val="107575936"/>
        <c:scaling>
          <c:orientation val="minMax"/>
        </c:scaling>
        <c:delete val="0"/>
        <c:axPos val="r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7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Enrichment ratio</a:t>
                </a:r>
                <a:endParaRPr lang="en-US"/>
              </a:p>
            </c:rich>
          </c:tx>
          <c:layout/>
          <c:overlay val="0"/>
        </c:title>
        <c:numFmt formatCode="#,##0.00;[Red]\-#,##0.00" sourceLinked="0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07598592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107140080882618"/>
          <c:y val="0"/>
          <c:w val="0.285428484060852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7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7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</Words>
  <Characters>95</Characters>
  <Lines>1</Lines>
  <Paragraphs>1</Paragraphs>
  <TotalTime>23</TotalTime>
  <ScaleCrop>false</ScaleCrop>
  <LinksUpToDate>false</LinksUpToDate>
  <CharactersWithSpaces>119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2020-08-21T03:57:00Z</dcterms:created>
  <dc:creator>王晓</dc:creator>
  <cp:lastModifiedBy>小</cp:lastModifiedBy>
  <dcterms:modified xsi:type="dcterms:W3CDTF">2022-07-15T09:24:47Z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62E368A8CA55479BAD6047B6CA9328BF</vt:lpwstr>
  </property>
</Properties>
</file>