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0" distR="0">
            <wp:extent cx="4934585" cy="2681605"/>
            <wp:effectExtent l="19050" t="0" r="0" b="0"/>
            <wp:docPr id="1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/>
    <w:p>
      <w:pPr>
        <w:jc w:val="center"/>
      </w:pPr>
      <w:r>
        <w:rPr>
          <w:rFonts w:hint="eastAsia"/>
        </w:rPr>
        <w:t>A: GO analysis for DEGs of AC_N</w:t>
      </w:r>
      <w:r>
        <w:t xml:space="preserve"> vs </w:t>
      </w:r>
      <w:r>
        <w:rPr>
          <w:rFonts w:hint="eastAsia"/>
        </w:rPr>
        <w:t>EC_N</w:t>
      </w:r>
    </w:p>
    <w:p/>
    <w:p/>
    <w:p/>
    <w:p>
      <w:pPr>
        <w:jc w:val="center"/>
      </w:pPr>
      <w:bookmarkStart w:id="0" w:name="_GoBack"/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43180</wp:posOffset>
            </wp:positionV>
            <wp:extent cx="5664835" cy="4298950"/>
            <wp:effectExtent l="0" t="0" r="0" b="0"/>
            <wp:wrapSquare wrapText="bothSides"/>
            <wp:docPr id="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bookmarkEnd w:id="0"/>
      <w:r>
        <w:rPr>
          <w:rFonts w:hint="eastAsia"/>
        </w:rPr>
        <w:t>B: GO analysis for DEGs of AC_hN</w:t>
      </w:r>
      <w:r>
        <w:t xml:space="preserve"> vs </w:t>
      </w:r>
      <w:r>
        <w:rPr>
          <w:rFonts w:hint="eastAsia"/>
        </w:rPr>
        <w:t>EC_hN</w:t>
      </w:r>
    </w:p>
    <w:p/>
    <w:p/>
    <w:p>
      <w:pPr>
        <w:jc w:val="center"/>
      </w:pPr>
      <w:r>
        <w:drawing>
          <wp:inline distT="0" distB="0" distL="0" distR="0">
            <wp:extent cx="5274310" cy="3754120"/>
            <wp:effectExtent l="0" t="0" r="0" b="0"/>
            <wp:docPr id="5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C: GO analysis for DEGs of AC_A</w:t>
      </w:r>
      <w:r>
        <w:t xml:space="preserve"> vs </w:t>
      </w:r>
      <w:r>
        <w:rPr>
          <w:rFonts w:hint="eastAsia"/>
        </w:rPr>
        <w:t>EC_A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cyNmE3NmQyOTE4NjcwNjI5MGNjMmJmNjU1N2U0YzMifQ=="/>
  </w:docVars>
  <w:rsids>
    <w:rsidRoot w:val="00911288"/>
    <w:rsid w:val="00017F62"/>
    <w:rsid w:val="00306364"/>
    <w:rsid w:val="003815E0"/>
    <w:rsid w:val="0043470D"/>
    <w:rsid w:val="0082483B"/>
    <w:rsid w:val="00911288"/>
    <w:rsid w:val="00BF645F"/>
    <w:rsid w:val="00CF69FF"/>
    <w:rsid w:val="00D03E7E"/>
    <w:rsid w:val="00E66098"/>
    <w:rsid w:val="499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21338;&#22763;\&#20889;&#25991;&#31456;\&#21338;&#22763;\&#32452;&#23398;&#25968;&#25454;\&#36716;&#24405;&#32452;\&#24046;&#24322;&#22522;&#22240;&#20449;&#24687;\GO&#23500;&#38598;&#20998;&#26512;\N&#32452;%20GO&#23500;&#38598;&#20998;&#26512;&#32479;&#35745;&#34920;2020-07-07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21338;&#22763;\&#20889;&#25991;&#31456;\&#21338;&#22763;\&#32452;&#23398;&#25968;&#25454;\&#36716;&#24405;&#32452;\&#24046;&#24322;&#22522;&#22240;&#20449;&#24687;\GO&#23500;&#38598;&#20998;&#26512;\hN&#32452;%20GO&#23500;&#38598;&#20998;&#26512;&#32479;&#35745;&#34920;2020-07-07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21338;&#22763;\&#20889;&#25991;&#31456;\&#21338;&#22763;\&#32452;&#23398;&#25968;&#25454;\&#36716;&#24405;&#32452;\&#24046;&#24322;&#22522;&#22240;&#20449;&#24687;\GO&#23500;&#38598;&#20998;&#26512;\A&#32452;%20GO&#23500;&#38598;&#20998;&#26512;&#32479;&#35745;&#34920;2020-07-0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4701271021274"/>
          <c:y val="0.0393706371809907"/>
          <c:w val="0.806592880456926"/>
          <c:h val="0.5104343832020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Number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rgbClr val="00863D"/>
            </a:solidFill>
          </c:spPr>
          <c:invertIfNegative val="0"/>
          <c:dLbls>
            <c:delete val="1"/>
          </c:dLbls>
          <c:cat>
            <c:strRef>
              <c:f>GO富集分析统计表!$D$2:$D$21</c:f>
              <c:strCache>
                <c:ptCount val="20"/>
                <c:pt idx="0">
                  <c:v>pattern binding:MF</c:v>
                </c:pt>
                <c:pt idx="1">
                  <c:v>polysaccharide binding:MF</c:v>
                </c:pt>
                <c:pt idx="2">
                  <c:v>photosystem II:CC</c:v>
                </c:pt>
                <c:pt idx="3">
                  <c:v>tetrapyrrole binding:MF</c:v>
                </c:pt>
                <c:pt idx="4">
                  <c:v>ADP binding:MF</c:v>
                </c:pt>
                <c:pt idx="5">
                  <c:v>carbohydrate binding:MF</c:v>
                </c:pt>
                <c:pt idx="6">
                  <c:v>O-methyltransferase activity:MF</c:v>
                </c:pt>
                <c:pt idx="7">
                  <c:v>adenyl ribonucleotide binding:MF</c:v>
                </c:pt>
                <c:pt idx="8">
                  <c:v>photosynthesis, light harvesting:BP</c:v>
                </c:pt>
                <c:pt idx="9">
                  <c:v>adenyl nucleotide binding:MF</c:v>
                </c:pt>
                <c:pt idx="10">
                  <c:v>integral component of membrane:CC</c:v>
                </c:pt>
                <c:pt idx="11">
                  <c:v>intrinsic component of membrane:CC</c:v>
                </c:pt>
                <c:pt idx="12">
                  <c:v>protein kinase activity:MF</c:v>
                </c:pt>
                <c:pt idx="13">
                  <c:v>small molecule binding:MF</c:v>
                </c:pt>
                <c:pt idx="14">
                  <c:v>nucleoside phosphate binding:MF</c:v>
                </c:pt>
                <c:pt idx="15">
                  <c:v>nucleotide binding:MF</c:v>
                </c:pt>
                <c:pt idx="16">
                  <c:v>ribonucleotide binding:MF</c:v>
                </c:pt>
                <c:pt idx="17">
                  <c:v>membrane part:CC</c:v>
                </c:pt>
                <c:pt idx="18">
                  <c:v>carbohydrate derivative binding:MF</c:v>
                </c:pt>
                <c:pt idx="19">
                  <c:v>heme binding:MF</c:v>
                </c:pt>
              </c:strCache>
            </c:strRef>
          </c:cat>
          <c:val>
            <c:numRef>
              <c:f>GO富集分析统计表!$A$2:$A$21</c:f>
              <c:numCache>
                <c:formatCode>General</c:formatCode>
                <c:ptCount val="20"/>
                <c:pt idx="0">
                  <c:v>56</c:v>
                </c:pt>
                <c:pt idx="1">
                  <c:v>56</c:v>
                </c:pt>
                <c:pt idx="2">
                  <c:v>12</c:v>
                </c:pt>
                <c:pt idx="3">
                  <c:v>73</c:v>
                </c:pt>
                <c:pt idx="4">
                  <c:v>233</c:v>
                </c:pt>
                <c:pt idx="5">
                  <c:v>103</c:v>
                </c:pt>
                <c:pt idx="6">
                  <c:v>15</c:v>
                </c:pt>
                <c:pt idx="7">
                  <c:v>647</c:v>
                </c:pt>
                <c:pt idx="8">
                  <c:v>9</c:v>
                </c:pt>
                <c:pt idx="9">
                  <c:v>647</c:v>
                </c:pt>
                <c:pt idx="10">
                  <c:v>1108</c:v>
                </c:pt>
                <c:pt idx="11">
                  <c:v>1108</c:v>
                </c:pt>
                <c:pt idx="12">
                  <c:v>284</c:v>
                </c:pt>
                <c:pt idx="13">
                  <c:v>713</c:v>
                </c:pt>
                <c:pt idx="14">
                  <c:v>706</c:v>
                </c:pt>
                <c:pt idx="15">
                  <c:v>706</c:v>
                </c:pt>
                <c:pt idx="16">
                  <c:v>676</c:v>
                </c:pt>
                <c:pt idx="17">
                  <c:v>1123</c:v>
                </c:pt>
                <c:pt idx="18">
                  <c:v>679</c:v>
                </c:pt>
                <c:pt idx="19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354560"/>
        <c:axId val="236500096"/>
      </c:barChart>
      <c:lineChart>
        <c:grouping val="standard"/>
        <c:varyColors val="0"/>
        <c:ser>
          <c:idx val="1"/>
          <c:order val="1"/>
          <c:tx>
            <c:strRef>
              <c:f>-log10(FDR)</c:f>
              <c:strCache>
                <c:ptCount val="1"/>
                <c:pt idx="0">
                  <c:v>-log10(FDR)</c:v>
                </c:pt>
              </c:strCache>
            </c:strRef>
          </c:tx>
          <c:spPr>
            <a:ln w="9525" cap="rnd" cmpd="sng" algn="ctr">
              <a:solidFill>
                <a:srgbClr val="C00000"/>
              </a:solidFill>
              <a:prstDash val="solid"/>
              <a:round/>
            </a:ln>
          </c:spPr>
          <c:marker>
            <c:symbol val="diamond"/>
            <c:size val="3"/>
            <c:spPr>
              <a:solidFill>
                <a:srgbClr val="C00000"/>
              </a:solidFill>
            </c:spPr>
          </c:marker>
          <c:dLbls>
            <c:delete val="1"/>
          </c:dLbls>
          <c:val>
            <c:numRef>
              <c:f>GO富集分析统计表!$I$2:$I$21</c:f>
              <c:numCache>
                <c:formatCode>General</c:formatCode>
                <c:ptCount val="20"/>
                <c:pt idx="0">
                  <c:v>3.00472695004123</c:v>
                </c:pt>
                <c:pt idx="1">
                  <c:v>3.00472695004123</c:v>
                </c:pt>
                <c:pt idx="2">
                  <c:v>3.00472695004123</c:v>
                </c:pt>
                <c:pt idx="3">
                  <c:v>3.00472695004123</c:v>
                </c:pt>
                <c:pt idx="4">
                  <c:v>3.00472695004123</c:v>
                </c:pt>
                <c:pt idx="5">
                  <c:v>3.00472695004123</c:v>
                </c:pt>
                <c:pt idx="6">
                  <c:v>3.00472695004123</c:v>
                </c:pt>
                <c:pt idx="7">
                  <c:v>3.00472695004123</c:v>
                </c:pt>
                <c:pt idx="8">
                  <c:v>3.00472695004123</c:v>
                </c:pt>
                <c:pt idx="9">
                  <c:v>3.00472695004123</c:v>
                </c:pt>
                <c:pt idx="10">
                  <c:v>3.00472695004123</c:v>
                </c:pt>
                <c:pt idx="11">
                  <c:v>2.98693853884051</c:v>
                </c:pt>
                <c:pt idx="12">
                  <c:v>2.98693853884051</c:v>
                </c:pt>
                <c:pt idx="13">
                  <c:v>2.98027188507019</c:v>
                </c:pt>
                <c:pt idx="14">
                  <c:v>2.98027188507019</c:v>
                </c:pt>
                <c:pt idx="15">
                  <c:v>2.98027188507019</c:v>
                </c:pt>
                <c:pt idx="16">
                  <c:v>2.98027188507019</c:v>
                </c:pt>
                <c:pt idx="17">
                  <c:v>2.9756936398462</c:v>
                </c:pt>
                <c:pt idx="18">
                  <c:v>2.9756936398462</c:v>
                </c:pt>
                <c:pt idx="19">
                  <c:v>2.93293482259865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700416"/>
        <c:axId val="236660992"/>
      </c:lineChart>
      <c:catAx>
        <c:axId val="2363545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36500096"/>
        <c:crosses val="autoZero"/>
        <c:auto val="1"/>
        <c:lblAlgn val="ctr"/>
        <c:lblOffset val="100"/>
        <c:noMultiLvlLbl val="0"/>
      </c:catAx>
      <c:valAx>
        <c:axId val="236500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36354560"/>
        <c:crosses val="autoZero"/>
        <c:crossBetween val="between"/>
      </c:valAx>
      <c:catAx>
        <c:axId val="236700416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36660992"/>
        <c:crosses val="autoZero"/>
        <c:auto val="1"/>
        <c:lblAlgn val="ctr"/>
        <c:lblOffset val="100"/>
        <c:noMultiLvlLbl val="0"/>
      </c:catAx>
      <c:valAx>
        <c:axId val="236660992"/>
        <c:scaling>
          <c:orientation val="minMax"/>
        </c:scaling>
        <c:delete val="0"/>
        <c:axPos val="r"/>
        <c:numFmt formatCode="#,##0.00;[Red]\-#,##0.00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36700416"/>
        <c:crosses val="max"/>
        <c:crossBetween val="between"/>
      </c:valAx>
    </c:plotArea>
    <c:legend>
      <c:legendPos val="r"/>
      <c:layout>
        <c:manualLayout>
          <c:xMode val="edge"/>
          <c:yMode val="edge"/>
          <c:x val="0.0890953072085148"/>
          <c:y val="0.0103442787736639"/>
          <c:w val="0.469914619556936"/>
          <c:h val="0.060871726140615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 sz="80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9225416089253"/>
          <c:y val="0.0393706371809907"/>
          <c:w val="0.739428445858702"/>
          <c:h val="0.4842756714882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Number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rgbClr val="00863D"/>
            </a:solidFill>
          </c:spPr>
          <c:invertIfNegative val="0"/>
          <c:dLbls>
            <c:delete val="1"/>
          </c:dLbls>
          <c:cat>
            <c:strRef>
              <c:f>GO富集分析统计表!$D$2:$D$21</c:f>
              <c:strCache>
                <c:ptCount val="20"/>
                <c:pt idx="0">
                  <c:v>xyloglucan metabolic process:BP</c:v>
                </c:pt>
                <c:pt idx="1">
                  <c:v>cell wall macromolecule metabolic process:BP</c:v>
                </c:pt>
                <c:pt idx="2">
                  <c:v>xyloglucan:xyloglucosyl transferase activity:MF</c:v>
                </c:pt>
                <c:pt idx="3">
                  <c:v>cell wall biogenesis:BP</c:v>
                </c:pt>
                <c:pt idx="4">
                  <c:v>hemicellulose metabolic process:BP</c:v>
                </c:pt>
                <c:pt idx="5">
                  <c:v>sequence-specific DNA binding:MF</c:v>
                </c:pt>
                <c:pt idx="6">
                  <c:v>cellular carbohydrate metabolic process:BP</c:v>
                </c:pt>
                <c:pt idx="7">
                  <c:v>cellular glucan metabolic process:BP</c:v>
                </c:pt>
                <c:pt idx="8">
                  <c:v>glucan metabolic process:BP</c:v>
                </c:pt>
                <c:pt idx="9">
                  <c:v>cell wall organization:BP</c:v>
                </c:pt>
                <c:pt idx="10">
                  <c:v>cell wall polysaccharide metabolic process:BP</c:v>
                </c:pt>
                <c:pt idx="11">
                  <c:v>transcription factor activity, sequence-specific DNA binding:MF</c:v>
                </c:pt>
                <c:pt idx="12">
                  <c:v>nucleic acid binding transcription factor activity:MF</c:v>
                </c:pt>
                <c:pt idx="13">
                  <c:v>cell wall organization or biogenesis:BP</c:v>
                </c:pt>
                <c:pt idx="14">
                  <c:v>external encapsulating structure organization:BP</c:v>
                </c:pt>
                <c:pt idx="15">
                  <c:v>response to auxin:BP</c:v>
                </c:pt>
                <c:pt idx="16">
                  <c:v>kinase activity:MF</c:v>
                </c:pt>
                <c:pt idx="17">
                  <c:v>protein kinase activity:MF</c:v>
                </c:pt>
                <c:pt idx="18">
                  <c:v>cellular polysaccharide metabolic process:BP</c:v>
                </c:pt>
                <c:pt idx="19">
                  <c:v>phosphotransferase activity, alcohol group as acceptor:MF</c:v>
                </c:pt>
              </c:strCache>
            </c:strRef>
          </c:cat>
          <c:val>
            <c:numRef>
              <c:f>GO富集分析统计表!$A$2:$A$21</c:f>
              <c:numCache>
                <c:formatCode>General</c:formatCode>
                <c:ptCount val="20"/>
                <c:pt idx="0">
                  <c:v>12</c:v>
                </c:pt>
                <c:pt idx="1">
                  <c:v>13</c:v>
                </c:pt>
                <c:pt idx="2">
                  <c:v>12</c:v>
                </c:pt>
                <c:pt idx="3">
                  <c:v>17</c:v>
                </c:pt>
                <c:pt idx="4">
                  <c:v>12</c:v>
                </c:pt>
                <c:pt idx="5">
                  <c:v>39</c:v>
                </c:pt>
                <c:pt idx="6">
                  <c:v>29</c:v>
                </c:pt>
                <c:pt idx="7">
                  <c:v>23</c:v>
                </c:pt>
                <c:pt idx="8">
                  <c:v>23</c:v>
                </c:pt>
                <c:pt idx="9">
                  <c:v>22</c:v>
                </c:pt>
                <c:pt idx="10">
                  <c:v>12</c:v>
                </c:pt>
                <c:pt idx="11">
                  <c:v>71</c:v>
                </c:pt>
                <c:pt idx="12">
                  <c:v>71</c:v>
                </c:pt>
                <c:pt idx="13">
                  <c:v>23</c:v>
                </c:pt>
                <c:pt idx="14">
                  <c:v>22</c:v>
                </c:pt>
                <c:pt idx="15">
                  <c:v>10</c:v>
                </c:pt>
                <c:pt idx="16">
                  <c:v>150</c:v>
                </c:pt>
                <c:pt idx="17">
                  <c:v>123</c:v>
                </c:pt>
                <c:pt idx="18">
                  <c:v>23</c:v>
                </c:pt>
                <c:pt idx="19">
                  <c:v>124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868736"/>
        <c:axId val="250860288"/>
      </c:barChart>
      <c:lineChart>
        <c:grouping val="standard"/>
        <c:varyColors val="0"/>
        <c:ser>
          <c:idx val="1"/>
          <c:order val="1"/>
          <c:tx>
            <c:strRef>
              <c:f>-log10(FDR)</c:f>
              <c:strCache>
                <c:ptCount val="1"/>
                <c:pt idx="0">
                  <c:v>-log10(FDR)</c:v>
                </c:pt>
              </c:strCache>
            </c:strRef>
          </c:tx>
          <c:spPr>
            <a:ln w="12700" cap="rnd" cmpd="sng" algn="ctr">
              <a:solidFill>
                <a:srgbClr val="C00000"/>
              </a:solidFill>
              <a:prstDash val="solid"/>
              <a:round/>
            </a:ln>
          </c:spPr>
          <c:marker>
            <c:symbol val="diamond"/>
            <c:size val="3"/>
            <c:spPr>
              <a:solidFill>
                <a:srgbClr val="C00000"/>
              </a:solidFill>
            </c:spPr>
          </c:marker>
          <c:dLbls>
            <c:delete val="1"/>
          </c:dLbls>
          <c:val>
            <c:numRef>
              <c:f>GO富集分析统计表!$I$2:$I$21</c:f>
              <c:numCache>
                <c:formatCode>General</c:formatCode>
                <c:ptCount val="20"/>
                <c:pt idx="0">
                  <c:v>3.27739937684179</c:v>
                </c:pt>
                <c:pt idx="1">
                  <c:v>3.27739937684179</c:v>
                </c:pt>
                <c:pt idx="2">
                  <c:v>3.27739937684179</c:v>
                </c:pt>
                <c:pt idx="3">
                  <c:v>3.27739937684179</c:v>
                </c:pt>
                <c:pt idx="4">
                  <c:v>3.27739937684179</c:v>
                </c:pt>
                <c:pt idx="5">
                  <c:v>3.27739937684179</c:v>
                </c:pt>
                <c:pt idx="6">
                  <c:v>3.27739937684179</c:v>
                </c:pt>
                <c:pt idx="7">
                  <c:v>3.27739937684179</c:v>
                </c:pt>
                <c:pt idx="8">
                  <c:v>3.27739937684179</c:v>
                </c:pt>
                <c:pt idx="9">
                  <c:v>3.27739937684179</c:v>
                </c:pt>
                <c:pt idx="10">
                  <c:v>3.27739937684179</c:v>
                </c:pt>
                <c:pt idx="11">
                  <c:v>3.27739937684179</c:v>
                </c:pt>
                <c:pt idx="12">
                  <c:v>3.27739937684179</c:v>
                </c:pt>
                <c:pt idx="13">
                  <c:v>3.27739937684179</c:v>
                </c:pt>
                <c:pt idx="14">
                  <c:v>3.27739937684179</c:v>
                </c:pt>
                <c:pt idx="15">
                  <c:v>3.27739937684179</c:v>
                </c:pt>
                <c:pt idx="16">
                  <c:v>3.27739937684179</c:v>
                </c:pt>
                <c:pt idx="17">
                  <c:v>3.27739937684179</c:v>
                </c:pt>
                <c:pt idx="18">
                  <c:v>3.27739937684179</c:v>
                </c:pt>
                <c:pt idx="19">
                  <c:v>3.27739937684179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9201280"/>
        <c:axId val="257765376"/>
      </c:lineChart>
      <c:catAx>
        <c:axId val="240868736"/>
        <c:scaling>
          <c:orientation val="minMax"/>
        </c:scaling>
        <c:delete val="0"/>
        <c:axPos val="b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50860288"/>
        <c:crosses val="autoZero"/>
        <c:auto val="1"/>
        <c:lblAlgn val="ctr"/>
        <c:lblOffset val="100"/>
        <c:noMultiLvlLbl val="0"/>
      </c:catAx>
      <c:valAx>
        <c:axId val="250860288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40868736"/>
        <c:crosses val="autoZero"/>
        <c:crossBetween val="between"/>
      </c:valAx>
      <c:catAx>
        <c:axId val="259201280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57765376"/>
        <c:crosses val="autoZero"/>
        <c:auto val="1"/>
        <c:lblAlgn val="ctr"/>
        <c:lblOffset val="100"/>
        <c:noMultiLvlLbl val="0"/>
      </c:catAx>
      <c:valAx>
        <c:axId val="257765376"/>
        <c:scaling>
          <c:orientation val="minMax"/>
        </c:scaling>
        <c:delete val="0"/>
        <c:axPos val="r"/>
        <c:numFmt formatCode="#,##0.00;[Red]\-#,##0.00" sourceLinked="0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59201280"/>
        <c:crosses val="max"/>
        <c:crossBetween val="between"/>
      </c:valAx>
    </c:plotArea>
    <c:legend>
      <c:legendPos val="r"/>
      <c:layout>
        <c:manualLayout>
          <c:xMode val="edge"/>
          <c:yMode val="edge"/>
          <c:x val="0.184833683166949"/>
          <c:y val="0.00201082677165355"/>
          <c:w val="0.312936623125306"/>
          <c:h val="0.060871726140615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 sz="80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515438754869"/>
          <c:y val="0.0393705601410381"/>
          <c:w val="0.656887339719479"/>
          <c:h val="0.5104343832020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Number</c:f>
              <c:strCache>
                <c:ptCount val="1"/>
                <c:pt idx="0">
                  <c:v>Number</c:v>
                </c:pt>
              </c:strCache>
            </c:strRef>
          </c:tx>
          <c:spPr>
            <a:solidFill>
              <a:srgbClr val="00863D"/>
            </a:solidFill>
          </c:spPr>
          <c:invertIfNegative val="0"/>
          <c:dLbls>
            <c:delete val="1"/>
          </c:dLbls>
          <c:cat>
            <c:strRef>
              <c:f>GO富集分析统计表!$D$2:$D$21</c:f>
              <c:strCache>
                <c:ptCount val="20"/>
                <c:pt idx="0">
                  <c:v>nucleic acid binding transcription factor activity:MF</c:v>
                </c:pt>
                <c:pt idx="1">
                  <c:v>transcription factor activity, sequence-specific DNA binding:MF</c:v>
                </c:pt>
                <c:pt idx="2">
                  <c:v>circadian rhythm:BP</c:v>
                </c:pt>
                <c:pt idx="3">
                  <c:v>rhythmic process:BP</c:v>
                </c:pt>
                <c:pt idx="4">
                  <c:v>response to abiotic stimulus:BP</c:v>
                </c:pt>
                <c:pt idx="5">
                  <c:v>cellular response to heat:BP</c:v>
                </c:pt>
                <c:pt idx="6">
                  <c:v>response to blue light:BP</c:v>
                </c:pt>
                <c:pt idx="7">
                  <c:v>phototropism:BP</c:v>
                </c:pt>
                <c:pt idx="8">
                  <c:v>response to light stimulus:BP</c:v>
                </c:pt>
                <c:pt idx="9">
                  <c:v>response to radiation:BP</c:v>
                </c:pt>
                <c:pt idx="10">
                  <c:v>negative regulation of gene silencing:BP</c:v>
                </c:pt>
                <c:pt idx="11">
                  <c:v>negative regulation of chromatin silencing:BP</c:v>
                </c:pt>
                <c:pt idx="12">
                  <c:v>positive regulation of gene expression, epigenetic:BP</c:v>
                </c:pt>
                <c:pt idx="13">
                  <c:v>reproduction:BP</c:v>
                </c:pt>
                <c:pt idx="14">
                  <c:v>anther development:BP</c:v>
                </c:pt>
                <c:pt idx="15">
                  <c:v>nucleosome positioning:BP</c:v>
                </c:pt>
                <c:pt idx="16">
                  <c:v>response to heat:BP</c:v>
                </c:pt>
                <c:pt idx="17">
                  <c:v>chromatin assembly:BP</c:v>
                </c:pt>
                <c:pt idx="18">
                  <c:v>sequence-specific DNA binding:MF</c:v>
                </c:pt>
                <c:pt idx="19">
                  <c:v>unfolded protein binding:MF</c:v>
                </c:pt>
              </c:strCache>
            </c:strRef>
          </c:cat>
          <c:val>
            <c:numRef>
              <c:f>GO富集分析统计表!$A$2:$A$21</c:f>
              <c:numCache>
                <c:formatCode>General</c:formatCode>
                <c:ptCount val="20"/>
                <c:pt idx="0">
                  <c:v>15</c:v>
                </c:pt>
                <c:pt idx="1">
                  <c:v>15</c:v>
                </c:pt>
                <c:pt idx="2">
                  <c:v>4</c:v>
                </c:pt>
                <c:pt idx="3">
                  <c:v>4</c:v>
                </c:pt>
                <c:pt idx="4">
                  <c:v>13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8</c:v>
                </c:pt>
                <c:pt idx="9">
                  <c:v>8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5</c:v>
                </c:pt>
                <c:pt idx="17">
                  <c:v>2</c:v>
                </c:pt>
                <c:pt idx="18">
                  <c:v>9</c:v>
                </c:pt>
                <c:pt idx="1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8587520"/>
        <c:axId val="218589440"/>
      </c:barChart>
      <c:lineChart>
        <c:grouping val="standard"/>
        <c:varyColors val="0"/>
        <c:ser>
          <c:idx val="1"/>
          <c:order val="1"/>
          <c:tx>
            <c:strRef>
              <c:f>-log10(FDR)</c:f>
              <c:strCache>
                <c:ptCount val="1"/>
                <c:pt idx="0">
                  <c:v>-log10(FDR)</c:v>
                </c:pt>
              </c:strCache>
            </c:strRef>
          </c:tx>
          <c:spPr>
            <a:ln w="12700" cap="rnd" cmpd="sng" algn="ctr">
              <a:solidFill>
                <a:srgbClr val="C00000"/>
              </a:solidFill>
              <a:prstDash val="solid"/>
              <a:round/>
            </a:ln>
          </c:spPr>
          <c:marker>
            <c:symbol val="diamond"/>
            <c:size val="3"/>
            <c:spPr>
              <a:solidFill>
                <a:srgbClr val="C00000"/>
              </a:solidFill>
            </c:spPr>
          </c:marker>
          <c:dLbls>
            <c:delete val="1"/>
          </c:dLbls>
          <c:val>
            <c:numRef>
              <c:f>GO富集分析统计表!$I$2:$I$21</c:f>
              <c:numCache>
                <c:formatCode>General</c:formatCode>
                <c:ptCount val="20"/>
                <c:pt idx="0">
                  <c:v>2.88473707655844</c:v>
                </c:pt>
                <c:pt idx="1">
                  <c:v>2.88473707655844</c:v>
                </c:pt>
                <c:pt idx="2">
                  <c:v>2.49418912848779</c:v>
                </c:pt>
                <c:pt idx="3">
                  <c:v>2.47721525817364</c:v>
                </c:pt>
                <c:pt idx="4">
                  <c:v>1.61195802710706</c:v>
                </c:pt>
                <c:pt idx="5">
                  <c:v>1.4963587762154</c:v>
                </c:pt>
                <c:pt idx="6">
                  <c:v>1.4963587762154</c:v>
                </c:pt>
                <c:pt idx="7">
                  <c:v>1.4963587762154</c:v>
                </c:pt>
                <c:pt idx="8">
                  <c:v>1.17635358268715</c:v>
                </c:pt>
                <c:pt idx="9">
                  <c:v>1.11818587962407</c:v>
                </c:pt>
                <c:pt idx="10">
                  <c:v>1.11818587962407</c:v>
                </c:pt>
                <c:pt idx="11">
                  <c:v>1.11818587962407</c:v>
                </c:pt>
                <c:pt idx="12">
                  <c:v>1.11818587962407</c:v>
                </c:pt>
                <c:pt idx="13">
                  <c:v>1.11818587962407</c:v>
                </c:pt>
                <c:pt idx="14">
                  <c:v>1.11818587962407</c:v>
                </c:pt>
                <c:pt idx="15">
                  <c:v>1.11818587962407</c:v>
                </c:pt>
                <c:pt idx="16">
                  <c:v>1.09228787784916</c:v>
                </c:pt>
                <c:pt idx="17">
                  <c:v>1.04035174059618</c:v>
                </c:pt>
                <c:pt idx="18">
                  <c:v>0.907582481816465</c:v>
                </c:pt>
                <c:pt idx="19">
                  <c:v>0.844607076963513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8592768"/>
        <c:axId val="218591232"/>
      </c:lineChart>
      <c:catAx>
        <c:axId val="218587520"/>
        <c:scaling>
          <c:orientation val="minMax"/>
        </c:scaling>
        <c:delete val="0"/>
        <c:axPos val="b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7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18589440"/>
        <c:crosses val="autoZero"/>
        <c:auto val="1"/>
        <c:lblAlgn val="ctr"/>
        <c:lblOffset val="100"/>
        <c:noMultiLvlLbl val="0"/>
      </c:catAx>
      <c:valAx>
        <c:axId val="218589440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18587520"/>
        <c:crosses val="autoZero"/>
        <c:crossBetween val="between"/>
      </c:valAx>
      <c:catAx>
        <c:axId val="218592768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18591232"/>
        <c:crosses val="autoZero"/>
        <c:auto val="1"/>
        <c:lblAlgn val="ctr"/>
        <c:lblOffset val="100"/>
        <c:noMultiLvlLbl val="0"/>
      </c:catAx>
      <c:valAx>
        <c:axId val="218591232"/>
        <c:scaling>
          <c:orientation val="minMax"/>
        </c:scaling>
        <c:delete val="0"/>
        <c:axPos val="r"/>
        <c:numFmt formatCode="#,##0.00;[Red]\-#,##0.00" sourceLinked="0"/>
        <c:majorTickMark val="in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18592768"/>
        <c:crosses val="max"/>
        <c:crossBetween val="between"/>
      </c:valAx>
    </c:plotArea>
    <c:legend>
      <c:legendPos val="r"/>
      <c:layout>
        <c:manualLayout>
          <c:xMode val="edge"/>
          <c:yMode val="edge"/>
          <c:x val="0.273713528404663"/>
          <c:y val="0.014739621332775"/>
          <c:w val="0.312936623125305"/>
          <c:h val="0.060871726140615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 sz="800">
          <a:latin typeface="Times New Roman" panose="02020603050405020304" charset="0"/>
          <a:cs typeface="Times New Roman" panose="02020603050405020304" charset="0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</Words>
  <Characters>95</Characters>
  <Lines>1</Lines>
  <Paragraphs>1</Paragraphs>
  <TotalTime>121</TotalTime>
  <ScaleCrop>false</ScaleCrop>
  <LinksUpToDate>false</LinksUpToDate>
  <CharactersWithSpaces>119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2020-08-18T06:40:00Z</dcterms:created>
  <dc:creator>王晓</dc:creator>
  <cp:lastModifiedBy>小</cp:lastModifiedBy>
  <dcterms:modified xsi:type="dcterms:W3CDTF">2022-07-15T09:24:19Z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56B143826B824BC3BBF48E333B453FFB</vt:lpwstr>
  </property>
</Properties>
</file>