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233" w:type="dxa"/>
        <w:tblLook w:val="04A0" w:firstRow="1" w:lastRow="0" w:firstColumn="1" w:lastColumn="0" w:noHBand="0" w:noVBand="1"/>
      </w:tblPr>
      <w:tblGrid>
        <w:gridCol w:w="2780"/>
        <w:gridCol w:w="1890"/>
        <w:gridCol w:w="1664"/>
        <w:gridCol w:w="899"/>
      </w:tblGrid>
      <w:tr w:rsidR="00FB2ED5" w:rsidRPr="00FB2ED5" w:rsidTr="00FB2ED5">
        <w:trPr>
          <w:trHeight w:val="420"/>
        </w:trPr>
        <w:tc>
          <w:tcPr>
            <w:tcW w:w="7233" w:type="dxa"/>
            <w:gridSpan w:val="4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b/>
                <w:bCs/>
                <w:sz w:val="20"/>
                <w:szCs w:val="20"/>
              </w:rPr>
              <w:t>Table 1. Spondylolisthesis vs No spondylolisthesis: Patient Demographics, Pre-operative Characteristics, Spinal Deformity Measurements, Post-operative Outcomes</w:t>
            </w:r>
          </w:p>
        </w:tc>
      </w:tr>
      <w:tr w:rsidR="00FB2ED5" w:rsidRPr="00FB2ED5" w:rsidTr="00FB2ED5">
        <w:trPr>
          <w:trHeight w:val="15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No Spondylolisthesis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Spondylolisthesis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P-value</w:t>
            </w:r>
          </w:p>
        </w:tc>
      </w:tr>
      <w:tr w:rsidR="00FB2ED5" w:rsidRPr="00FB2ED5" w:rsidTr="00FB2ED5">
        <w:trPr>
          <w:trHeight w:val="40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n=44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n=49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b/>
                <w:bCs/>
                <w:sz w:val="20"/>
                <w:szCs w:val="20"/>
              </w:rPr>
              <w:t>Patient Characteristics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Sex, Female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79.5% (35)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77.3% (34)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0.64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Age, Mean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69.0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71.4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0.19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BMI, Mean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29.7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28.6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0.33</w:t>
            </w:r>
          </w:p>
        </w:tc>
      </w:tr>
      <w:tr w:rsidR="00FB2ED5" w:rsidRPr="00FB2ED5" w:rsidTr="00FB2ED5">
        <w:trPr>
          <w:trHeight w:val="96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Osteoporosis/</w:t>
            </w:r>
            <w:proofErr w:type="spellStart"/>
            <w:r w:rsidRPr="00FB2ED5">
              <w:rPr>
                <w:sz w:val="20"/>
                <w:szCs w:val="20"/>
              </w:rPr>
              <w:t>penia</w:t>
            </w:r>
            <w:proofErr w:type="spellEnd"/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22.7% (10)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53.1% (26)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0.002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Laterality (Right)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20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25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0.60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 Pre-op Characteristics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ROM Less Than 0-120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45.5% (20)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57.1% (28)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0.26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Arc of Motion, Mean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111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113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0.52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Opiate Use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11.4% (5)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12.2% (6)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0.90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Coronal Deformity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70.5% (31)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65.3% (32) 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0.60</w:t>
            </w: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b/>
                <w:bCs/>
                <w:sz w:val="20"/>
                <w:szCs w:val="20"/>
              </w:rPr>
              <w:t> Measurements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Mismatch Deformity (PI-LL&gt;10)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12.5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22.2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&lt;0.001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Pelvic Incidence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53.3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61.7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&lt;0.001</w:t>
            </w: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 xml:space="preserve">Lumbar Lordosis 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43.9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49.4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0.21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Pelvic Tilt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16.9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24.7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&lt;0.001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 xml:space="preserve">Sacral Slope 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37.2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36.6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0.81</w:t>
            </w: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b/>
                <w:bCs/>
                <w:sz w:val="20"/>
                <w:szCs w:val="20"/>
              </w:rPr>
              <w:t> Outcomes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  <w:tr w:rsidR="00FB2ED5" w:rsidRPr="00FB2ED5" w:rsidTr="00FB2ED5">
        <w:trPr>
          <w:trHeight w:val="3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MUA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0.0% (0)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12.2% (6)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0.016</w:t>
            </w: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ROM Less Than 0-120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68.2% (30)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42.9% (21)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&lt;0.001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Arc of Motion, Mean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118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111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0.024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Delta Arc of Motion, Mean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110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104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0.21</w:t>
            </w:r>
          </w:p>
        </w:tc>
      </w:tr>
      <w:tr w:rsidR="00FB2ED5" w:rsidRPr="00FB2ED5" w:rsidTr="00FB2ED5">
        <w:trPr>
          <w:trHeight w:val="258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Revisions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4.55% (2)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0% (0)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0.13</w:t>
            </w:r>
          </w:p>
        </w:tc>
      </w:tr>
      <w:tr w:rsidR="00FB2ED5" w:rsidRPr="00FB2ED5" w:rsidTr="00FB2ED5">
        <w:trPr>
          <w:trHeight w:val="249"/>
        </w:trPr>
        <w:tc>
          <w:tcPr>
            <w:tcW w:w="278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Flexion contracture</w:t>
            </w:r>
          </w:p>
        </w:tc>
        <w:tc>
          <w:tcPr>
            <w:tcW w:w="1890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11.4% (5)</w:t>
            </w:r>
          </w:p>
        </w:tc>
        <w:tc>
          <w:tcPr>
            <w:tcW w:w="1664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12.2% (6)</w:t>
            </w:r>
          </w:p>
        </w:tc>
        <w:tc>
          <w:tcPr>
            <w:tcW w:w="899" w:type="dxa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  <w:r w:rsidRPr="00FB2ED5">
              <w:rPr>
                <w:sz w:val="20"/>
                <w:szCs w:val="20"/>
              </w:rPr>
              <w:t>0.90</w:t>
            </w:r>
          </w:p>
        </w:tc>
      </w:tr>
      <w:tr w:rsidR="00FB2ED5" w:rsidRPr="00FB2ED5" w:rsidTr="00FB2ED5">
        <w:trPr>
          <w:trHeight w:val="40"/>
        </w:trPr>
        <w:tc>
          <w:tcPr>
            <w:tcW w:w="7233" w:type="dxa"/>
            <w:gridSpan w:val="4"/>
            <w:hideMark/>
          </w:tcPr>
          <w:p w:rsidR="00FB2ED5" w:rsidRPr="00FB2ED5" w:rsidRDefault="00FB2ED5" w:rsidP="00FB2ED5">
            <w:pPr>
              <w:spacing w:after="160"/>
              <w:rPr>
                <w:sz w:val="20"/>
                <w:szCs w:val="20"/>
              </w:rPr>
            </w:pPr>
          </w:p>
        </w:tc>
      </w:tr>
    </w:tbl>
    <w:p w:rsidR="00792710" w:rsidRPr="00FB2ED5" w:rsidRDefault="00EA020E" w:rsidP="00FB2ED5">
      <w:pPr>
        <w:spacing w:line="240" w:lineRule="auto"/>
        <w:rPr>
          <w:sz w:val="20"/>
          <w:szCs w:val="20"/>
        </w:rPr>
      </w:pPr>
    </w:p>
    <w:p w:rsidR="00FB2ED5" w:rsidRDefault="00FB2ED5">
      <w:pPr>
        <w:spacing w:line="240" w:lineRule="auto"/>
        <w:rPr>
          <w:sz w:val="20"/>
          <w:szCs w:val="20"/>
        </w:rPr>
      </w:pPr>
    </w:p>
    <w:tbl>
      <w:tblPr>
        <w:tblStyle w:val="TableGrid"/>
        <w:tblW w:w="9892" w:type="dxa"/>
        <w:tblLayout w:type="fixed"/>
        <w:tblLook w:val="04A0" w:firstRow="1" w:lastRow="0" w:firstColumn="1" w:lastColumn="0" w:noHBand="0" w:noVBand="1"/>
      </w:tblPr>
      <w:tblGrid>
        <w:gridCol w:w="1682"/>
        <w:gridCol w:w="848"/>
        <w:gridCol w:w="1376"/>
        <w:gridCol w:w="682"/>
        <w:gridCol w:w="854"/>
        <w:gridCol w:w="1259"/>
        <w:gridCol w:w="682"/>
        <w:gridCol w:w="579"/>
        <w:gridCol w:w="1246"/>
        <w:gridCol w:w="684"/>
      </w:tblGrid>
      <w:tr w:rsidR="00EA020E" w:rsidRPr="00EA020E" w:rsidTr="00EA020E">
        <w:trPr>
          <w:trHeight w:val="261"/>
        </w:trPr>
        <w:tc>
          <w:tcPr>
            <w:tcW w:w="9892" w:type="dxa"/>
            <w:gridSpan w:val="10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bookmarkStart w:id="0" w:name="_GoBack"/>
            <w:r w:rsidRPr="00EA020E">
              <w:rPr>
                <w:b/>
                <w:bCs/>
                <w:sz w:val="20"/>
                <w:szCs w:val="20"/>
              </w:rPr>
              <w:lastRenderedPageBreak/>
              <w:t xml:space="preserve">Table 2. Regression Analysis: Spondylolisthesis and Mismatch Deformity Affect Clinical Outcomes After TKA </w:t>
            </w:r>
          </w:p>
        </w:tc>
      </w:tr>
      <w:tr w:rsidR="00EA020E" w:rsidRPr="00EA020E" w:rsidTr="00EA020E">
        <w:trPr>
          <w:trHeight w:val="470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Arc of Motion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113" w:type="dxa"/>
            <w:gridSpan w:val="2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Delta Arc of Motion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Terminal Extension Lacking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</w:p>
        </w:tc>
      </w:tr>
      <w:tr w:rsidR="00EA020E" w:rsidRPr="00EA020E" w:rsidTr="00EA020E">
        <w:trPr>
          <w:trHeight w:val="431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Est. 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95% CI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p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Est. 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95% CI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p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OR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95% CI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p</w:t>
            </w:r>
          </w:p>
        </w:tc>
      </w:tr>
      <w:tr w:rsidR="00EA020E" w:rsidRPr="00EA020E" w:rsidTr="00EA020E">
        <w:trPr>
          <w:trHeight w:val="448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Spondylolisthesis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-4.51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(-11.8, 2.78)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0.22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-5.21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(-65.7, 55.3)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0.87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0.61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(0.11, 3.37)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0.56</w:t>
            </w:r>
          </w:p>
        </w:tc>
      </w:tr>
      <w:tr w:rsidR="00EA020E" w:rsidRPr="00EA020E" w:rsidTr="00EA020E">
        <w:trPr>
          <w:trHeight w:val="431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Preoperative AOM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0.07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(-0.17, 0.3)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0.57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-8.52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(-18.3, 1.25)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0.089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0.99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(0.95, 1.05)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0.83</w:t>
            </w:r>
          </w:p>
        </w:tc>
      </w:tr>
      <w:tr w:rsidR="00EA020E" w:rsidRPr="00EA020E" w:rsidTr="00EA020E">
        <w:trPr>
          <w:trHeight w:val="448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Mismatch Deformity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-15.27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(-22.01, -8.53)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0.001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-11.95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(-21, -2.89)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0.011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12.3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(1.24, 122)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0.030</w:t>
            </w:r>
          </w:p>
        </w:tc>
      </w:tr>
      <w:tr w:rsidR="00EA020E" w:rsidRPr="00EA020E" w:rsidTr="00EA020E">
        <w:trPr>
          <w:trHeight w:val="448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Sacral Slope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0.27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(-0.06, 0.6)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0.11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0.32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(-0.12, 0.77)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0.16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1.01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(0.93, 1.09)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0.90</w:t>
            </w:r>
          </w:p>
        </w:tc>
      </w:tr>
      <w:tr w:rsidR="00EA020E" w:rsidRPr="00EA020E" w:rsidTr="00EA020E">
        <w:trPr>
          <w:trHeight w:val="431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Osteoporosis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0.66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(-6.86, 8.18)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0.86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4.36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(-5.73, 14.5)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0.40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0.97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(0.17, 5.6)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0.97</w:t>
            </w:r>
          </w:p>
        </w:tc>
      </w:tr>
      <w:tr w:rsidR="00EA020E" w:rsidRPr="00EA020E" w:rsidTr="00EA020E">
        <w:trPr>
          <w:trHeight w:val="448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Opioids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-8.36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(-18.73, 2.01)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0.11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5.13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(-8.12, 18.4)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0.45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0.77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(0.07, 8.49)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0.83</w:t>
            </w:r>
          </w:p>
        </w:tc>
      </w:tr>
      <w:tr w:rsidR="00EA020E" w:rsidRPr="00EA020E" w:rsidTr="00EA020E">
        <w:trPr>
          <w:trHeight w:val="714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Body Mass Index (BMI)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-0.12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(-0.77, 0.53)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0.71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0.01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(-0.86, 0.89)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0.97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1.03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(0.88, 1.2)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0.72</w:t>
            </w:r>
          </w:p>
        </w:tc>
      </w:tr>
      <w:tr w:rsidR="00EA020E" w:rsidRPr="00EA020E" w:rsidTr="00EA020E">
        <w:trPr>
          <w:trHeight w:val="431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0.04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(-0.38, 0.47)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0.84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0.13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(-0.45, 0.71)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0.66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1.04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(0.94, 1.14)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0.461</w:t>
            </w:r>
          </w:p>
        </w:tc>
      </w:tr>
      <w:tr w:rsidR="00EA020E" w:rsidRPr="00EA020E" w:rsidTr="00EA020E">
        <w:trPr>
          <w:trHeight w:val="448"/>
        </w:trPr>
        <w:tc>
          <w:tcPr>
            <w:tcW w:w="1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84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-4.66</w:t>
            </w:r>
          </w:p>
        </w:tc>
        <w:tc>
          <w:tcPr>
            <w:tcW w:w="137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(-12.2, 2.88)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0.22</w:t>
            </w:r>
          </w:p>
        </w:tc>
        <w:tc>
          <w:tcPr>
            <w:tcW w:w="854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-6.73</w:t>
            </w:r>
          </w:p>
        </w:tc>
        <w:tc>
          <w:tcPr>
            <w:tcW w:w="1258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(-16.9, 3.45)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0.19</w:t>
            </w:r>
          </w:p>
        </w:tc>
        <w:tc>
          <w:tcPr>
            <w:tcW w:w="579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1.98</w:t>
            </w:r>
          </w:p>
        </w:tc>
        <w:tc>
          <w:tcPr>
            <w:tcW w:w="1245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(0.34, 11.4)</w:t>
            </w:r>
          </w:p>
        </w:tc>
        <w:tc>
          <w:tcPr>
            <w:tcW w:w="682" w:type="dxa"/>
            <w:hideMark/>
          </w:tcPr>
          <w:p w:rsidR="00EA020E" w:rsidRPr="00EA020E" w:rsidRDefault="00EA020E" w:rsidP="00EA020E">
            <w:pPr>
              <w:spacing w:after="160"/>
              <w:rPr>
                <w:sz w:val="20"/>
                <w:szCs w:val="20"/>
              </w:rPr>
            </w:pPr>
            <w:r w:rsidRPr="00EA020E">
              <w:rPr>
                <w:sz w:val="20"/>
                <w:szCs w:val="20"/>
              </w:rPr>
              <w:t>0.44</w:t>
            </w:r>
          </w:p>
        </w:tc>
      </w:tr>
      <w:bookmarkEnd w:id="0"/>
    </w:tbl>
    <w:p w:rsidR="00EA020E" w:rsidRPr="00FB2ED5" w:rsidRDefault="00EA020E">
      <w:pPr>
        <w:spacing w:line="240" w:lineRule="auto"/>
        <w:rPr>
          <w:sz w:val="20"/>
          <w:szCs w:val="20"/>
        </w:rPr>
      </w:pPr>
    </w:p>
    <w:sectPr w:rsidR="00EA020E" w:rsidRPr="00FB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D5"/>
    <w:rsid w:val="00394C9C"/>
    <w:rsid w:val="00EA020E"/>
    <w:rsid w:val="00F83CF4"/>
    <w:rsid w:val="00F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DCB3"/>
  <w15:chartTrackingRefBased/>
  <w15:docId w15:val="{596C69E2-9A4B-476E-8F80-9494EDDF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Sheppard, William L. JR.</dc:creator>
  <cp:keywords/>
  <dc:description/>
  <cp:lastModifiedBy>Sheppard, William L. JR.</cp:lastModifiedBy>
  <cp:revision>2</cp:revision>
  <dcterms:created xsi:type="dcterms:W3CDTF">2022-07-12T21:10:00Z</dcterms:created>
  <dcterms:modified xsi:type="dcterms:W3CDTF">2022-07-12T21:35:00Z</dcterms:modified>
</cp:coreProperties>
</file>