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E9E" w:rsidRPr="002C73ED" w:rsidRDefault="00D02E9E" w:rsidP="002C73ED">
      <w:pPr>
        <w:jc w:val="center"/>
        <w:rPr>
          <w:rFonts w:ascii="Times New Roman" w:hAnsi="Times New Roman" w:cs="Times New Roman"/>
          <w:sz w:val="13"/>
          <w:szCs w:val="13"/>
        </w:rPr>
      </w:pPr>
      <w:r w:rsidRPr="002C73ED">
        <w:rPr>
          <w:rFonts w:ascii="Times New Roman" w:hAnsi="Times New Roman" w:cs="Times New Roman"/>
          <w:sz w:val="13"/>
          <w:szCs w:val="13"/>
        </w:rPr>
        <w:t>Top 10 pathways corresponding to upregulated and downregulated circRNAs in T98G</w:t>
      </w:r>
      <w:bookmarkStart w:id="0" w:name="_GoBack"/>
      <w:bookmarkEnd w:id="0"/>
    </w:p>
    <w:tbl>
      <w:tblPr>
        <w:tblStyle w:val="a7"/>
        <w:tblW w:w="0" w:type="auto"/>
        <w:tblInd w:w="658" w:type="dxa"/>
        <w:tblLook w:val="04A0" w:firstRow="1" w:lastRow="0" w:firstColumn="1" w:lastColumn="0" w:noHBand="0" w:noVBand="1"/>
      </w:tblPr>
      <w:tblGrid>
        <w:gridCol w:w="1602"/>
        <w:gridCol w:w="1313"/>
        <w:gridCol w:w="1369"/>
        <w:gridCol w:w="1369"/>
        <w:gridCol w:w="1341"/>
      </w:tblGrid>
      <w:tr w:rsidR="00D02E9E" w:rsidRPr="002C73ED" w:rsidTr="00E629D0">
        <w:tc>
          <w:tcPr>
            <w:tcW w:w="1602" w:type="dxa"/>
            <w:tcBorders>
              <w:left w:val="nil"/>
              <w:bottom w:val="single" w:sz="4" w:space="0" w:color="auto"/>
              <w:right w:val="nil"/>
            </w:tcBorders>
          </w:tcPr>
          <w:p w:rsidR="00D02E9E" w:rsidRPr="002C73ED" w:rsidRDefault="00D02E9E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Pathway</w:t>
            </w:r>
          </w:p>
        </w:tc>
        <w:tc>
          <w:tcPr>
            <w:tcW w:w="1313" w:type="dxa"/>
            <w:tcBorders>
              <w:left w:val="nil"/>
              <w:bottom w:val="single" w:sz="4" w:space="0" w:color="auto"/>
              <w:right w:val="nil"/>
            </w:tcBorders>
          </w:tcPr>
          <w:p w:rsidR="00D02E9E" w:rsidRPr="002C73ED" w:rsidRDefault="00D02E9E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i/>
                <w:sz w:val="13"/>
                <w:szCs w:val="13"/>
              </w:rPr>
              <w:t>P</w:t>
            </w: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1369" w:type="dxa"/>
            <w:tcBorders>
              <w:left w:val="nil"/>
              <w:bottom w:val="single" w:sz="4" w:space="0" w:color="auto"/>
              <w:right w:val="nil"/>
            </w:tcBorders>
          </w:tcPr>
          <w:p w:rsidR="00D02E9E" w:rsidRPr="002C73ED" w:rsidRDefault="00D02E9E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 xml:space="preserve">Adjusted </w:t>
            </w:r>
            <w:r w:rsidRPr="002C73ED">
              <w:rPr>
                <w:rFonts w:ascii="Times New Roman" w:hAnsi="Times New Roman" w:cs="Times New Roman"/>
                <w:i/>
                <w:sz w:val="13"/>
                <w:szCs w:val="13"/>
              </w:rPr>
              <w:t>p</w:t>
            </w: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1369" w:type="dxa"/>
            <w:tcBorders>
              <w:left w:val="nil"/>
              <w:bottom w:val="single" w:sz="4" w:space="0" w:color="auto"/>
              <w:right w:val="nil"/>
            </w:tcBorders>
          </w:tcPr>
          <w:p w:rsidR="00D02E9E" w:rsidRPr="002C73ED" w:rsidRDefault="00D02E9E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Enrichment score</w:t>
            </w:r>
          </w:p>
        </w:tc>
        <w:tc>
          <w:tcPr>
            <w:tcW w:w="1341" w:type="dxa"/>
            <w:tcBorders>
              <w:left w:val="nil"/>
              <w:bottom w:val="single" w:sz="4" w:space="0" w:color="auto"/>
              <w:right w:val="nil"/>
            </w:tcBorders>
          </w:tcPr>
          <w:p w:rsidR="00D02E9E" w:rsidRPr="002C73ED" w:rsidRDefault="00D02E9E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Variation tendency</w:t>
            </w:r>
          </w:p>
        </w:tc>
      </w:tr>
      <w:tr w:rsidR="002950F5" w:rsidRPr="002C73ED" w:rsidTr="00157D8A">
        <w:tc>
          <w:tcPr>
            <w:tcW w:w="1602" w:type="dxa"/>
            <w:tcBorders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Lysine degradation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1.03×10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0.31</w:t>
            </w: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2.99</w:t>
            </w:r>
          </w:p>
        </w:tc>
        <w:tc>
          <w:tcPr>
            <w:tcW w:w="1341" w:type="dxa"/>
            <w:tcBorders>
              <w:left w:val="nil"/>
              <w:bottom w:val="nil"/>
              <w:right w:val="nil"/>
            </w:tcBorders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2950F5" w:rsidRPr="002C73ED" w:rsidTr="00157D8A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TGF-beta signaling pathway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8.40×10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0.79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2.08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2950F5" w:rsidRPr="002C73ED" w:rsidTr="00157D8A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Morphine addiction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1.16×10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0.79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1.93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2950F5" w:rsidRPr="002C73ED" w:rsidTr="00157D8A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mTOR signaling pathway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1.23×10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0.79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1.91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2950F5" w:rsidRPr="002C73ED" w:rsidTr="00157D8A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Purine metabolism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1.64×10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0.79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1.79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2950F5" w:rsidRPr="002C73ED" w:rsidTr="00157D8A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Pyrimidine metabolism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2.05×10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0.79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1.69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2950F5" w:rsidRPr="002C73ED" w:rsidTr="00157D8A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Bile secretion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2.17×10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0.79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1.66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2950F5" w:rsidRPr="002C73ED" w:rsidTr="00157D8A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Adherens junction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2.48×10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0.79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1.61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2950F5" w:rsidRPr="002C73ED" w:rsidTr="00157D8A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ABC transporters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2.79×10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0.79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1.55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2950F5" w:rsidRPr="002C73ED" w:rsidTr="00157D8A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Thyroid hormone signaling pathway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3.20×10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0.79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950F5" w:rsidRPr="002C73ED" w:rsidRDefault="002950F5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2C73ED" w:rsidRPr="002C73ED" w:rsidTr="00E629D0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Adherens junction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1.18×10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0.25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2.93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2C73ED" w:rsidRPr="002C73ED" w:rsidTr="00E629D0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RNA transport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1.79×10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0.25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2.75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2C73ED" w:rsidRPr="002C73ED" w:rsidTr="00E629D0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Viral myocarditis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2.53×10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0.25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2.60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2C73ED" w:rsidRPr="002C73ED" w:rsidTr="00E629D0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Viral carcinogenesis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5.77×10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0.43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2.24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2C73ED" w:rsidRPr="002C73ED" w:rsidTr="00E629D0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Cell adhesion molecules (CAMs)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7.94×10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0.44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2.10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2C73ED" w:rsidRPr="002C73ED" w:rsidTr="00E629D0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Endocytosis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8.89×10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0.44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2.05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2C73ED" w:rsidRPr="002C73ED" w:rsidTr="00E629D0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Allograft rejection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2.30×10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0.70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1.64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2C73ED" w:rsidRPr="002C73ED" w:rsidTr="00E629D0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Ubiquitin mediated proteolysis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2.32×10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0.70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1.63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2C73ED" w:rsidRPr="002C73ED" w:rsidTr="00E629D0"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Graft-versus-host disease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2.81×10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0.70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1.55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2C73ED" w:rsidRPr="002C73ED" w:rsidTr="00E629D0"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Leishmaniasis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3.00×10</w:t>
            </w:r>
            <w:r w:rsidRPr="002C73ED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0.70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1.52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3ED" w:rsidRPr="002C73ED" w:rsidRDefault="002C73ED" w:rsidP="002C73E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73ED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</w:tbl>
    <w:p w:rsidR="00D02E9E" w:rsidRPr="002C73ED" w:rsidRDefault="00D02E9E" w:rsidP="002C73ED">
      <w:pPr>
        <w:jc w:val="center"/>
        <w:rPr>
          <w:rFonts w:ascii="Times New Roman" w:hAnsi="Times New Roman" w:cs="Times New Roman"/>
          <w:sz w:val="13"/>
          <w:szCs w:val="13"/>
        </w:rPr>
      </w:pPr>
    </w:p>
    <w:p w:rsidR="00D378FC" w:rsidRPr="002C73ED" w:rsidRDefault="00D378FC" w:rsidP="002C73ED">
      <w:pPr>
        <w:jc w:val="center"/>
        <w:rPr>
          <w:rFonts w:ascii="Times New Roman" w:hAnsi="Times New Roman" w:cs="Times New Roman"/>
          <w:sz w:val="13"/>
          <w:szCs w:val="13"/>
        </w:rPr>
      </w:pPr>
    </w:p>
    <w:sectPr w:rsidR="00D378FC" w:rsidRPr="002C7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CC3" w:rsidRDefault="00187CC3" w:rsidP="00D02E9E">
      <w:r>
        <w:separator/>
      </w:r>
    </w:p>
  </w:endnote>
  <w:endnote w:type="continuationSeparator" w:id="0">
    <w:p w:rsidR="00187CC3" w:rsidRDefault="00187CC3" w:rsidP="00D0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CC3" w:rsidRDefault="00187CC3" w:rsidP="00D02E9E">
      <w:r>
        <w:separator/>
      </w:r>
    </w:p>
  </w:footnote>
  <w:footnote w:type="continuationSeparator" w:id="0">
    <w:p w:rsidR="00187CC3" w:rsidRDefault="00187CC3" w:rsidP="00D02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AD"/>
    <w:rsid w:val="00187CC3"/>
    <w:rsid w:val="001B448F"/>
    <w:rsid w:val="002950F5"/>
    <w:rsid w:val="002C73ED"/>
    <w:rsid w:val="00697131"/>
    <w:rsid w:val="00A444AD"/>
    <w:rsid w:val="00D02E9E"/>
    <w:rsid w:val="00D3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C099A"/>
  <w15:chartTrackingRefBased/>
  <w15:docId w15:val="{F4B10F66-8F00-49A6-97CB-3B979BD5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E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2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2E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2E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2E9E"/>
    <w:rPr>
      <w:sz w:val="18"/>
      <w:szCs w:val="18"/>
    </w:rPr>
  </w:style>
  <w:style w:type="table" w:styleId="a7">
    <w:name w:val="Table Grid"/>
    <w:basedOn w:val="a1"/>
    <w:uiPriority w:val="39"/>
    <w:rsid w:val="00D02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2021-12-19T11:32:00Z</dcterms:created>
  <dcterms:modified xsi:type="dcterms:W3CDTF">2021-12-20T15:20:00Z</dcterms:modified>
</cp:coreProperties>
</file>