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C8E2C3" w14:textId="77777777" w:rsidR="00EB0AEC" w:rsidRDefault="00EB0AEC" w:rsidP="00EB0AEC">
      <w:pPr>
        <w:pStyle w:val="Head"/>
        <w:spacing w:line="480" w:lineRule="auto"/>
      </w:pPr>
      <w:bookmarkStart w:id="0" w:name="_GoBack"/>
      <w:bookmarkEnd w:id="0"/>
      <w:r>
        <w:t xml:space="preserve">Title: Increasing Large Wildfires </w:t>
      </w:r>
      <w:r>
        <w:rPr>
          <w:rFonts w:hint="eastAsia"/>
          <w:lang w:eastAsia="zh-CN"/>
        </w:rPr>
        <w:t>o</w:t>
      </w:r>
      <w:r>
        <w:t xml:space="preserve">ver the Western United States Linked to Diminishing Sea Ice in the Arctic </w:t>
      </w:r>
    </w:p>
    <w:p w14:paraId="2CB04BC7" w14:textId="77777777" w:rsidR="00EB0AEC" w:rsidRDefault="00EB0AEC" w:rsidP="00EB0AEC">
      <w:pPr>
        <w:pStyle w:val="Authors"/>
        <w:spacing w:after="120" w:line="480" w:lineRule="auto"/>
        <w:rPr>
          <w:vertAlign w:val="superscript"/>
        </w:rPr>
      </w:pPr>
      <w:r w:rsidRPr="00987EE5">
        <w:rPr>
          <w:b/>
        </w:rPr>
        <w:t>Authors:</w:t>
      </w:r>
      <w:r>
        <w:t xml:space="preserve"> </w:t>
      </w:r>
      <w:proofErr w:type="spellStart"/>
      <w:r>
        <w:t>Yufei</w:t>
      </w:r>
      <w:proofErr w:type="spellEnd"/>
      <w:r>
        <w:t xml:space="preserve"> Zou</w:t>
      </w:r>
      <w:r w:rsidRPr="00A85A74">
        <w:rPr>
          <w:vertAlign w:val="superscript"/>
        </w:rPr>
        <w:t>1</w:t>
      </w:r>
      <w:r>
        <w:rPr>
          <w:vertAlign w:val="superscript"/>
        </w:rPr>
        <w:t>*</w:t>
      </w:r>
      <w:r>
        <w:t>, Philip J. Rasch</w:t>
      </w:r>
      <w:r w:rsidRPr="00A85A74">
        <w:rPr>
          <w:vertAlign w:val="superscript"/>
        </w:rPr>
        <w:t>1</w:t>
      </w:r>
      <w:r>
        <w:t>,</w:t>
      </w:r>
      <w:r w:rsidRPr="00A07299">
        <w:t xml:space="preserve"> </w:t>
      </w:r>
      <w:proofErr w:type="spellStart"/>
      <w:r>
        <w:t>Hailong</w:t>
      </w:r>
      <w:proofErr w:type="spellEnd"/>
      <w:r>
        <w:t xml:space="preserve"> Wang</w:t>
      </w:r>
      <w:r w:rsidRPr="00A85A74">
        <w:rPr>
          <w:vertAlign w:val="superscript"/>
        </w:rPr>
        <w:t>1</w:t>
      </w:r>
      <w:r>
        <w:rPr>
          <w:vertAlign w:val="superscript"/>
        </w:rPr>
        <w:t>*</w:t>
      </w:r>
      <w:r>
        <w:t xml:space="preserve">, </w:t>
      </w:r>
      <w:proofErr w:type="spellStart"/>
      <w:r>
        <w:t>Zuowei</w:t>
      </w:r>
      <w:proofErr w:type="spellEnd"/>
      <w:r>
        <w:t xml:space="preserve"> Xie</w:t>
      </w:r>
      <w:r w:rsidRPr="00A85A74">
        <w:rPr>
          <w:vertAlign w:val="superscript"/>
        </w:rPr>
        <w:t>2</w:t>
      </w:r>
      <w:r w:rsidRPr="00A07299">
        <w:t xml:space="preserve"> </w:t>
      </w:r>
      <w:r>
        <w:t xml:space="preserve">&amp; </w:t>
      </w:r>
      <w:proofErr w:type="spellStart"/>
      <w:r>
        <w:t>Rudong</w:t>
      </w:r>
      <w:proofErr w:type="spellEnd"/>
      <w:r>
        <w:t xml:space="preserve"> Zhang</w:t>
      </w:r>
      <w:r w:rsidRPr="00A85A74">
        <w:rPr>
          <w:vertAlign w:val="superscript"/>
        </w:rPr>
        <w:t>1</w:t>
      </w:r>
    </w:p>
    <w:p w14:paraId="0257CB37" w14:textId="77777777" w:rsidR="00EB0AEC" w:rsidRPr="008E391A" w:rsidRDefault="00EB0AEC" w:rsidP="00EB0AEC">
      <w:pPr>
        <w:pStyle w:val="Paragraph"/>
        <w:spacing w:line="480" w:lineRule="auto"/>
        <w:ind w:firstLine="0"/>
        <w:rPr>
          <w:b/>
        </w:rPr>
      </w:pPr>
      <w:r w:rsidRPr="008E391A">
        <w:rPr>
          <w:b/>
        </w:rPr>
        <w:t>Affiliations:</w:t>
      </w:r>
    </w:p>
    <w:p w14:paraId="7D1BC01D" w14:textId="77777777" w:rsidR="00EB0AEC" w:rsidRDefault="00EB0AEC" w:rsidP="00EB0AEC">
      <w:pPr>
        <w:pStyle w:val="Paragraph"/>
        <w:spacing w:line="480" w:lineRule="auto"/>
        <w:ind w:firstLine="0"/>
      </w:pPr>
      <w:r w:rsidRPr="00B43FDE">
        <w:rPr>
          <w:vertAlign w:val="superscript"/>
        </w:rPr>
        <w:t>1</w:t>
      </w:r>
      <w:r w:rsidRPr="00056F7A">
        <w:t>Atmospheric Sciences and Global Change Division, Pacific Northwest National Laboratory, Richland, WA 99354, USA</w:t>
      </w:r>
      <w:r>
        <w:t>.</w:t>
      </w:r>
    </w:p>
    <w:p w14:paraId="2CA60F27" w14:textId="77777777" w:rsidR="00EB0AEC" w:rsidRDefault="00EB0AEC" w:rsidP="00EB0AEC">
      <w:pPr>
        <w:pStyle w:val="Paragraph"/>
        <w:spacing w:line="480" w:lineRule="auto"/>
        <w:ind w:firstLine="0"/>
      </w:pPr>
      <w:r w:rsidRPr="00B43FDE">
        <w:rPr>
          <w:vertAlign w:val="superscript"/>
        </w:rPr>
        <w:t>2</w:t>
      </w:r>
      <w:r>
        <w:t>International Center for Climate and Environment Sciences, Institute of Atmospheric Physics, Chinese Academy of Sciences, Beijing, 100029, China.</w:t>
      </w:r>
    </w:p>
    <w:p w14:paraId="79A003E3" w14:textId="77777777" w:rsidR="00EB0AEC" w:rsidRDefault="00EB0AEC" w:rsidP="00EB0AEC">
      <w:pPr>
        <w:pStyle w:val="Paragraph"/>
        <w:spacing w:line="480" w:lineRule="auto"/>
        <w:ind w:firstLine="0"/>
      </w:pPr>
      <w:r>
        <w:t>*Correspondence to: Y. Zou (</w:t>
      </w:r>
      <w:r w:rsidRPr="005F298C">
        <w:t>yufei.zou@pnnl.gov</w:t>
      </w:r>
      <w:r>
        <w:t>) and H. Wang (hailong.wang@pnnl.gov).</w:t>
      </w:r>
    </w:p>
    <w:p w14:paraId="44ED6F05" w14:textId="77777777" w:rsidR="00EB0AEC" w:rsidRDefault="00EB0AEC" w:rsidP="00FF557B">
      <w:pPr>
        <w:pStyle w:val="SOMHead"/>
        <w:spacing w:line="480" w:lineRule="auto"/>
      </w:pPr>
    </w:p>
    <w:p w14:paraId="04CA5F69" w14:textId="5360D58D" w:rsidR="00FF557B" w:rsidRDefault="00FF557B" w:rsidP="00FF557B">
      <w:pPr>
        <w:pStyle w:val="SOMHead"/>
        <w:spacing w:line="480" w:lineRule="auto"/>
      </w:pPr>
      <w:r>
        <w:t>Supplementary information:</w:t>
      </w:r>
    </w:p>
    <w:p w14:paraId="62BAFF82" w14:textId="77777777" w:rsidR="00FF557B" w:rsidRDefault="00FF557B" w:rsidP="00FF557B">
      <w:pPr>
        <w:pStyle w:val="SOMContent"/>
        <w:spacing w:line="480" w:lineRule="auto"/>
      </w:pPr>
      <w:r w:rsidRPr="004313DF">
        <w:t xml:space="preserve">Supplementary </w:t>
      </w:r>
      <w:r>
        <w:t>figures 1-14</w:t>
      </w:r>
    </w:p>
    <w:p w14:paraId="3AE8F931" w14:textId="77777777" w:rsidR="00FF557B" w:rsidRDefault="00FF557B" w:rsidP="00FF557B">
      <w:pPr>
        <w:pStyle w:val="SOMContent"/>
        <w:spacing w:line="480" w:lineRule="auto"/>
      </w:pPr>
      <w:r w:rsidRPr="004313DF">
        <w:t xml:space="preserve">Supplementary </w:t>
      </w:r>
      <w:r>
        <w:t>tables 1-3</w:t>
      </w:r>
    </w:p>
    <w:p w14:paraId="16AC93E9" w14:textId="7A185831" w:rsidR="00FF557B" w:rsidRDefault="00FF557B" w:rsidP="00FF557B">
      <w:pPr>
        <w:pStyle w:val="SOMContent"/>
        <w:spacing w:line="480" w:lineRule="auto"/>
        <w:rPr>
          <w:kern w:val="28"/>
        </w:rPr>
      </w:pPr>
      <w:r>
        <w:t>References (</w:t>
      </w:r>
      <w:r w:rsidR="00296F6B">
        <w:rPr>
          <w:i/>
        </w:rPr>
        <w:t>6</w:t>
      </w:r>
      <w:r>
        <w:rPr>
          <w:i/>
        </w:rPr>
        <w:t>5</w:t>
      </w:r>
      <w:r w:rsidRPr="00A644A5">
        <w:rPr>
          <w:i/>
        </w:rPr>
        <w:t>-</w:t>
      </w:r>
      <w:r>
        <w:rPr>
          <w:i/>
        </w:rPr>
        <w:t>83</w:t>
      </w:r>
      <w:r>
        <w:t>)</w:t>
      </w:r>
    </w:p>
    <w:p w14:paraId="75B31394" w14:textId="77777777" w:rsidR="00FF557B" w:rsidRDefault="00FF557B" w:rsidP="00FF557B">
      <w:pPr>
        <w:pStyle w:val="SMText"/>
        <w:spacing w:line="480" w:lineRule="auto"/>
      </w:pPr>
    </w:p>
    <w:p w14:paraId="72030EF9" w14:textId="77777777" w:rsidR="00FF557B" w:rsidRDefault="00FF557B" w:rsidP="00FF557B">
      <w:pPr>
        <w:spacing w:line="480" w:lineRule="auto"/>
      </w:pPr>
      <w:r>
        <w:br w:type="page"/>
      </w:r>
    </w:p>
    <w:p w14:paraId="7A624A2F" w14:textId="77777777" w:rsidR="00FF557B" w:rsidRDefault="00FF557B" w:rsidP="00FF557B">
      <w:pPr>
        <w:pStyle w:val="SMcaption"/>
        <w:spacing w:line="480" w:lineRule="auto"/>
      </w:pPr>
      <w:r w:rsidRPr="00F03B62">
        <w:rPr>
          <w:noProof/>
        </w:rPr>
        <w:lastRenderedPageBreak/>
        <w:drawing>
          <wp:inline distT="0" distB="0" distL="0" distR="0" wp14:anchorId="54539806" wp14:editId="26181B06">
            <wp:extent cx="5270164" cy="3058234"/>
            <wp:effectExtent l="0" t="0" r="635" b="2540"/>
            <wp:docPr id="18" name="Content Placeholder 4">
              <a:extLst xmlns:a="http://schemas.openxmlformats.org/drawingml/2006/main">
                <a:ext uri="{FF2B5EF4-FFF2-40B4-BE49-F238E27FC236}">
                  <a16:creationId xmlns:a16="http://schemas.microsoft.com/office/drawing/2014/main" id="{F28A063C-1AD3-8C4B-81D5-C2FF9A0D968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 name="Content Placeholder 4">
                      <a:extLst>
                        <a:ext uri="{FF2B5EF4-FFF2-40B4-BE49-F238E27FC236}">
                          <a16:creationId xmlns:a16="http://schemas.microsoft.com/office/drawing/2014/main" id="{F28A063C-1AD3-8C4B-81D5-C2FF9A0D9684}"/>
                        </a:ext>
                      </a:extLst>
                    </pic:cNvPr>
                    <pic:cNvPicPr>
                      <a:picLocks noGrp="1"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0164" cy="3058234"/>
                    </a:xfrm>
                    <a:prstGeom prst="rect">
                      <a:avLst/>
                    </a:prstGeom>
                  </pic:spPr>
                </pic:pic>
              </a:graphicData>
            </a:graphic>
          </wp:inline>
        </w:drawing>
      </w:r>
    </w:p>
    <w:p w14:paraId="27C4E449" w14:textId="71A52CCE" w:rsidR="00FF557B" w:rsidRDefault="00FF557B" w:rsidP="00FF557B">
      <w:pPr>
        <w:pStyle w:val="SMcaption"/>
        <w:spacing w:line="480" w:lineRule="auto"/>
      </w:pPr>
      <w:r w:rsidRPr="00752E47">
        <w:rPr>
          <w:b/>
          <w:bCs/>
        </w:rPr>
        <w:t>Supplementary</w:t>
      </w:r>
      <w:r>
        <w:t xml:space="preserve"> </w:t>
      </w:r>
      <w:r w:rsidRPr="009B32EB">
        <w:rPr>
          <w:b/>
          <w:bCs/>
        </w:rPr>
        <w:t xml:space="preserve">Fig. </w:t>
      </w:r>
      <w:r>
        <w:rPr>
          <w:b/>
          <w:bCs/>
        </w:rPr>
        <w:t xml:space="preserve">1. </w:t>
      </w:r>
      <w:r w:rsidRPr="0099034F">
        <w:rPr>
          <w:b/>
          <w:bCs/>
          <w:color w:val="000000" w:themeColor="text1"/>
          <w:szCs w:val="24"/>
        </w:rPr>
        <w:t>Observation- and</w:t>
      </w:r>
      <w:r>
        <w:rPr>
          <w:b/>
          <w:bCs/>
          <w:color w:val="000000" w:themeColor="text1"/>
        </w:rPr>
        <w:t xml:space="preserve"> ERA5</w:t>
      </w:r>
      <w:r w:rsidRPr="0099034F">
        <w:rPr>
          <w:b/>
          <w:bCs/>
          <w:color w:val="000000" w:themeColor="text1"/>
          <w:szCs w:val="24"/>
        </w:rPr>
        <w:t xml:space="preserve"> reanalysis-based Arctic sea ice and regional fire teleconnection</w:t>
      </w:r>
      <w:r>
        <w:rPr>
          <w:b/>
          <w:bCs/>
          <w:color w:val="000000" w:themeColor="text1"/>
        </w:rPr>
        <w:t xml:space="preserve"> after removing the long-term trends</w:t>
      </w:r>
      <w:r w:rsidRPr="0099034F">
        <w:rPr>
          <w:b/>
          <w:bCs/>
          <w:color w:val="000000" w:themeColor="text1"/>
          <w:szCs w:val="24"/>
        </w:rPr>
        <w:t xml:space="preserve">. </w:t>
      </w:r>
      <w:r>
        <w:rPr>
          <w:b/>
          <w:bCs/>
          <w:color w:val="000000" w:themeColor="text1"/>
          <w:szCs w:val="24"/>
        </w:rPr>
        <w:t>a</w:t>
      </w:r>
      <w:r w:rsidRPr="0099034F">
        <w:rPr>
          <w:color w:val="000000" w:themeColor="text1"/>
          <w:szCs w:val="24"/>
        </w:rPr>
        <w:t xml:space="preserve">, spatial distributions of the correlation (shading in the Arctic) between seasonal average </w:t>
      </w:r>
      <w:r>
        <w:rPr>
          <w:color w:val="000000" w:themeColor="text1"/>
        </w:rPr>
        <w:t xml:space="preserve">detrended </w:t>
      </w:r>
      <w:r w:rsidRPr="0099034F">
        <w:rPr>
          <w:color w:val="000000" w:themeColor="text1"/>
          <w:szCs w:val="24"/>
        </w:rPr>
        <w:t xml:space="preserve">Arctic sea-ice concentrations in summer and autumn (July to October) and seasonal and regional average </w:t>
      </w:r>
      <w:r>
        <w:rPr>
          <w:color w:val="000000" w:themeColor="text1"/>
        </w:rPr>
        <w:t xml:space="preserve">detrended </w:t>
      </w:r>
      <w:r w:rsidRPr="0099034F">
        <w:rPr>
          <w:color w:val="000000" w:themeColor="text1"/>
          <w:szCs w:val="24"/>
        </w:rPr>
        <w:t xml:space="preserve">FFWI over the western U.S. in the following autumn and early winter (September to December), and the difference of seasonal average </w:t>
      </w:r>
      <w:r>
        <w:rPr>
          <w:color w:val="000000" w:themeColor="text1"/>
        </w:rPr>
        <w:t xml:space="preserve">detrended </w:t>
      </w:r>
      <w:r w:rsidRPr="0099034F">
        <w:rPr>
          <w:color w:val="000000" w:themeColor="text1"/>
          <w:szCs w:val="24"/>
        </w:rPr>
        <w:t>FFWI (shading in the U.S.) between years with minimum (</w:t>
      </w:r>
      <w:proofErr w:type="spellStart"/>
      <w:r w:rsidRPr="0099034F">
        <w:rPr>
          <w:color w:val="000000" w:themeColor="text1"/>
          <w:szCs w:val="24"/>
        </w:rPr>
        <w:t>SIC</w:t>
      </w:r>
      <w:r w:rsidR="00D67A50">
        <w:rPr>
          <w:color w:val="000000" w:themeColor="text1"/>
          <w:szCs w:val="24"/>
        </w:rPr>
        <w:t>notrd</w:t>
      </w:r>
      <w:proofErr w:type="spellEnd"/>
      <w:r w:rsidRPr="0099034F">
        <w:rPr>
          <w:color w:val="000000" w:themeColor="text1"/>
          <w:szCs w:val="24"/>
        </w:rPr>
        <w:t>-:</w:t>
      </w:r>
      <w:r w:rsidRPr="0099034F">
        <w:rPr>
          <w:i/>
          <w:iCs/>
          <w:color w:val="000000" w:themeColor="text1"/>
          <w:szCs w:val="24"/>
        </w:rPr>
        <w:t xml:space="preserve"> </w:t>
      </w:r>
      <w:r w:rsidRPr="0099034F">
        <w:rPr>
          <w:color w:val="000000" w:themeColor="text1"/>
          <w:szCs w:val="24"/>
        </w:rPr>
        <w:t xml:space="preserve">red up-pointing triangles in </w:t>
      </w:r>
      <w:r>
        <w:rPr>
          <w:b/>
          <w:bCs/>
          <w:color w:val="000000" w:themeColor="text1"/>
          <w:szCs w:val="24"/>
        </w:rPr>
        <w:t>b</w:t>
      </w:r>
      <w:r w:rsidRPr="0099034F">
        <w:rPr>
          <w:color w:val="000000" w:themeColor="text1"/>
          <w:szCs w:val="24"/>
        </w:rPr>
        <w:t>) and maximum (</w:t>
      </w:r>
      <w:proofErr w:type="spellStart"/>
      <w:r w:rsidRPr="0099034F">
        <w:rPr>
          <w:color w:val="000000" w:themeColor="text1"/>
          <w:szCs w:val="24"/>
        </w:rPr>
        <w:t>SIC</w:t>
      </w:r>
      <w:r w:rsidR="00D67A50">
        <w:rPr>
          <w:color w:val="000000" w:themeColor="text1"/>
          <w:szCs w:val="24"/>
        </w:rPr>
        <w:t>notrd</w:t>
      </w:r>
      <w:proofErr w:type="spellEnd"/>
      <w:r w:rsidRPr="0099034F">
        <w:rPr>
          <w:color w:val="000000" w:themeColor="text1"/>
          <w:szCs w:val="24"/>
        </w:rPr>
        <w:t>+:</w:t>
      </w:r>
      <w:r w:rsidRPr="0099034F">
        <w:rPr>
          <w:i/>
          <w:iCs/>
          <w:color w:val="000000" w:themeColor="text1"/>
          <w:szCs w:val="24"/>
        </w:rPr>
        <w:t xml:space="preserve"> </w:t>
      </w:r>
      <w:r w:rsidRPr="0099034F">
        <w:rPr>
          <w:color w:val="000000" w:themeColor="text1"/>
          <w:szCs w:val="24"/>
        </w:rPr>
        <w:t xml:space="preserve">blue down-pointing triangles in </w:t>
      </w:r>
      <w:r>
        <w:rPr>
          <w:b/>
          <w:bCs/>
          <w:color w:val="000000" w:themeColor="text1"/>
          <w:szCs w:val="24"/>
        </w:rPr>
        <w:t>b</w:t>
      </w:r>
      <w:r w:rsidRPr="0099034F">
        <w:rPr>
          <w:color w:val="000000" w:themeColor="text1"/>
          <w:szCs w:val="24"/>
        </w:rPr>
        <w:t xml:space="preserve">) </w:t>
      </w:r>
      <w:r>
        <w:rPr>
          <w:color w:val="000000" w:themeColor="text1"/>
        </w:rPr>
        <w:t xml:space="preserve">detrended </w:t>
      </w:r>
      <w:r w:rsidRPr="0099034F">
        <w:rPr>
          <w:color w:val="000000" w:themeColor="text1"/>
          <w:szCs w:val="24"/>
        </w:rPr>
        <w:t>Arctic SIC. The difference of seasonal</w:t>
      </w:r>
      <w:r w:rsidRPr="002A3E13">
        <w:rPr>
          <w:color w:val="000000" w:themeColor="text1"/>
          <w:szCs w:val="24"/>
        </w:rPr>
        <w:t xml:space="preserve"> (</w:t>
      </w:r>
      <w:r w:rsidRPr="0099034F">
        <w:rPr>
          <w:color w:val="000000" w:themeColor="text1"/>
          <w:szCs w:val="24"/>
        </w:rPr>
        <w:t>September to Decembe</w:t>
      </w:r>
      <w:r w:rsidRPr="002A3E13">
        <w:rPr>
          <w:color w:val="000000" w:themeColor="text1"/>
          <w:szCs w:val="24"/>
        </w:rPr>
        <w:t>r)</w:t>
      </w:r>
      <w:r w:rsidRPr="0099034F">
        <w:rPr>
          <w:i/>
          <w:iCs/>
          <w:color w:val="000000" w:themeColor="text1"/>
          <w:szCs w:val="24"/>
        </w:rPr>
        <w:t xml:space="preserve"> </w:t>
      </w:r>
      <w:r w:rsidRPr="0099034F">
        <w:rPr>
          <w:color w:val="000000" w:themeColor="text1"/>
          <w:szCs w:val="24"/>
        </w:rPr>
        <w:t>average</w:t>
      </w:r>
      <w:r w:rsidRPr="0099034F">
        <w:rPr>
          <w:i/>
          <w:iCs/>
          <w:color w:val="000000" w:themeColor="text1"/>
          <w:szCs w:val="24"/>
        </w:rPr>
        <w:t xml:space="preserve"> </w:t>
      </w:r>
      <w:r>
        <w:rPr>
          <w:color w:val="000000" w:themeColor="text1"/>
        </w:rPr>
        <w:t xml:space="preserve">detrended </w:t>
      </w:r>
      <w:r w:rsidRPr="0099034F">
        <w:rPr>
          <w:color w:val="000000" w:themeColor="text1"/>
          <w:szCs w:val="24"/>
        </w:rPr>
        <w:t xml:space="preserve">geopotential height at 500 </w:t>
      </w:r>
      <w:proofErr w:type="spellStart"/>
      <w:r w:rsidRPr="0099034F">
        <w:rPr>
          <w:color w:val="000000" w:themeColor="text1"/>
          <w:szCs w:val="24"/>
        </w:rPr>
        <w:t>hPa</w:t>
      </w:r>
      <w:proofErr w:type="spellEnd"/>
      <w:r w:rsidRPr="0099034F">
        <w:rPr>
          <w:color w:val="000000" w:themeColor="text1"/>
          <w:szCs w:val="24"/>
        </w:rPr>
        <w:t xml:space="preserve"> between the </w:t>
      </w:r>
      <w:proofErr w:type="spellStart"/>
      <w:r w:rsidRPr="0099034F">
        <w:rPr>
          <w:color w:val="000000" w:themeColor="text1"/>
          <w:szCs w:val="24"/>
        </w:rPr>
        <w:t>SIC</w:t>
      </w:r>
      <w:r w:rsidR="00D67A50">
        <w:rPr>
          <w:color w:val="000000" w:themeColor="text1"/>
          <w:szCs w:val="24"/>
        </w:rPr>
        <w:t>notrd</w:t>
      </w:r>
      <w:proofErr w:type="spellEnd"/>
      <w:r w:rsidRPr="0099034F">
        <w:rPr>
          <w:color w:val="000000" w:themeColor="text1"/>
          <w:szCs w:val="24"/>
        </w:rPr>
        <w:t xml:space="preserve">- and </w:t>
      </w:r>
      <w:proofErr w:type="spellStart"/>
      <w:r w:rsidRPr="0099034F">
        <w:rPr>
          <w:color w:val="000000" w:themeColor="text1"/>
          <w:szCs w:val="24"/>
        </w:rPr>
        <w:t>SIC</w:t>
      </w:r>
      <w:r w:rsidR="00D67A50">
        <w:rPr>
          <w:color w:val="000000" w:themeColor="text1"/>
          <w:szCs w:val="24"/>
        </w:rPr>
        <w:t>notrd</w:t>
      </w:r>
      <w:proofErr w:type="spellEnd"/>
      <w:r w:rsidRPr="0099034F">
        <w:rPr>
          <w:color w:val="000000" w:themeColor="text1"/>
          <w:szCs w:val="24"/>
        </w:rPr>
        <w:t xml:space="preserve">+ years is also shown (contours with negative values in dashed lines; unit: m). </w:t>
      </w:r>
      <w:r>
        <w:rPr>
          <w:b/>
          <w:bCs/>
          <w:color w:val="000000" w:themeColor="text1"/>
          <w:szCs w:val="24"/>
        </w:rPr>
        <w:t>b</w:t>
      </w:r>
      <w:r w:rsidRPr="0099034F">
        <w:rPr>
          <w:color w:val="000000" w:themeColor="text1"/>
          <w:szCs w:val="24"/>
        </w:rPr>
        <w:t xml:space="preserve">, time series of seasonal and regional average </w:t>
      </w:r>
      <w:r>
        <w:rPr>
          <w:color w:val="000000" w:themeColor="text1"/>
        </w:rPr>
        <w:t xml:space="preserve">detrended </w:t>
      </w:r>
      <w:r w:rsidRPr="0099034F">
        <w:rPr>
          <w:color w:val="000000" w:themeColor="text1"/>
          <w:szCs w:val="24"/>
        </w:rPr>
        <w:t>SIC (</w:t>
      </w:r>
      <w:r>
        <w:rPr>
          <w:color w:val="000000" w:themeColor="text1"/>
          <w:szCs w:val="24"/>
        </w:rPr>
        <w:t>se</w:t>
      </w:r>
      <w:r>
        <w:t xml:space="preserve">asonal mean from </w:t>
      </w:r>
      <w:r w:rsidRPr="0023236D">
        <w:t>July to October</w:t>
      </w:r>
      <w:r>
        <w:t xml:space="preserve">; </w:t>
      </w:r>
      <w:r>
        <w:rPr>
          <w:color w:val="000000" w:themeColor="text1"/>
        </w:rPr>
        <w:t xml:space="preserve">first </w:t>
      </w:r>
      <w:r w:rsidRPr="0099034F">
        <w:rPr>
          <w:color w:val="000000" w:themeColor="text1"/>
          <w:szCs w:val="24"/>
        </w:rPr>
        <w:t>normalized by its 1981-2010 climatological mean and standard deviation</w:t>
      </w:r>
      <w:r>
        <w:rPr>
          <w:color w:val="000000" w:themeColor="text1"/>
        </w:rPr>
        <w:t xml:space="preserve"> and then detrended</w:t>
      </w:r>
      <w:r w:rsidRPr="0099034F">
        <w:rPr>
          <w:color w:val="000000" w:themeColor="text1"/>
          <w:szCs w:val="24"/>
        </w:rPr>
        <w:t xml:space="preserve">), </w:t>
      </w:r>
      <w:r>
        <w:rPr>
          <w:color w:val="000000" w:themeColor="text1"/>
        </w:rPr>
        <w:t xml:space="preserve">detrended </w:t>
      </w:r>
      <w:r w:rsidRPr="0099034F">
        <w:rPr>
          <w:color w:val="000000" w:themeColor="text1"/>
          <w:szCs w:val="24"/>
        </w:rPr>
        <w:t>FFWI</w:t>
      </w:r>
      <w:r>
        <w:rPr>
          <w:color w:val="000000" w:themeColor="text1"/>
          <w:szCs w:val="24"/>
        </w:rPr>
        <w:t xml:space="preserve"> (se</w:t>
      </w:r>
      <w:r>
        <w:t xml:space="preserve">asonal mean from </w:t>
      </w:r>
      <w:r w:rsidRPr="0099034F">
        <w:rPr>
          <w:color w:val="000000" w:themeColor="text1"/>
          <w:szCs w:val="24"/>
        </w:rPr>
        <w:t>September to December</w:t>
      </w:r>
      <w:r>
        <w:rPr>
          <w:color w:val="000000" w:themeColor="text1"/>
          <w:szCs w:val="24"/>
        </w:rPr>
        <w:t>)</w:t>
      </w:r>
      <w:r w:rsidRPr="0099034F">
        <w:rPr>
          <w:color w:val="000000" w:themeColor="text1"/>
          <w:szCs w:val="24"/>
        </w:rPr>
        <w:t xml:space="preserve">, and their correlation. The region definitions for the Pacific sector of the Arctic and the western U.S. are </w:t>
      </w:r>
      <w:r w:rsidRPr="0099034F">
        <w:rPr>
          <w:color w:val="000000" w:themeColor="text1"/>
          <w:szCs w:val="24"/>
        </w:rPr>
        <w:lastRenderedPageBreak/>
        <w:t xml:space="preserve">outlined by red boxes in </w:t>
      </w:r>
      <w:r>
        <w:rPr>
          <w:b/>
          <w:bCs/>
          <w:color w:val="000000" w:themeColor="text1"/>
          <w:szCs w:val="24"/>
        </w:rPr>
        <w:t>a</w:t>
      </w:r>
      <w:r w:rsidRPr="0099034F">
        <w:rPr>
          <w:color w:val="000000" w:themeColor="text1"/>
          <w:szCs w:val="24"/>
        </w:rPr>
        <w:t xml:space="preserve">. The horizontal dashed lines denote the ±1 standard deviations of normalized </w:t>
      </w:r>
      <w:r>
        <w:rPr>
          <w:color w:val="000000" w:themeColor="text1"/>
        </w:rPr>
        <w:t xml:space="preserve">and detrended </w:t>
      </w:r>
      <w:r w:rsidRPr="0099034F">
        <w:rPr>
          <w:color w:val="000000" w:themeColor="text1"/>
          <w:szCs w:val="24"/>
        </w:rPr>
        <w:t xml:space="preserve">SIC as thresholds for selecting the </w:t>
      </w:r>
      <w:proofErr w:type="spellStart"/>
      <w:r w:rsidRPr="0099034F">
        <w:rPr>
          <w:color w:val="000000" w:themeColor="text1"/>
          <w:szCs w:val="24"/>
        </w:rPr>
        <w:t>SIC</w:t>
      </w:r>
      <w:r w:rsidR="00D67A50">
        <w:rPr>
          <w:color w:val="000000" w:themeColor="text1"/>
          <w:szCs w:val="24"/>
        </w:rPr>
        <w:t>notrd</w:t>
      </w:r>
      <w:proofErr w:type="spellEnd"/>
      <w:r w:rsidRPr="0099034F">
        <w:rPr>
          <w:color w:val="000000" w:themeColor="text1"/>
          <w:szCs w:val="24"/>
        </w:rPr>
        <w:t>+/- years.</w:t>
      </w:r>
      <w:r w:rsidRPr="0099034F">
        <w:rPr>
          <w:i/>
          <w:iCs/>
          <w:color w:val="000000" w:themeColor="text1"/>
          <w:szCs w:val="24"/>
        </w:rPr>
        <w:t xml:space="preserve"> </w:t>
      </w:r>
      <w:r>
        <w:rPr>
          <w:b/>
          <w:bCs/>
          <w:color w:val="000000" w:themeColor="text1"/>
          <w:szCs w:val="24"/>
        </w:rPr>
        <w:t>c</w:t>
      </w:r>
      <w:r w:rsidRPr="0099034F">
        <w:rPr>
          <w:color w:val="000000" w:themeColor="text1"/>
          <w:szCs w:val="24"/>
        </w:rPr>
        <w:t xml:space="preserve">, the composite of monthly </w:t>
      </w:r>
      <w:r>
        <w:rPr>
          <w:color w:val="000000" w:themeColor="text1"/>
        </w:rPr>
        <w:t xml:space="preserve">detrended </w:t>
      </w:r>
      <w:r w:rsidRPr="0099034F">
        <w:rPr>
          <w:color w:val="000000" w:themeColor="text1"/>
          <w:szCs w:val="24"/>
        </w:rPr>
        <w:t xml:space="preserve">FFWI (solid lines with dots and error bars) and fractional </w:t>
      </w:r>
      <w:r>
        <w:rPr>
          <w:color w:val="000000" w:themeColor="text1"/>
        </w:rPr>
        <w:t xml:space="preserve">detrended </w:t>
      </w:r>
      <w:r w:rsidRPr="0099034F">
        <w:rPr>
          <w:color w:val="000000" w:themeColor="text1"/>
          <w:szCs w:val="24"/>
        </w:rPr>
        <w:t xml:space="preserve">burned area change of large wildfires (vertical bars) over the western U.S. Error bars in </w:t>
      </w:r>
      <w:r>
        <w:rPr>
          <w:b/>
          <w:bCs/>
          <w:color w:val="000000" w:themeColor="text1"/>
          <w:szCs w:val="24"/>
        </w:rPr>
        <w:t>c</w:t>
      </w:r>
      <w:r w:rsidRPr="0099034F">
        <w:rPr>
          <w:color w:val="000000" w:themeColor="text1"/>
          <w:szCs w:val="24"/>
        </w:rPr>
        <w:t xml:space="preserve"> denote ±1 standard deviations of monthly </w:t>
      </w:r>
      <w:r>
        <w:rPr>
          <w:color w:val="000000" w:themeColor="text1"/>
        </w:rPr>
        <w:t xml:space="preserve">detrended </w:t>
      </w:r>
      <w:r w:rsidRPr="0099034F">
        <w:rPr>
          <w:color w:val="000000" w:themeColor="text1"/>
          <w:szCs w:val="24"/>
        </w:rPr>
        <w:t xml:space="preserve">FFWI in each group. Stipples in </w:t>
      </w:r>
      <w:r>
        <w:rPr>
          <w:b/>
          <w:bCs/>
          <w:color w:val="000000" w:themeColor="text1"/>
          <w:szCs w:val="24"/>
        </w:rPr>
        <w:t>a</w:t>
      </w:r>
      <w:r w:rsidRPr="0099034F">
        <w:rPr>
          <w:color w:val="000000" w:themeColor="text1"/>
          <w:szCs w:val="24"/>
        </w:rPr>
        <w:t xml:space="preserve"> mark regions that are significantly different from 0 at the 0.05 significance level of two-sided t-test. </w:t>
      </w:r>
      <w:r>
        <w:rPr>
          <w:color w:val="000000" w:themeColor="text1"/>
        </w:rPr>
        <w:t>The larger d</w:t>
      </w:r>
      <w:r w:rsidRPr="0099034F">
        <w:rPr>
          <w:color w:val="000000" w:themeColor="text1"/>
          <w:szCs w:val="24"/>
        </w:rPr>
        <w:t xml:space="preserve">ot </w:t>
      </w:r>
      <w:r w:rsidR="00D67A50">
        <w:rPr>
          <w:color w:val="000000" w:themeColor="text1"/>
          <w:szCs w:val="24"/>
        </w:rPr>
        <w:t>for monthl</w:t>
      </w:r>
      <w:r w:rsidR="00E04EDF">
        <w:rPr>
          <w:color w:val="000000" w:themeColor="text1"/>
          <w:szCs w:val="24"/>
        </w:rPr>
        <w:t>y</w:t>
      </w:r>
      <w:r w:rsidR="00D67A50">
        <w:rPr>
          <w:color w:val="000000" w:themeColor="text1"/>
          <w:szCs w:val="24"/>
        </w:rPr>
        <w:t xml:space="preserve"> FFWI </w:t>
      </w:r>
      <w:r w:rsidRPr="0099034F">
        <w:rPr>
          <w:color w:val="000000" w:themeColor="text1"/>
          <w:szCs w:val="24"/>
        </w:rPr>
        <w:t xml:space="preserve">in </w:t>
      </w:r>
      <w:r>
        <w:rPr>
          <w:b/>
          <w:bCs/>
          <w:color w:val="000000" w:themeColor="text1"/>
          <w:szCs w:val="24"/>
        </w:rPr>
        <w:t>c</w:t>
      </w:r>
      <w:r w:rsidRPr="0099034F">
        <w:rPr>
          <w:color w:val="000000" w:themeColor="text1"/>
          <w:szCs w:val="24"/>
        </w:rPr>
        <w:t xml:space="preserve"> denote</w:t>
      </w:r>
      <w:r>
        <w:rPr>
          <w:color w:val="000000" w:themeColor="text1"/>
        </w:rPr>
        <w:t>s</w:t>
      </w:r>
      <w:r w:rsidRPr="0099034F">
        <w:rPr>
          <w:color w:val="000000" w:themeColor="text1"/>
          <w:szCs w:val="24"/>
        </w:rPr>
        <w:t xml:space="preserve"> the 0.</w:t>
      </w:r>
      <w:r>
        <w:rPr>
          <w:color w:val="000000" w:themeColor="text1"/>
        </w:rPr>
        <w:t>05</w:t>
      </w:r>
      <w:r w:rsidRPr="0099034F">
        <w:rPr>
          <w:color w:val="000000" w:themeColor="text1"/>
          <w:szCs w:val="24"/>
        </w:rPr>
        <w:t xml:space="preserve"> significance level of two-sided t-test</w:t>
      </w:r>
      <w:r>
        <w:t>.</w:t>
      </w:r>
    </w:p>
    <w:p w14:paraId="47769E0F" w14:textId="77777777" w:rsidR="00FF557B" w:rsidRDefault="00FF557B" w:rsidP="00FF557B">
      <w:pPr>
        <w:pStyle w:val="SMcaption"/>
        <w:spacing w:line="480" w:lineRule="auto"/>
      </w:pPr>
    </w:p>
    <w:p w14:paraId="2C9A819D" w14:textId="77777777" w:rsidR="00FF557B" w:rsidRDefault="00FF557B" w:rsidP="00FF557B">
      <w:pPr>
        <w:spacing w:line="480" w:lineRule="auto"/>
      </w:pPr>
      <w:r>
        <w:rPr>
          <w:b/>
          <w:bCs/>
        </w:rPr>
        <w:br w:type="page"/>
      </w:r>
    </w:p>
    <w:p w14:paraId="3E6B278C" w14:textId="77777777" w:rsidR="00FF557B" w:rsidRDefault="00FF557B" w:rsidP="00FF557B">
      <w:pPr>
        <w:pStyle w:val="SMHeading"/>
        <w:spacing w:line="480" w:lineRule="auto"/>
      </w:pPr>
      <w:r w:rsidRPr="00F03B62">
        <w:rPr>
          <w:noProof/>
        </w:rPr>
        <w:lastRenderedPageBreak/>
        <w:drawing>
          <wp:inline distT="0" distB="0" distL="0" distR="0" wp14:anchorId="4F04C260" wp14:editId="04A1B9CA">
            <wp:extent cx="5366522" cy="3114149"/>
            <wp:effectExtent l="0" t="0" r="5715" b="0"/>
            <wp:docPr id="21" name="Content Placeholder 4" descr="Chart, histogram&#10;&#10;Description automatically generated">
              <a:extLst xmlns:a="http://schemas.openxmlformats.org/drawingml/2006/main">
                <a:ext uri="{FF2B5EF4-FFF2-40B4-BE49-F238E27FC236}">
                  <a16:creationId xmlns:a16="http://schemas.microsoft.com/office/drawing/2014/main" id="{F28A063C-1AD3-8C4B-81D5-C2FF9A0D968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 name="Content Placeholder 4" descr="Chart, histogram&#10;&#10;Description automatically generated">
                      <a:extLst>
                        <a:ext uri="{FF2B5EF4-FFF2-40B4-BE49-F238E27FC236}">
                          <a16:creationId xmlns:a16="http://schemas.microsoft.com/office/drawing/2014/main" id="{F28A063C-1AD3-8C4B-81D5-C2FF9A0D9684}"/>
                        </a:ext>
                      </a:extLst>
                    </pic:cNvPr>
                    <pic:cNvPicPr>
                      <a:picLocks noGrp="1" noChangeAspect="1"/>
                    </pic:cNvPicPr>
                  </pic:nvPicPr>
                  <pic:blipFill>
                    <a:blip r:embed="rId7"/>
                    <a:stretch>
                      <a:fillRect/>
                    </a:stretch>
                  </pic:blipFill>
                  <pic:spPr>
                    <a:xfrm>
                      <a:off x="0" y="0"/>
                      <a:ext cx="5366522" cy="3114149"/>
                    </a:xfrm>
                    <a:prstGeom prst="rect">
                      <a:avLst/>
                    </a:prstGeom>
                  </pic:spPr>
                </pic:pic>
              </a:graphicData>
            </a:graphic>
          </wp:inline>
        </w:drawing>
      </w:r>
    </w:p>
    <w:p w14:paraId="2FD8F296" w14:textId="3BE9B9AC" w:rsidR="00FF557B" w:rsidRDefault="00FF557B" w:rsidP="00FF557B">
      <w:pPr>
        <w:pStyle w:val="SMcaption"/>
        <w:spacing w:line="480" w:lineRule="auto"/>
      </w:pPr>
      <w:r w:rsidRPr="00752E47">
        <w:rPr>
          <w:b/>
          <w:bCs/>
        </w:rPr>
        <w:t>Supplementary</w:t>
      </w:r>
      <w:r>
        <w:t xml:space="preserve"> </w:t>
      </w:r>
      <w:r w:rsidRPr="009B32EB">
        <w:rPr>
          <w:b/>
          <w:bCs/>
        </w:rPr>
        <w:t xml:space="preserve">Fig. </w:t>
      </w:r>
      <w:r>
        <w:rPr>
          <w:b/>
          <w:bCs/>
        </w:rPr>
        <w:t xml:space="preserve">2. </w:t>
      </w:r>
      <w:r w:rsidRPr="00C502EE">
        <w:rPr>
          <w:b/>
          <w:bCs/>
          <w:color w:val="000000" w:themeColor="text1"/>
        </w:rPr>
        <w:t xml:space="preserve">Observation- and </w:t>
      </w:r>
      <w:r>
        <w:rPr>
          <w:b/>
          <w:bCs/>
          <w:color w:val="000000" w:themeColor="text1"/>
        </w:rPr>
        <w:t xml:space="preserve">MERRA-2 </w:t>
      </w:r>
      <w:r w:rsidRPr="00C502EE">
        <w:rPr>
          <w:b/>
          <w:bCs/>
          <w:color w:val="000000" w:themeColor="text1"/>
        </w:rPr>
        <w:t xml:space="preserve">reanalysis-based Arctic sea ice and regional fire teleconnection. </w:t>
      </w:r>
      <w:r>
        <w:rPr>
          <w:b/>
          <w:bCs/>
          <w:color w:val="000000" w:themeColor="text1"/>
        </w:rPr>
        <w:t>a</w:t>
      </w:r>
      <w:r w:rsidRPr="00C502EE">
        <w:rPr>
          <w:color w:val="000000" w:themeColor="text1"/>
        </w:rPr>
        <w:t xml:space="preserve">, </w:t>
      </w:r>
      <w:r w:rsidRPr="0023236D">
        <w:t xml:space="preserve">spatial distributions of the correlation (shading in the Arctic) between seasonal average Arctic sea-ice concentrations in summer and autumn (July to October) and seasonal and regional average FWI over the western U.S. in </w:t>
      </w:r>
      <w:r>
        <w:t xml:space="preserve">the </w:t>
      </w:r>
      <w:r w:rsidRPr="0023236D">
        <w:t xml:space="preserve">following autumn and early winter (September to December), and the difference of seasonal average FWI (shading in the U.S.) between years with minimum (red up-pointing triangles in </w:t>
      </w:r>
      <w:r w:rsidRPr="0023236D">
        <w:rPr>
          <w:b/>
          <w:bCs/>
        </w:rPr>
        <w:t>b</w:t>
      </w:r>
      <w:r w:rsidRPr="0023236D">
        <w:t xml:space="preserve">) and maximum (blue down-pointing triangles in </w:t>
      </w:r>
      <w:r>
        <w:rPr>
          <w:b/>
          <w:bCs/>
        </w:rPr>
        <w:t>b</w:t>
      </w:r>
      <w:r w:rsidRPr="0023236D">
        <w:t xml:space="preserve">) Arctic SIC. </w:t>
      </w:r>
      <w:r w:rsidRPr="00C502EE">
        <w:rPr>
          <w:color w:val="000000" w:themeColor="text1"/>
        </w:rPr>
        <w:t xml:space="preserve">The </w:t>
      </w:r>
      <w:r>
        <w:rPr>
          <w:color w:val="000000" w:themeColor="text1"/>
        </w:rPr>
        <w:t>regression</w:t>
      </w:r>
      <w:r w:rsidRPr="00C502EE">
        <w:rPr>
          <w:color w:val="000000" w:themeColor="text1"/>
        </w:rPr>
        <w:t xml:space="preserve"> of geopotential height </w:t>
      </w:r>
      <w:r>
        <w:rPr>
          <w:color w:val="000000" w:themeColor="text1"/>
        </w:rPr>
        <w:t xml:space="preserve">anomalies </w:t>
      </w:r>
      <w:r w:rsidRPr="00C502EE">
        <w:rPr>
          <w:color w:val="000000" w:themeColor="text1"/>
        </w:rPr>
        <w:t xml:space="preserve">at 500 </w:t>
      </w:r>
      <w:proofErr w:type="spellStart"/>
      <w:r w:rsidRPr="00C502EE">
        <w:rPr>
          <w:color w:val="000000" w:themeColor="text1"/>
        </w:rPr>
        <w:t>hPa</w:t>
      </w:r>
      <w:proofErr w:type="spellEnd"/>
      <w:r w:rsidRPr="00C502EE">
        <w:rPr>
          <w:color w:val="000000" w:themeColor="text1"/>
        </w:rPr>
        <w:t xml:space="preserve"> </w:t>
      </w:r>
      <w:r>
        <w:t>onto the seasonal and regional average FFWI</w:t>
      </w:r>
      <w:r w:rsidRPr="00C502EE">
        <w:rPr>
          <w:color w:val="000000" w:themeColor="text1"/>
        </w:rPr>
        <w:t xml:space="preserve"> is also shown</w:t>
      </w:r>
      <w:r w:rsidRPr="0023236D">
        <w:t xml:space="preserve"> (contours with negative values in dashed lines; unit: m). </w:t>
      </w:r>
      <w:r>
        <w:rPr>
          <w:b/>
          <w:bCs/>
        </w:rPr>
        <w:t>b</w:t>
      </w:r>
      <w:r w:rsidRPr="0023236D">
        <w:t>, time series of seasonal and regional average SIC (</w:t>
      </w:r>
      <w:r>
        <w:t xml:space="preserve">seasonal mean from </w:t>
      </w:r>
      <w:r w:rsidRPr="0023236D">
        <w:t>July to October</w:t>
      </w:r>
      <w:r>
        <w:t xml:space="preserve">; </w:t>
      </w:r>
      <w:r w:rsidRPr="0023236D">
        <w:t xml:space="preserve">normalized by its 1981-2010 climatological mean and standard deviation) and FWI </w:t>
      </w:r>
      <w:r>
        <w:t xml:space="preserve">(seasonal mean from </w:t>
      </w:r>
      <w:r w:rsidRPr="0023236D">
        <w:t>September to December</w:t>
      </w:r>
      <w:r>
        <w:t xml:space="preserve">) </w:t>
      </w:r>
      <w:r w:rsidRPr="0023236D">
        <w:t>and their correlation. The region definitions for the Pacific sector of the Arctic</w:t>
      </w:r>
      <w:r>
        <w:t xml:space="preserve"> (red box over the Arctic), </w:t>
      </w:r>
      <w:r w:rsidRPr="0023236D">
        <w:t>the western U.S.</w:t>
      </w:r>
      <w:r>
        <w:t xml:space="preserve"> (red box over the western U.S.), and the Z500i projection region</w:t>
      </w:r>
      <w:r w:rsidRPr="0023236D">
        <w:t xml:space="preserve"> </w:t>
      </w:r>
      <w:r>
        <w:t xml:space="preserve">(blue box over the western U.S.) </w:t>
      </w:r>
      <w:r w:rsidRPr="0023236D">
        <w:t xml:space="preserve">are outlined by red </w:t>
      </w:r>
      <w:r>
        <w:t xml:space="preserve">and blue </w:t>
      </w:r>
      <w:r w:rsidRPr="0023236D">
        <w:t>boxes</w:t>
      </w:r>
      <w:r>
        <w:t>, respectively,</w:t>
      </w:r>
      <w:r w:rsidRPr="0023236D">
        <w:t xml:space="preserve"> in </w:t>
      </w:r>
      <w:r>
        <w:rPr>
          <w:b/>
          <w:bCs/>
        </w:rPr>
        <w:t>a</w:t>
      </w:r>
      <w:r w:rsidRPr="0023236D">
        <w:t xml:space="preserve">. </w:t>
      </w:r>
      <w:r>
        <w:rPr>
          <w:b/>
          <w:bCs/>
        </w:rPr>
        <w:t>c</w:t>
      </w:r>
      <w:r w:rsidRPr="0023236D">
        <w:t>, the composite of monthly FWI (</w:t>
      </w:r>
      <w:r w:rsidRPr="0099034F">
        <w:rPr>
          <w:color w:val="000000" w:themeColor="text1"/>
          <w:szCs w:val="24"/>
        </w:rPr>
        <w:t xml:space="preserve">solid lines with dots and </w:t>
      </w:r>
      <w:r w:rsidRPr="0099034F">
        <w:rPr>
          <w:color w:val="000000" w:themeColor="text1"/>
          <w:szCs w:val="24"/>
        </w:rPr>
        <w:lastRenderedPageBreak/>
        <w:t>error bars</w:t>
      </w:r>
      <w:r w:rsidRPr="0023236D">
        <w:t xml:space="preserve">) and fractional burned area change of large wildfires (vertical bars) over the western U.S. Error bars in </w:t>
      </w:r>
      <w:r>
        <w:rPr>
          <w:b/>
          <w:bCs/>
        </w:rPr>
        <w:t>c</w:t>
      </w:r>
      <w:r w:rsidRPr="0023236D">
        <w:t xml:space="preserve"> denote ±1 standard deviations of monthly FWI in each group. Stipples in </w:t>
      </w:r>
      <w:r>
        <w:rPr>
          <w:b/>
          <w:bCs/>
        </w:rPr>
        <w:t>a</w:t>
      </w:r>
      <w:r w:rsidRPr="0023236D">
        <w:t xml:space="preserve"> mark regions that are significantly different from 0 at the 0.05 significance level</w:t>
      </w:r>
      <w:r>
        <w:t xml:space="preserve"> </w:t>
      </w:r>
      <w:r w:rsidRPr="0099034F">
        <w:rPr>
          <w:color w:val="000000" w:themeColor="text1"/>
          <w:szCs w:val="24"/>
        </w:rPr>
        <w:t>of two-sided t-test</w:t>
      </w:r>
      <w:r w:rsidRPr="0023236D">
        <w:t xml:space="preserve">, and dot sizes </w:t>
      </w:r>
      <w:r w:rsidR="00546C92">
        <w:rPr>
          <w:color w:val="000000" w:themeColor="text1"/>
          <w:szCs w:val="24"/>
        </w:rPr>
        <w:t xml:space="preserve">for monthly FWI </w:t>
      </w:r>
      <w:r w:rsidRPr="0023236D">
        <w:t xml:space="preserve">in </w:t>
      </w:r>
      <w:r>
        <w:rPr>
          <w:b/>
          <w:bCs/>
        </w:rPr>
        <w:t>c</w:t>
      </w:r>
      <w:r w:rsidRPr="0023236D">
        <w:t xml:space="preserve"> denote the 0.05 (large) and 0.1 (medium) significance levels, respectively</w:t>
      </w:r>
      <w:r>
        <w:t>.</w:t>
      </w:r>
    </w:p>
    <w:p w14:paraId="30DF3E55" w14:textId="77777777" w:rsidR="00FF557B" w:rsidRDefault="00FF557B" w:rsidP="00FF557B">
      <w:pPr>
        <w:pStyle w:val="SMcaption"/>
        <w:spacing w:line="480" w:lineRule="auto"/>
      </w:pPr>
    </w:p>
    <w:p w14:paraId="7F67148C" w14:textId="77777777" w:rsidR="00FF557B" w:rsidRDefault="00FF557B" w:rsidP="00FF557B">
      <w:pPr>
        <w:spacing w:line="480" w:lineRule="auto"/>
      </w:pPr>
      <w:r>
        <w:rPr>
          <w:b/>
          <w:bCs/>
        </w:rPr>
        <w:br w:type="page"/>
      </w:r>
    </w:p>
    <w:p w14:paraId="308C3E9D" w14:textId="77777777" w:rsidR="00FF557B" w:rsidRDefault="00FF557B" w:rsidP="00FF557B">
      <w:pPr>
        <w:pStyle w:val="SMHeading"/>
        <w:spacing w:line="480" w:lineRule="auto"/>
      </w:pPr>
      <w:r w:rsidRPr="00F03B62">
        <w:rPr>
          <w:noProof/>
        </w:rPr>
        <w:lastRenderedPageBreak/>
        <w:drawing>
          <wp:inline distT="0" distB="0" distL="0" distR="0" wp14:anchorId="4B6136D9" wp14:editId="6B821313">
            <wp:extent cx="5128789" cy="6785217"/>
            <wp:effectExtent l="0" t="0" r="2540" b="0"/>
            <wp:docPr id="6" name="Content Placeholder 4" descr="Calendar, map&#10;&#10;Description automatically generated">
              <a:extLst xmlns:a="http://schemas.openxmlformats.org/drawingml/2006/main">
                <a:ext uri="{FF2B5EF4-FFF2-40B4-BE49-F238E27FC236}">
                  <a16:creationId xmlns:a16="http://schemas.microsoft.com/office/drawing/2014/main" id="{F28A063C-1AD3-8C4B-81D5-C2FF9A0D968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4" descr="Calendar, map&#10;&#10;Description automatically generated">
                      <a:extLst>
                        <a:ext uri="{FF2B5EF4-FFF2-40B4-BE49-F238E27FC236}">
                          <a16:creationId xmlns:a16="http://schemas.microsoft.com/office/drawing/2014/main" id="{F28A063C-1AD3-8C4B-81D5-C2FF9A0D9684}"/>
                        </a:ext>
                      </a:extLst>
                    </pic:cNvPr>
                    <pic:cNvPicPr>
                      <a:picLocks noGrp="1" noChangeAspect="1"/>
                    </pic:cNvPicPr>
                  </pic:nvPicPr>
                  <pic:blipFill>
                    <a:blip r:embed="rId8"/>
                    <a:stretch>
                      <a:fillRect/>
                    </a:stretch>
                  </pic:blipFill>
                  <pic:spPr>
                    <a:xfrm>
                      <a:off x="0" y="0"/>
                      <a:ext cx="5128789" cy="6785217"/>
                    </a:xfrm>
                    <a:prstGeom prst="rect">
                      <a:avLst/>
                    </a:prstGeom>
                  </pic:spPr>
                </pic:pic>
              </a:graphicData>
            </a:graphic>
          </wp:inline>
        </w:drawing>
      </w:r>
    </w:p>
    <w:p w14:paraId="0F4ADB57" w14:textId="4DC27762" w:rsidR="00FF557B" w:rsidRDefault="00FF557B" w:rsidP="00FF557B">
      <w:pPr>
        <w:pStyle w:val="SMcaption"/>
        <w:spacing w:line="480" w:lineRule="auto"/>
      </w:pPr>
      <w:r w:rsidRPr="00752E47">
        <w:rPr>
          <w:b/>
          <w:bCs/>
        </w:rPr>
        <w:t>Supplementary</w:t>
      </w:r>
      <w:r>
        <w:t xml:space="preserve"> </w:t>
      </w:r>
      <w:r w:rsidRPr="009B32EB">
        <w:rPr>
          <w:b/>
          <w:bCs/>
        </w:rPr>
        <w:t xml:space="preserve">Fig. </w:t>
      </w:r>
      <w:r>
        <w:rPr>
          <w:b/>
          <w:bCs/>
        </w:rPr>
        <w:t xml:space="preserve">3. </w:t>
      </w:r>
      <w:r>
        <w:rPr>
          <w:b/>
          <w:bCs/>
          <w:color w:val="000000" w:themeColor="text1"/>
        </w:rPr>
        <w:t>Fire-related weather responses in the CESM-RESFire experiments</w:t>
      </w:r>
      <w:r w:rsidRPr="007B4AF8">
        <w:rPr>
          <w:b/>
          <w:bCs/>
          <w:color w:val="000000" w:themeColor="text1"/>
        </w:rPr>
        <w:t xml:space="preserve">. </w:t>
      </w:r>
      <w:r>
        <w:rPr>
          <w:b/>
          <w:bCs/>
          <w:color w:val="000000" w:themeColor="text1"/>
        </w:rPr>
        <w:t>a</w:t>
      </w:r>
      <w:r w:rsidRPr="007B4AF8">
        <w:rPr>
          <w:color w:val="000000" w:themeColor="text1"/>
        </w:rPr>
        <w:t xml:space="preserve">, </w:t>
      </w:r>
      <w:r>
        <w:rPr>
          <w:color w:val="000000" w:themeColor="text1"/>
        </w:rPr>
        <w:t>the difference</w:t>
      </w:r>
      <w:r w:rsidRPr="007B4AF8">
        <w:rPr>
          <w:color w:val="000000" w:themeColor="text1"/>
        </w:rPr>
        <w:t xml:space="preserve"> </w:t>
      </w:r>
      <w:r>
        <w:rPr>
          <w:color w:val="000000" w:themeColor="text1"/>
        </w:rPr>
        <w:t xml:space="preserve">of seasonal average </w:t>
      </w:r>
      <w:r w:rsidRPr="007B4AF8">
        <w:rPr>
          <w:color w:val="000000" w:themeColor="text1"/>
        </w:rPr>
        <w:t xml:space="preserve">(September to December) </w:t>
      </w:r>
      <w:r>
        <w:rPr>
          <w:color w:val="000000" w:themeColor="text1"/>
        </w:rPr>
        <w:t>FFWI</w:t>
      </w:r>
      <w:r w:rsidRPr="007B4AF8">
        <w:rPr>
          <w:color w:val="000000" w:themeColor="text1"/>
        </w:rPr>
        <w:t xml:space="preserve"> between the </w:t>
      </w:r>
      <w:proofErr w:type="spellStart"/>
      <w:r w:rsidRPr="007B4AF8">
        <w:rPr>
          <w:color w:val="000000" w:themeColor="text1"/>
        </w:rPr>
        <w:t>SIC</w:t>
      </w:r>
      <w:r>
        <w:rPr>
          <w:color w:val="000000" w:themeColor="text1"/>
        </w:rPr>
        <w:t>exp</w:t>
      </w:r>
      <w:proofErr w:type="spellEnd"/>
      <w:r w:rsidRPr="007B4AF8">
        <w:rPr>
          <w:color w:val="000000" w:themeColor="text1"/>
        </w:rPr>
        <w:t xml:space="preserve">- and </w:t>
      </w:r>
      <w:proofErr w:type="spellStart"/>
      <w:r w:rsidRPr="007B4AF8">
        <w:rPr>
          <w:color w:val="000000" w:themeColor="text1"/>
        </w:rPr>
        <w:t>SIC</w:t>
      </w:r>
      <w:r>
        <w:rPr>
          <w:color w:val="000000" w:themeColor="text1"/>
        </w:rPr>
        <w:t>exp</w:t>
      </w:r>
      <w:proofErr w:type="spellEnd"/>
      <w:r w:rsidRPr="007B4AF8">
        <w:rPr>
          <w:color w:val="000000" w:themeColor="text1"/>
        </w:rPr>
        <w:t xml:space="preserve">+ sensitivity experiments. </w:t>
      </w:r>
      <w:r>
        <w:rPr>
          <w:b/>
          <w:bCs/>
          <w:color w:val="000000" w:themeColor="text1"/>
        </w:rPr>
        <w:t>b</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the difference of seasonal average daily maximum of 2-m temperature</w:t>
      </w:r>
      <w:r w:rsidR="004D507A">
        <w:rPr>
          <w:color w:val="000000" w:themeColor="text1"/>
        </w:rPr>
        <w:t xml:space="preserve"> (</w:t>
      </w:r>
      <w:proofErr w:type="spellStart"/>
      <w:r w:rsidR="004D507A">
        <w:rPr>
          <w:color w:val="000000" w:themeColor="text1"/>
        </w:rPr>
        <w:t>Tmax</w:t>
      </w:r>
      <w:proofErr w:type="spellEnd"/>
      <w:r w:rsidR="004D507A">
        <w:rPr>
          <w:color w:val="000000" w:themeColor="text1"/>
        </w:rPr>
        <w:t>)</w:t>
      </w:r>
      <w:r w:rsidRPr="007B4AF8">
        <w:rPr>
          <w:color w:val="000000" w:themeColor="text1"/>
        </w:rPr>
        <w:t xml:space="preserve">. </w:t>
      </w:r>
      <w:r>
        <w:rPr>
          <w:b/>
          <w:bCs/>
          <w:color w:val="000000" w:themeColor="text1"/>
        </w:rPr>
        <w:t>c</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 xml:space="preserve">the difference of seasonal average </w:t>
      </w:r>
      <w:r>
        <w:rPr>
          <w:color w:val="000000" w:themeColor="text1"/>
        </w:rPr>
        <w:lastRenderedPageBreak/>
        <w:t>surface vapor pressure deficit (VPD)</w:t>
      </w:r>
      <w:r w:rsidRPr="007B4AF8">
        <w:rPr>
          <w:color w:val="000000" w:themeColor="text1"/>
        </w:rPr>
        <w:t xml:space="preserve">. </w:t>
      </w:r>
      <w:r>
        <w:rPr>
          <w:b/>
          <w:bCs/>
          <w:color w:val="000000" w:themeColor="text1"/>
        </w:rPr>
        <w:t>d</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the difference of seasonal average 10</w:t>
      </w:r>
      <w:r w:rsidRPr="007B4AF8">
        <w:rPr>
          <w:color w:val="000000" w:themeColor="text1"/>
        </w:rPr>
        <w:t>-</w:t>
      </w:r>
      <w:r>
        <w:rPr>
          <w:color w:val="000000" w:themeColor="text1"/>
        </w:rPr>
        <w:t>day</w:t>
      </w:r>
      <w:r w:rsidRPr="007B4AF8">
        <w:rPr>
          <w:color w:val="000000" w:themeColor="text1"/>
        </w:rPr>
        <w:t xml:space="preserve"> </w:t>
      </w:r>
      <w:r>
        <w:rPr>
          <w:color w:val="000000" w:themeColor="text1"/>
        </w:rPr>
        <w:t>running mean of total precipitation</w:t>
      </w:r>
      <w:r w:rsidR="004D507A">
        <w:rPr>
          <w:color w:val="000000" w:themeColor="text1"/>
        </w:rPr>
        <w:t xml:space="preserve"> (PREC10)</w:t>
      </w:r>
      <w:r w:rsidRPr="007B4AF8">
        <w:rPr>
          <w:color w:val="000000" w:themeColor="text1"/>
        </w:rPr>
        <w:t xml:space="preserve">. </w:t>
      </w:r>
      <w:r>
        <w:rPr>
          <w:b/>
          <w:bCs/>
          <w:color w:val="000000" w:themeColor="text1"/>
        </w:rPr>
        <w:t>e</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the difference of seasonal average net solar flux at surface (</w:t>
      </w:r>
      <w:r w:rsidR="004D507A">
        <w:rPr>
          <w:color w:val="000000" w:themeColor="text1"/>
        </w:rPr>
        <w:t xml:space="preserve">FSNS; </w:t>
      </w:r>
      <w:r>
        <w:rPr>
          <w:color w:val="000000" w:themeColor="text1"/>
        </w:rPr>
        <w:t>positive for the downward direction)</w:t>
      </w:r>
      <w:r w:rsidRPr="007B4AF8">
        <w:rPr>
          <w:color w:val="000000" w:themeColor="text1"/>
        </w:rPr>
        <w:t>.</w:t>
      </w:r>
      <w:r>
        <w:rPr>
          <w:color w:val="000000" w:themeColor="text1"/>
        </w:rPr>
        <w:t xml:space="preserve"> </w:t>
      </w:r>
      <w:r>
        <w:rPr>
          <w:b/>
          <w:bCs/>
          <w:color w:val="000000" w:themeColor="text1"/>
        </w:rPr>
        <w:t>f</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the difference of seasonal average vertically integrated total cloud fraction</w:t>
      </w:r>
      <w:r w:rsidR="004D507A">
        <w:rPr>
          <w:color w:val="000000" w:themeColor="text1"/>
        </w:rPr>
        <w:t xml:space="preserve"> (CLDTOT)</w:t>
      </w:r>
      <w:r w:rsidRPr="007B4AF8">
        <w:rPr>
          <w:color w:val="000000" w:themeColor="text1"/>
        </w:rPr>
        <w:t>.</w:t>
      </w:r>
      <w:r>
        <w:rPr>
          <w:color w:val="000000" w:themeColor="text1"/>
        </w:rPr>
        <w:t xml:space="preserve"> </w:t>
      </w:r>
      <w:r w:rsidRPr="007B4AF8">
        <w:rPr>
          <w:color w:val="000000" w:themeColor="text1"/>
        </w:rPr>
        <w:t xml:space="preserve">Stipples in </w:t>
      </w:r>
      <w:r>
        <w:rPr>
          <w:b/>
          <w:bCs/>
          <w:color w:val="000000" w:themeColor="text1"/>
        </w:rPr>
        <w:t>a</w:t>
      </w:r>
      <w:r w:rsidRPr="007B4AF8">
        <w:rPr>
          <w:b/>
          <w:bCs/>
          <w:color w:val="000000" w:themeColor="text1"/>
        </w:rPr>
        <w:t>-</w:t>
      </w:r>
      <w:r>
        <w:rPr>
          <w:b/>
          <w:bCs/>
          <w:color w:val="000000" w:themeColor="text1"/>
        </w:rPr>
        <w:t>f</w:t>
      </w:r>
      <w:r w:rsidRPr="007B4AF8">
        <w:rPr>
          <w:color w:val="000000" w:themeColor="text1"/>
        </w:rPr>
        <w:t xml:space="preserve"> show regions that are significantly different from 0 at </w:t>
      </w:r>
      <w:r>
        <w:rPr>
          <w:color w:val="000000" w:themeColor="text1"/>
        </w:rPr>
        <w:t xml:space="preserve">the </w:t>
      </w:r>
      <w:r w:rsidRPr="007B4AF8">
        <w:rPr>
          <w:color w:val="000000" w:themeColor="text1"/>
        </w:rPr>
        <w:t>0.1 significance level</w:t>
      </w:r>
      <w:r>
        <w:rPr>
          <w:color w:val="000000" w:themeColor="text1"/>
        </w:rPr>
        <w:t xml:space="preserve"> </w:t>
      </w:r>
      <w:r w:rsidRPr="0099034F">
        <w:rPr>
          <w:color w:val="000000" w:themeColor="text1"/>
          <w:szCs w:val="24"/>
        </w:rPr>
        <w:t>of two-sided t-test</w:t>
      </w:r>
      <w:r>
        <w:t>.</w:t>
      </w:r>
    </w:p>
    <w:p w14:paraId="45CD44F7" w14:textId="77777777" w:rsidR="00FF557B" w:rsidRDefault="00FF557B" w:rsidP="00FF557B">
      <w:pPr>
        <w:pStyle w:val="SMcaption"/>
        <w:spacing w:line="480" w:lineRule="auto"/>
      </w:pPr>
    </w:p>
    <w:p w14:paraId="6EDB7F96" w14:textId="77777777" w:rsidR="00FF557B" w:rsidRDefault="00FF557B" w:rsidP="00FF557B">
      <w:pPr>
        <w:spacing w:line="480" w:lineRule="auto"/>
      </w:pPr>
      <w:r>
        <w:br w:type="page"/>
      </w:r>
    </w:p>
    <w:p w14:paraId="75BA7EBF" w14:textId="77777777" w:rsidR="00FF557B" w:rsidRDefault="00FF557B" w:rsidP="00FF557B">
      <w:pPr>
        <w:pStyle w:val="SMcaption"/>
        <w:spacing w:line="480" w:lineRule="auto"/>
      </w:pPr>
      <w:r>
        <w:rPr>
          <w:noProof/>
        </w:rPr>
        <w:lastRenderedPageBreak/>
        <w:drawing>
          <wp:inline distT="0" distB="0" distL="0" distR="0" wp14:anchorId="78229D7C" wp14:editId="6300994D">
            <wp:extent cx="4671958" cy="6509655"/>
            <wp:effectExtent l="0" t="0" r="1905" b="571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9"/>
                    <a:stretch>
                      <a:fillRect/>
                    </a:stretch>
                  </pic:blipFill>
                  <pic:spPr>
                    <a:xfrm>
                      <a:off x="0" y="0"/>
                      <a:ext cx="4671958" cy="6509655"/>
                    </a:xfrm>
                    <a:prstGeom prst="rect">
                      <a:avLst/>
                    </a:prstGeom>
                  </pic:spPr>
                </pic:pic>
              </a:graphicData>
            </a:graphic>
          </wp:inline>
        </w:drawing>
      </w:r>
    </w:p>
    <w:p w14:paraId="0E9D5CE7" w14:textId="059F9B6C" w:rsidR="00FF557B" w:rsidRDefault="00FF557B" w:rsidP="00FF557B">
      <w:pPr>
        <w:pStyle w:val="SMcaption"/>
        <w:spacing w:line="480" w:lineRule="auto"/>
        <w:rPr>
          <w:color w:val="000000" w:themeColor="text1"/>
        </w:rPr>
      </w:pPr>
      <w:r w:rsidRPr="00752E47">
        <w:rPr>
          <w:b/>
          <w:bCs/>
        </w:rPr>
        <w:t>Supplementary</w:t>
      </w:r>
      <w:r>
        <w:t xml:space="preserve"> </w:t>
      </w:r>
      <w:r w:rsidRPr="009B32EB">
        <w:rPr>
          <w:b/>
          <w:bCs/>
        </w:rPr>
        <w:t xml:space="preserve">Fig. </w:t>
      </w:r>
      <w:r>
        <w:rPr>
          <w:b/>
          <w:bCs/>
        </w:rPr>
        <w:t xml:space="preserve">4. Fractional </w:t>
      </w:r>
      <w:r>
        <w:rPr>
          <w:b/>
          <w:bCs/>
          <w:color w:val="000000" w:themeColor="text1"/>
        </w:rPr>
        <w:t>changes of monthly fire weather and fire variables in the CESM-RESFire experiments</w:t>
      </w:r>
      <w:r w:rsidRPr="007B4AF8">
        <w:rPr>
          <w:b/>
          <w:bCs/>
          <w:color w:val="000000" w:themeColor="text1"/>
        </w:rPr>
        <w:t xml:space="preserve">. </w:t>
      </w:r>
      <w:r>
        <w:rPr>
          <w:b/>
          <w:bCs/>
          <w:color w:val="000000" w:themeColor="text1"/>
        </w:rPr>
        <w:t>a</w:t>
      </w:r>
      <w:r w:rsidRPr="007B4AF8">
        <w:rPr>
          <w:color w:val="000000" w:themeColor="text1"/>
        </w:rPr>
        <w:t xml:space="preserve">, </w:t>
      </w:r>
      <w:r>
        <w:rPr>
          <w:color w:val="000000" w:themeColor="text1"/>
        </w:rPr>
        <w:t>fractional Changes</w:t>
      </w:r>
      <w:r w:rsidRPr="007B4AF8">
        <w:rPr>
          <w:color w:val="000000" w:themeColor="text1"/>
        </w:rPr>
        <w:t xml:space="preserve"> </w:t>
      </w:r>
      <w:r>
        <w:rPr>
          <w:color w:val="000000" w:themeColor="text1"/>
        </w:rPr>
        <w:t>of regional average FFWI</w:t>
      </w:r>
      <w:r w:rsidRPr="007B4AF8">
        <w:rPr>
          <w:color w:val="000000" w:themeColor="text1"/>
        </w:rPr>
        <w:t xml:space="preserve"> </w:t>
      </w:r>
      <w:r>
        <w:rPr>
          <w:color w:val="000000" w:themeColor="text1"/>
        </w:rPr>
        <w:t xml:space="preserve">over the western U.S. </w:t>
      </w:r>
      <w:r w:rsidRPr="007B4AF8">
        <w:rPr>
          <w:color w:val="000000" w:themeColor="text1"/>
        </w:rPr>
        <w:t xml:space="preserve">between the </w:t>
      </w:r>
      <w:proofErr w:type="spellStart"/>
      <w:r w:rsidRPr="007B4AF8">
        <w:rPr>
          <w:color w:val="000000" w:themeColor="text1"/>
        </w:rPr>
        <w:t>SIC</w:t>
      </w:r>
      <w:r w:rsidR="00546C92">
        <w:rPr>
          <w:color w:val="000000" w:themeColor="text1"/>
        </w:rPr>
        <w:t>exp</w:t>
      </w:r>
      <w:proofErr w:type="spellEnd"/>
      <w:r w:rsidRPr="007B4AF8">
        <w:rPr>
          <w:color w:val="000000" w:themeColor="text1"/>
        </w:rPr>
        <w:t xml:space="preserve">- and </w:t>
      </w:r>
      <w:proofErr w:type="spellStart"/>
      <w:r w:rsidRPr="007B4AF8">
        <w:rPr>
          <w:color w:val="000000" w:themeColor="text1"/>
        </w:rPr>
        <w:t>SIC</w:t>
      </w:r>
      <w:r w:rsidR="00546C92">
        <w:rPr>
          <w:color w:val="000000" w:themeColor="text1"/>
        </w:rPr>
        <w:t>exp</w:t>
      </w:r>
      <w:proofErr w:type="spellEnd"/>
      <w:r w:rsidRPr="007B4AF8">
        <w:rPr>
          <w:color w:val="000000" w:themeColor="text1"/>
        </w:rPr>
        <w:t xml:space="preserve">+ sensitivity experiments. </w:t>
      </w:r>
      <w:r>
        <w:rPr>
          <w:b/>
          <w:bCs/>
          <w:color w:val="000000" w:themeColor="text1"/>
        </w:rPr>
        <w:t>b</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fractional changes</w:t>
      </w:r>
      <w:r w:rsidRPr="007B4AF8">
        <w:rPr>
          <w:color w:val="000000" w:themeColor="text1"/>
        </w:rPr>
        <w:t xml:space="preserve"> </w:t>
      </w:r>
      <w:r>
        <w:rPr>
          <w:color w:val="000000" w:themeColor="text1"/>
        </w:rPr>
        <w:t>of regional total fire counts</w:t>
      </w:r>
      <w:r w:rsidRPr="007B4AF8">
        <w:rPr>
          <w:color w:val="000000" w:themeColor="text1"/>
        </w:rPr>
        <w:t xml:space="preserve">. </w:t>
      </w:r>
      <w:r>
        <w:rPr>
          <w:b/>
          <w:bCs/>
          <w:color w:val="000000" w:themeColor="text1"/>
        </w:rPr>
        <w:t>c</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fractional changes</w:t>
      </w:r>
      <w:r w:rsidRPr="007B4AF8">
        <w:rPr>
          <w:color w:val="000000" w:themeColor="text1"/>
        </w:rPr>
        <w:t xml:space="preserve"> </w:t>
      </w:r>
      <w:r>
        <w:rPr>
          <w:color w:val="000000" w:themeColor="text1"/>
        </w:rPr>
        <w:t xml:space="preserve">of regional average </w:t>
      </w:r>
      <w:r>
        <w:rPr>
          <w:color w:val="000000" w:themeColor="text1"/>
        </w:rPr>
        <w:lastRenderedPageBreak/>
        <w:t>fire sizes</w:t>
      </w:r>
      <w:r w:rsidRPr="007B4AF8">
        <w:rPr>
          <w:color w:val="000000" w:themeColor="text1"/>
        </w:rPr>
        <w:t xml:space="preserve">. </w:t>
      </w:r>
      <w:r>
        <w:rPr>
          <w:b/>
          <w:bCs/>
          <w:color w:val="000000" w:themeColor="text1"/>
        </w:rPr>
        <w:t>d</w:t>
      </w:r>
      <w:r w:rsidRPr="007B4AF8">
        <w:rPr>
          <w:color w:val="000000" w:themeColor="text1"/>
        </w:rPr>
        <w:t xml:space="preserve">, As in </w:t>
      </w:r>
      <w:r>
        <w:rPr>
          <w:b/>
          <w:bCs/>
          <w:color w:val="000000" w:themeColor="text1"/>
        </w:rPr>
        <w:t>a</w:t>
      </w:r>
      <w:r w:rsidRPr="007B4AF8">
        <w:rPr>
          <w:color w:val="000000" w:themeColor="text1"/>
        </w:rPr>
        <w:t xml:space="preserve">, but for </w:t>
      </w:r>
      <w:r>
        <w:rPr>
          <w:color w:val="000000" w:themeColor="text1"/>
        </w:rPr>
        <w:t>fractional changes</w:t>
      </w:r>
      <w:r w:rsidRPr="007B4AF8">
        <w:rPr>
          <w:color w:val="000000" w:themeColor="text1"/>
        </w:rPr>
        <w:t xml:space="preserve"> </w:t>
      </w:r>
      <w:r>
        <w:rPr>
          <w:color w:val="000000" w:themeColor="text1"/>
        </w:rPr>
        <w:t>of regional total burned area</w:t>
      </w:r>
      <w:r w:rsidRPr="007B4AF8">
        <w:rPr>
          <w:color w:val="000000" w:themeColor="text1"/>
        </w:rPr>
        <w:t>.</w:t>
      </w:r>
      <w:r>
        <w:rPr>
          <w:color w:val="000000" w:themeColor="text1"/>
        </w:rPr>
        <w:t xml:space="preserve"> </w:t>
      </w:r>
      <w:r w:rsidRPr="007B4AF8">
        <w:rPr>
          <w:color w:val="000000" w:themeColor="text1"/>
        </w:rPr>
        <w:t xml:space="preserve"> </w:t>
      </w:r>
      <w:r>
        <w:rPr>
          <w:color w:val="000000" w:themeColor="text1"/>
        </w:rPr>
        <w:t>Shadings</w:t>
      </w:r>
      <w:r w:rsidRPr="007B4AF8">
        <w:rPr>
          <w:color w:val="000000" w:themeColor="text1"/>
        </w:rPr>
        <w:t xml:space="preserve"> in </w:t>
      </w:r>
      <w:r>
        <w:rPr>
          <w:b/>
          <w:bCs/>
          <w:color w:val="000000" w:themeColor="text1"/>
        </w:rPr>
        <w:t>a</w:t>
      </w:r>
      <w:r w:rsidRPr="007B4AF8">
        <w:rPr>
          <w:b/>
          <w:bCs/>
          <w:color w:val="000000" w:themeColor="text1"/>
        </w:rPr>
        <w:t>-</w:t>
      </w:r>
      <w:r>
        <w:rPr>
          <w:b/>
          <w:bCs/>
          <w:color w:val="000000" w:themeColor="text1"/>
        </w:rPr>
        <w:t>d</w:t>
      </w:r>
      <w:r w:rsidRPr="007B4AF8">
        <w:rPr>
          <w:color w:val="000000" w:themeColor="text1"/>
        </w:rPr>
        <w:t xml:space="preserve"> show </w:t>
      </w:r>
      <w:r>
        <w:rPr>
          <w:color w:val="000000" w:themeColor="text1"/>
        </w:rPr>
        <w:t>fractional changes</w:t>
      </w:r>
      <w:r w:rsidRPr="007B4AF8">
        <w:rPr>
          <w:color w:val="000000" w:themeColor="text1"/>
        </w:rPr>
        <w:t xml:space="preserve"> that are significantly different from 0 at </w:t>
      </w:r>
      <w:r>
        <w:rPr>
          <w:color w:val="000000" w:themeColor="text1"/>
        </w:rPr>
        <w:t xml:space="preserve">the </w:t>
      </w:r>
      <w:r w:rsidRPr="007B4AF8">
        <w:rPr>
          <w:color w:val="000000" w:themeColor="text1"/>
        </w:rPr>
        <w:t>0.</w:t>
      </w:r>
      <w:r>
        <w:rPr>
          <w:color w:val="000000" w:themeColor="text1"/>
        </w:rPr>
        <w:t>05 (dark) and 0.1 (grey)</w:t>
      </w:r>
      <w:r w:rsidRPr="007B4AF8">
        <w:rPr>
          <w:color w:val="000000" w:themeColor="text1"/>
        </w:rPr>
        <w:t xml:space="preserve"> significance level</w:t>
      </w:r>
      <w:r>
        <w:rPr>
          <w:color w:val="000000" w:themeColor="text1"/>
        </w:rPr>
        <w:t xml:space="preserve">s </w:t>
      </w:r>
      <w:r w:rsidRPr="0099034F">
        <w:rPr>
          <w:color w:val="000000" w:themeColor="text1"/>
          <w:szCs w:val="24"/>
        </w:rPr>
        <w:t>of two-sided t-test</w:t>
      </w:r>
      <w:r w:rsidRPr="007B4AF8">
        <w:rPr>
          <w:color w:val="000000" w:themeColor="text1"/>
        </w:rPr>
        <w:t>.</w:t>
      </w:r>
    </w:p>
    <w:p w14:paraId="4601B29B" w14:textId="77777777" w:rsidR="00FF557B" w:rsidRDefault="00FF557B" w:rsidP="00FF557B">
      <w:pPr>
        <w:spacing w:line="480" w:lineRule="auto"/>
        <w:rPr>
          <w:color w:val="000000" w:themeColor="text1"/>
        </w:rPr>
      </w:pPr>
      <w:r>
        <w:rPr>
          <w:color w:val="000000" w:themeColor="text1"/>
        </w:rPr>
        <w:br w:type="page"/>
      </w:r>
    </w:p>
    <w:p w14:paraId="4A2DAFFC" w14:textId="77777777" w:rsidR="00FF557B" w:rsidRDefault="00FF557B" w:rsidP="00FF557B">
      <w:pPr>
        <w:pStyle w:val="Acknowledgement"/>
        <w:spacing w:line="480" w:lineRule="auto"/>
        <w:ind w:left="0" w:firstLine="0"/>
      </w:pPr>
      <w:r>
        <w:rPr>
          <w:noProof/>
        </w:rPr>
        <w:lastRenderedPageBreak/>
        <w:drawing>
          <wp:inline distT="0" distB="0" distL="0" distR="0" wp14:anchorId="29061789" wp14:editId="69C1A035">
            <wp:extent cx="5943600" cy="2228850"/>
            <wp:effectExtent l="0" t="0" r="0" b="6350"/>
            <wp:docPr id="12" name="Picture 12" descr="Graphical user interfac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chart, histogram&#10;&#10;Description automatically generated"/>
                    <pic:cNvPicPr/>
                  </pic:nvPicPr>
                  <pic:blipFill>
                    <a:blip r:embed="rId10"/>
                    <a:stretch>
                      <a:fillRect/>
                    </a:stretch>
                  </pic:blipFill>
                  <pic:spPr>
                    <a:xfrm>
                      <a:off x="0" y="0"/>
                      <a:ext cx="5943600" cy="2228850"/>
                    </a:xfrm>
                    <a:prstGeom prst="rect">
                      <a:avLst/>
                    </a:prstGeom>
                  </pic:spPr>
                </pic:pic>
              </a:graphicData>
            </a:graphic>
          </wp:inline>
        </w:drawing>
      </w:r>
    </w:p>
    <w:p w14:paraId="55C541EB" w14:textId="77777777" w:rsidR="00FF557B" w:rsidRPr="00937903" w:rsidRDefault="00FF557B" w:rsidP="00FF557B">
      <w:pPr>
        <w:pStyle w:val="Acknowledgement"/>
        <w:spacing w:line="480" w:lineRule="auto"/>
        <w:ind w:left="0" w:firstLine="0"/>
        <w:rPr>
          <w:b/>
          <w:bCs/>
        </w:rPr>
      </w:pPr>
      <w:r w:rsidRPr="00752E47">
        <w:rPr>
          <w:b/>
          <w:bCs/>
        </w:rPr>
        <w:t>Supplementary</w:t>
      </w:r>
      <w:r>
        <w:t xml:space="preserve"> </w:t>
      </w:r>
      <w:r w:rsidRPr="009B32EB">
        <w:rPr>
          <w:b/>
          <w:bCs/>
        </w:rPr>
        <w:t xml:space="preserve">Fig. </w:t>
      </w:r>
      <w:r>
        <w:rPr>
          <w:b/>
          <w:bCs/>
        </w:rPr>
        <w:t xml:space="preserve">5. Probability and intensity changes of extreme burning years </w:t>
      </w:r>
      <w:r>
        <w:rPr>
          <w:b/>
          <w:bCs/>
          <w:color w:val="000000" w:themeColor="text1"/>
        </w:rPr>
        <w:t>in the CESM-RESFire experiments</w:t>
      </w:r>
      <w:r w:rsidRPr="007B4AF8">
        <w:rPr>
          <w:b/>
          <w:bCs/>
          <w:color w:val="000000" w:themeColor="text1"/>
        </w:rPr>
        <w:t>.</w:t>
      </w:r>
      <w:r>
        <w:rPr>
          <w:b/>
          <w:bCs/>
          <w:color w:val="000000" w:themeColor="text1"/>
        </w:rPr>
        <w:t xml:space="preserve"> a</w:t>
      </w:r>
      <w:r w:rsidRPr="007B4AF8">
        <w:rPr>
          <w:color w:val="000000" w:themeColor="text1"/>
        </w:rPr>
        <w:t xml:space="preserve">, </w:t>
      </w:r>
      <w:r>
        <w:rPr>
          <w:color w:val="000000" w:themeColor="text1"/>
        </w:rPr>
        <w:t xml:space="preserve">the statistical distribution for occurrence probability estimates of extreme burning years in </w:t>
      </w:r>
      <w:r w:rsidRPr="007B4AF8">
        <w:rPr>
          <w:color w:val="000000" w:themeColor="text1"/>
        </w:rPr>
        <w:t xml:space="preserve">the </w:t>
      </w:r>
      <w:proofErr w:type="spellStart"/>
      <w:r>
        <w:rPr>
          <w:color w:val="000000" w:themeColor="text1"/>
        </w:rPr>
        <w:t>SICexp</w:t>
      </w:r>
      <w:proofErr w:type="spellEnd"/>
      <w:r w:rsidRPr="007B4AF8">
        <w:rPr>
          <w:color w:val="000000" w:themeColor="text1"/>
        </w:rPr>
        <w:t xml:space="preserve">- and </w:t>
      </w:r>
      <w:proofErr w:type="spellStart"/>
      <w:r>
        <w:rPr>
          <w:color w:val="000000" w:themeColor="text1"/>
        </w:rPr>
        <w:t>SICexp</w:t>
      </w:r>
      <w:proofErr w:type="spellEnd"/>
      <w:r w:rsidRPr="007B4AF8">
        <w:rPr>
          <w:color w:val="000000" w:themeColor="text1"/>
        </w:rPr>
        <w:t>+ climate sensitivity experiments</w:t>
      </w:r>
      <w:r>
        <w:rPr>
          <w:color w:val="000000" w:themeColor="text1"/>
        </w:rPr>
        <w:t xml:space="preserve"> based on the bootstrap resampling method without replacement (see Methods)</w:t>
      </w:r>
      <w:r w:rsidRPr="007B4AF8">
        <w:rPr>
          <w:color w:val="000000" w:themeColor="text1"/>
        </w:rPr>
        <w:t xml:space="preserve">. </w:t>
      </w:r>
      <w:r>
        <w:rPr>
          <w:color w:val="000000" w:themeColor="text1"/>
        </w:rPr>
        <w:t xml:space="preserve">The vertical dashed lines denote ensemble mean probabilities for the </w:t>
      </w:r>
      <w:proofErr w:type="spellStart"/>
      <w:r>
        <w:rPr>
          <w:color w:val="000000" w:themeColor="text1"/>
        </w:rPr>
        <w:t>SICexp</w:t>
      </w:r>
      <w:proofErr w:type="spellEnd"/>
      <w:r>
        <w:rPr>
          <w:color w:val="000000" w:themeColor="text1"/>
        </w:rPr>
        <w:t xml:space="preserve">- (red) and </w:t>
      </w:r>
      <w:proofErr w:type="spellStart"/>
      <w:r>
        <w:rPr>
          <w:color w:val="000000" w:themeColor="text1"/>
        </w:rPr>
        <w:t>SICexp</w:t>
      </w:r>
      <w:proofErr w:type="spellEnd"/>
      <w:r>
        <w:rPr>
          <w:color w:val="000000" w:themeColor="text1"/>
        </w:rPr>
        <w:t xml:space="preserve">+ (blue) experiments. </w:t>
      </w:r>
      <w:r>
        <w:rPr>
          <w:b/>
          <w:bCs/>
          <w:color w:val="000000" w:themeColor="text1"/>
        </w:rPr>
        <w:t>b</w:t>
      </w:r>
      <w:r w:rsidRPr="007B4AF8">
        <w:rPr>
          <w:color w:val="000000" w:themeColor="text1"/>
        </w:rPr>
        <w:t xml:space="preserve">, As in </w:t>
      </w:r>
      <w:r>
        <w:rPr>
          <w:b/>
          <w:bCs/>
          <w:color w:val="000000" w:themeColor="text1"/>
        </w:rPr>
        <w:t>a</w:t>
      </w:r>
      <w:r w:rsidRPr="007B4AF8">
        <w:rPr>
          <w:color w:val="000000" w:themeColor="text1"/>
        </w:rPr>
        <w:t>, but for</w:t>
      </w:r>
      <w:r>
        <w:rPr>
          <w:color w:val="000000" w:themeColor="text1"/>
        </w:rPr>
        <w:t xml:space="preserve"> intensity estimates of extreme burning years without replacement in the bootstrap estimation. The vertical dashed lines denote ensemble mean intensity for the </w:t>
      </w:r>
      <w:proofErr w:type="spellStart"/>
      <w:r>
        <w:rPr>
          <w:color w:val="000000" w:themeColor="text1"/>
        </w:rPr>
        <w:t>SICexp</w:t>
      </w:r>
      <w:proofErr w:type="spellEnd"/>
      <w:r>
        <w:rPr>
          <w:color w:val="000000" w:themeColor="text1"/>
        </w:rPr>
        <w:t xml:space="preserve">- (red) and </w:t>
      </w:r>
      <w:proofErr w:type="spellStart"/>
      <w:r>
        <w:rPr>
          <w:color w:val="000000" w:themeColor="text1"/>
        </w:rPr>
        <w:t>SICexp</w:t>
      </w:r>
      <w:proofErr w:type="spellEnd"/>
      <w:r>
        <w:rPr>
          <w:color w:val="000000" w:themeColor="text1"/>
        </w:rPr>
        <w:t>+ (blue) experiments.</w:t>
      </w:r>
      <w:r>
        <w:rPr>
          <w:b/>
          <w:bCs/>
          <w:color w:val="000000" w:themeColor="text1"/>
        </w:rPr>
        <w:t xml:space="preserve"> c-d</w:t>
      </w:r>
      <w:r w:rsidRPr="007B4AF8">
        <w:rPr>
          <w:color w:val="000000" w:themeColor="text1"/>
        </w:rPr>
        <w:t xml:space="preserve">, As in </w:t>
      </w:r>
      <w:r>
        <w:rPr>
          <w:b/>
          <w:bCs/>
          <w:color w:val="000000" w:themeColor="text1"/>
        </w:rPr>
        <w:t>a-b</w:t>
      </w:r>
      <w:r w:rsidRPr="007B4AF8">
        <w:rPr>
          <w:color w:val="000000" w:themeColor="text1"/>
        </w:rPr>
        <w:t>, but for</w:t>
      </w:r>
      <w:r>
        <w:rPr>
          <w:color w:val="000000" w:themeColor="text1"/>
        </w:rPr>
        <w:t xml:space="preserve"> the probability and intensity estimates of extreme burning years with replacement in the bootstrap estimation.</w:t>
      </w:r>
    </w:p>
    <w:p w14:paraId="0B7EB961" w14:textId="77777777" w:rsidR="00FF557B" w:rsidRDefault="00FF557B" w:rsidP="00FF557B">
      <w:pPr>
        <w:spacing w:line="480" w:lineRule="auto"/>
      </w:pPr>
      <w:r>
        <w:br w:type="page"/>
      </w:r>
    </w:p>
    <w:p w14:paraId="179A6C06" w14:textId="77777777" w:rsidR="00FF557B" w:rsidRDefault="00FF557B" w:rsidP="00FF557B">
      <w:pPr>
        <w:pStyle w:val="Acknowledgement"/>
        <w:spacing w:line="480" w:lineRule="auto"/>
        <w:ind w:left="0" w:firstLine="0"/>
      </w:pPr>
      <w:r>
        <w:rPr>
          <w:noProof/>
        </w:rPr>
        <w:lastRenderedPageBreak/>
        <w:drawing>
          <wp:inline distT="0" distB="0" distL="0" distR="0" wp14:anchorId="442C0F5C" wp14:editId="69560ACB">
            <wp:extent cx="5811252" cy="2057400"/>
            <wp:effectExtent l="0" t="0" r="5715" b="0"/>
            <wp:docPr id="13" name="Picture 1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ox and whisker chart&#10;&#10;Description automatically generated"/>
                    <pic:cNvPicPr/>
                  </pic:nvPicPr>
                  <pic:blipFill>
                    <a:blip r:embed="rId11"/>
                    <a:stretch>
                      <a:fillRect/>
                    </a:stretch>
                  </pic:blipFill>
                  <pic:spPr>
                    <a:xfrm>
                      <a:off x="0" y="0"/>
                      <a:ext cx="5811252" cy="2057400"/>
                    </a:xfrm>
                    <a:prstGeom prst="rect">
                      <a:avLst/>
                    </a:prstGeom>
                  </pic:spPr>
                </pic:pic>
              </a:graphicData>
            </a:graphic>
          </wp:inline>
        </w:drawing>
      </w:r>
    </w:p>
    <w:p w14:paraId="1A2ED4FC" w14:textId="101BBB64" w:rsidR="00FF557B" w:rsidRDefault="00FF557B" w:rsidP="00FF557B">
      <w:pPr>
        <w:pStyle w:val="Acknowledgement"/>
        <w:spacing w:line="480" w:lineRule="auto"/>
        <w:ind w:left="0" w:firstLine="0"/>
      </w:pPr>
      <w:r w:rsidRPr="00752E47">
        <w:rPr>
          <w:b/>
          <w:bCs/>
        </w:rPr>
        <w:t>Supplementary</w:t>
      </w:r>
      <w:r>
        <w:t xml:space="preserve"> </w:t>
      </w:r>
      <w:r w:rsidRPr="009B32EB">
        <w:rPr>
          <w:b/>
          <w:bCs/>
        </w:rPr>
        <w:t xml:space="preserve">Fig. </w:t>
      </w:r>
      <w:r>
        <w:rPr>
          <w:b/>
          <w:bCs/>
        </w:rPr>
        <w:t xml:space="preserve">6. The relationship between the occurrence probability estimates of extreme burning years and ensemble sizes of </w:t>
      </w:r>
      <w:r>
        <w:rPr>
          <w:b/>
          <w:bCs/>
          <w:color w:val="000000" w:themeColor="text1"/>
        </w:rPr>
        <w:t>the CESM-RESFire experiments</w:t>
      </w:r>
      <w:r w:rsidRPr="007B4AF8">
        <w:rPr>
          <w:b/>
          <w:bCs/>
          <w:color w:val="000000" w:themeColor="text1"/>
        </w:rPr>
        <w:t>.</w:t>
      </w:r>
      <w:r>
        <w:rPr>
          <w:b/>
          <w:bCs/>
          <w:color w:val="000000" w:themeColor="text1"/>
        </w:rPr>
        <w:t xml:space="preserve"> a</w:t>
      </w:r>
      <w:r w:rsidRPr="007B4AF8">
        <w:rPr>
          <w:color w:val="000000" w:themeColor="text1"/>
        </w:rPr>
        <w:t xml:space="preserve">, </w:t>
      </w:r>
      <w:r>
        <w:rPr>
          <w:color w:val="000000" w:themeColor="text1"/>
        </w:rPr>
        <w:t xml:space="preserve">the </w:t>
      </w:r>
      <w:r w:rsidRPr="00937903">
        <w:rPr>
          <w:color w:val="000000" w:themeColor="text1"/>
        </w:rPr>
        <w:t xml:space="preserve">probability </w:t>
      </w:r>
      <w:r>
        <w:rPr>
          <w:color w:val="000000" w:themeColor="text1"/>
        </w:rPr>
        <w:t>estimates</w:t>
      </w:r>
      <w:r w:rsidRPr="00937903">
        <w:rPr>
          <w:color w:val="000000" w:themeColor="text1"/>
        </w:rPr>
        <w:t xml:space="preserve"> of extreme burning years</w:t>
      </w:r>
      <w:r>
        <w:rPr>
          <w:color w:val="000000" w:themeColor="text1"/>
        </w:rPr>
        <w:t xml:space="preserve"> based on different sizes of ensemble members in the </w:t>
      </w:r>
      <w:proofErr w:type="spellStart"/>
      <w:r>
        <w:rPr>
          <w:color w:val="000000" w:themeColor="text1"/>
        </w:rPr>
        <w:t>SIC</w:t>
      </w:r>
      <w:r w:rsidR="00445747">
        <w:rPr>
          <w:color w:val="000000" w:themeColor="text1"/>
        </w:rPr>
        <w:t>exp</w:t>
      </w:r>
      <w:proofErr w:type="spellEnd"/>
      <w:r>
        <w:rPr>
          <w:color w:val="000000" w:themeColor="text1"/>
        </w:rPr>
        <w:t xml:space="preserve">- and </w:t>
      </w:r>
      <w:proofErr w:type="spellStart"/>
      <w:r>
        <w:rPr>
          <w:color w:val="000000" w:themeColor="text1"/>
        </w:rPr>
        <w:t>SIC</w:t>
      </w:r>
      <w:r w:rsidR="00445747">
        <w:rPr>
          <w:color w:val="000000" w:themeColor="text1"/>
        </w:rPr>
        <w:t>exp</w:t>
      </w:r>
      <w:proofErr w:type="spellEnd"/>
      <w:r>
        <w:rPr>
          <w:color w:val="000000" w:themeColor="text1"/>
        </w:rPr>
        <w:t xml:space="preserve">+ experiments without replacement in the bootstrap method (see Methods). Note the probabilities of extreme burning years in </w:t>
      </w:r>
      <w:proofErr w:type="spellStart"/>
      <w:r>
        <w:rPr>
          <w:color w:val="000000" w:themeColor="text1"/>
        </w:rPr>
        <w:t>SIC</w:t>
      </w:r>
      <w:r w:rsidR="00445747">
        <w:rPr>
          <w:color w:val="000000" w:themeColor="text1"/>
        </w:rPr>
        <w:t>exp</w:t>
      </w:r>
      <w:proofErr w:type="spellEnd"/>
      <w:r>
        <w:rPr>
          <w:color w:val="000000" w:themeColor="text1"/>
        </w:rPr>
        <w:t xml:space="preserve">+ are always 5% by definition. </w:t>
      </w:r>
      <w:r>
        <w:rPr>
          <w:b/>
          <w:bCs/>
          <w:color w:val="000000" w:themeColor="text1"/>
        </w:rPr>
        <w:t>b</w:t>
      </w:r>
      <w:r w:rsidRPr="007B4AF8">
        <w:rPr>
          <w:color w:val="000000" w:themeColor="text1"/>
        </w:rPr>
        <w:t xml:space="preserve">, As in </w:t>
      </w:r>
      <w:r>
        <w:rPr>
          <w:b/>
          <w:bCs/>
          <w:color w:val="000000" w:themeColor="text1"/>
        </w:rPr>
        <w:t>a</w:t>
      </w:r>
      <w:r w:rsidRPr="007B4AF8">
        <w:rPr>
          <w:color w:val="000000" w:themeColor="text1"/>
        </w:rPr>
        <w:t>, but for</w:t>
      </w:r>
      <w:r>
        <w:rPr>
          <w:color w:val="000000" w:themeColor="text1"/>
        </w:rPr>
        <w:t xml:space="preserve"> the </w:t>
      </w:r>
      <w:r w:rsidRPr="00937903">
        <w:rPr>
          <w:color w:val="000000" w:themeColor="text1"/>
        </w:rPr>
        <w:t xml:space="preserve">probability </w:t>
      </w:r>
      <w:r>
        <w:rPr>
          <w:color w:val="000000" w:themeColor="text1"/>
        </w:rPr>
        <w:t xml:space="preserve">estimates of extreme burning years with replacement in the bootstrap method. The circles in </w:t>
      </w:r>
      <w:r>
        <w:rPr>
          <w:b/>
          <w:bCs/>
          <w:color w:val="000000" w:themeColor="text1"/>
        </w:rPr>
        <w:t>a-b</w:t>
      </w:r>
      <w:r>
        <w:rPr>
          <w:color w:val="000000" w:themeColor="text1"/>
        </w:rPr>
        <w:t xml:space="preserve"> denote the ensemble means of the probability estimates, and the lower and upper </w:t>
      </w:r>
      <w:r w:rsidRPr="00C87C7F">
        <w:rPr>
          <w:color w:val="000000" w:themeColor="text1"/>
        </w:rPr>
        <w:t>whisker</w:t>
      </w:r>
      <w:r>
        <w:rPr>
          <w:color w:val="000000" w:themeColor="text1"/>
        </w:rPr>
        <w:t>s denote the 95% (from 2.5% to 97.5%) inter-percentile ranges of the probability estimates.</w:t>
      </w:r>
    </w:p>
    <w:p w14:paraId="11AD80DF" w14:textId="77777777" w:rsidR="00FF557B" w:rsidRDefault="00FF557B" w:rsidP="00FF557B">
      <w:pPr>
        <w:spacing w:line="480" w:lineRule="auto"/>
      </w:pPr>
      <w:r>
        <w:br w:type="page"/>
      </w:r>
    </w:p>
    <w:p w14:paraId="48359CC4" w14:textId="77777777" w:rsidR="00FF557B" w:rsidRDefault="00FF557B" w:rsidP="00FF557B">
      <w:pPr>
        <w:pStyle w:val="Acknowledgement"/>
        <w:spacing w:line="480" w:lineRule="auto"/>
        <w:ind w:left="0" w:firstLine="0"/>
      </w:pPr>
      <w:r w:rsidRPr="00770C7F">
        <w:rPr>
          <w:noProof/>
        </w:rPr>
        <w:lastRenderedPageBreak/>
        <w:drawing>
          <wp:inline distT="0" distB="0" distL="0" distR="0" wp14:anchorId="24E90DCD" wp14:editId="1BC33536">
            <wp:extent cx="5745669" cy="4748157"/>
            <wp:effectExtent l="0" t="0" r="0" b="1905"/>
            <wp:docPr id="9" name="Picture 8" descr="Diagram&#10;&#10;Description automatically generated">
              <a:extLst xmlns:a="http://schemas.openxmlformats.org/drawingml/2006/main">
                <a:ext uri="{FF2B5EF4-FFF2-40B4-BE49-F238E27FC236}">
                  <a16:creationId xmlns:a16="http://schemas.microsoft.com/office/drawing/2014/main" id="{7CB690A0-5ED9-BD41-8E28-AC65F30C3E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Diagram&#10;&#10;Description automatically generated">
                      <a:extLst>
                        <a:ext uri="{FF2B5EF4-FFF2-40B4-BE49-F238E27FC236}">
                          <a16:creationId xmlns:a16="http://schemas.microsoft.com/office/drawing/2014/main" id="{7CB690A0-5ED9-BD41-8E28-AC65F30C3E4E}"/>
                        </a:ext>
                      </a:extLst>
                    </pic:cNvPr>
                    <pic:cNvPicPr>
                      <a:picLocks noChangeAspect="1"/>
                    </pic:cNvPicPr>
                  </pic:nvPicPr>
                  <pic:blipFill>
                    <a:blip r:embed="rId12"/>
                    <a:srcRect t="1003" b="1003"/>
                    <a:stretch>
                      <a:fillRect/>
                    </a:stretch>
                  </pic:blipFill>
                  <pic:spPr>
                    <a:xfrm>
                      <a:off x="0" y="0"/>
                      <a:ext cx="5745669" cy="4748157"/>
                    </a:xfrm>
                    <a:prstGeom prst="rect">
                      <a:avLst/>
                    </a:prstGeom>
                  </pic:spPr>
                </pic:pic>
              </a:graphicData>
            </a:graphic>
          </wp:inline>
        </w:drawing>
      </w:r>
    </w:p>
    <w:p w14:paraId="4BCBD60E" w14:textId="14792266" w:rsidR="00FF557B" w:rsidRDefault="00FF557B" w:rsidP="00FF557B">
      <w:pPr>
        <w:pStyle w:val="Acknowledgement"/>
        <w:spacing w:line="480" w:lineRule="auto"/>
        <w:ind w:left="0" w:firstLine="0"/>
        <w:rPr>
          <w:color w:val="000000" w:themeColor="text1"/>
        </w:rPr>
      </w:pPr>
      <w:r w:rsidRPr="00752E47">
        <w:rPr>
          <w:b/>
          <w:bCs/>
        </w:rPr>
        <w:t>Supplementary</w:t>
      </w:r>
      <w:r>
        <w:t xml:space="preserve"> </w:t>
      </w:r>
      <w:r w:rsidRPr="009B32EB">
        <w:rPr>
          <w:b/>
          <w:bCs/>
        </w:rPr>
        <w:t>Fig.</w:t>
      </w:r>
      <w:r>
        <w:rPr>
          <w:b/>
          <w:bCs/>
        </w:rPr>
        <w:t xml:space="preserve"> 7. Air temperature and its tendency responses in </w:t>
      </w:r>
      <w:r>
        <w:rPr>
          <w:b/>
          <w:bCs/>
          <w:color w:val="000000" w:themeColor="text1"/>
        </w:rPr>
        <w:t>the CESM-RESFire experiments. a</w:t>
      </w:r>
      <w:r w:rsidRPr="007B4AF8">
        <w:rPr>
          <w:color w:val="000000" w:themeColor="text1"/>
        </w:rPr>
        <w:t xml:space="preserve">, </w:t>
      </w:r>
      <w:r>
        <w:rPr>
          <w:color w:val="000000" w:themeColor="text1"/>
        </w:rPr>
        <w:t xml:space="preserve">zonally-averaged temperature difference between </w:t>
      </w:r>
      <w:r w:rsidRPr="00FA32E1">
        <w:t xml:space="preserve">the </w:t>
      </w:r>
      <w:proofErr w:type="spellStart"/>
      <w:r w:rsidRPr="00FA32E1">
        <w:t>SIC</w:t>
      </w:r>
      <w:r w:rsidR="00445747">
        <w:t>exp</w:t>
      </w:r>
      <w:proofErr w:type="spellEnd"/>
      <w:r w:rsidRPr="00FA32E1">
        <w:t xml:space="preserve">- and </w:t>
      </w:r>
      <w:proofErr w:type="spellStart"/>
      <w:r w:rsidRPr="00FA32E1">
        <w:t>SIC</w:t>
      </w:r>
      <w:r w:rsidR="00445747">
        <w:t>exp</w:t>
      </w:r>
      <w:proofErr w:type="spellEnd"/>
      <w:r w:rsidRPr="00FA32E1">
        <w:t xml:space="preserve">+ </w:t>
      </w:r>
      <w:r>
        <w:t>sensitivity experiments</w:t>
      </w:r>
      <w:r w:rsidRPr="00FA32E1">
        <w:t xml:space="preserve"> </w:t>
      </w:r>
      <w:r>
        <w:rPr>
          <w:color w:val="000000" w:themeColor="text1"/>
        </w:rPr>
        <w:t>as shown in Fig. 3</w:t>
      </w:r>
      <w:r w:rsidR="003F77DC">
        <w:rPr>
          <w:color w:val="000000" w:themeColor="text1"/>
        </w:rPr>
        <w:t>c</w:t>
      </w:r>
      <w:r>
        <w:rPr>
          <w:color w:val="000000" w:themeColor="text1"/>
        </w:rPr>
        <w:t xml:space="preserve">. The red (blue) box outlines a warm (cool) region in response to the sea-ice perturbation in the </w:t>
      </w:r>
      <w:proofErr w:type="spellStart"/>
      <w:r>
        <w:rPr>
          <w:color w:val="000000" w:themeColor="text1"/>
        </w:rPr>
        <w:t>SIC</w:t>
      </w:r>
      <w:r w:rsidR="00445747">
        <w:rPr>
          <w:color w:val="000000" w:themeColor="text1"/>
        </w:rPr>
        <w:t>exp</w:t>
      </w:r>
      <w:proofErr w:type="spellEnd"/>
      <w:r>
        <w:rPr>
          <w:color w:val="000000" w:themeColor="text1"/>
        </w:rPr>
        <w:t xml:space="preserve">- and </w:t>
      </w:r>
      <w:proofErr w:type="spellStart"/>
      <w:r>
        <w:rPr>
          <w:color w:val="000000" w:themeColor="text1"/>
        </w:rPr>
        <w:t>SIC</w:t>
      </w:r>
      <w:r w:rsidR="00445747">
        <w:rPr>
          <w:color w:val="000000" w:themeColor="text1"/>
        </w:rPr>
        <w:t>exp</w:t>
      </w:r>
      <w:proofErr w:type="spellEnd"/>
      <w:r>
        <w:rPr>
          <w:color w:val="000000" w:themeColor="text1"/>
        </w:rPr>
        <w:t>+ experiments, which is averaged for the meridional temperature gradient (</w:t>
      </w:r>
      <m:oMath>
        <m:r>
          <w:rPr>
            <w:rFonts w:ascii="Cambria Math" w:hAnsi="Cambria Math"/>
          </w:rPr>
          <m:t>∆T=</m:t>
        </m:r>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T</m:t>
                </m:r>
              </m:e>
              <m:sub>
                <m:r>
                  <w:rPr>
                    <w:rFonts w:ascii="Cambria Math" w:hAnsi="Cambria Math"/>
                  </w:rPr>
                  <m:t>warm</m:t>
                </m:r>
              </m:sub>
            </m:sSub>
          </m:e>
        </m:d>
        <m:r>
          <w:rPr>
            <w:rFonts w:ascii="Cambria Math" w:hAnsi="Cambria Math"/>
          </w:rPr>
          <m:t>-</m:t>
        </m:r>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T</m:t>
                </m:r>
              </m:e>
              <m:sub>
                <m:r>
                  <w:rPr>
                    <w:rFonts w:ascii="Cambria Math" w:hAnsi="Cambria Math"/>
                  </w:rPr>
                  <m:t>cool</m:t>
                </m:r>
              </m:sub>
            </m:sSub>
          </m:e>
        </m:d>
      </m:oMath>
      <w:r>
        <w:rPr>
          <w:color w:val="000000" w:themeColor="text1"/>
        </w:rPr>
        <w:t xml:space="preserve">) decomposition in </w:t>
      </w:r>
      <w:r>
        <w:rPr>
          <w:b/>
          <w:bCs/>
          <w:color w:val="000000" w:themeColor="text1"/>
        </w:rPr>
        <w:t>d</w:t>
      </w:r>
      <w:r>
        <w:rPr>
          <w:color w:val="000000" w:themeColor="text1"/>
        </w:rPr>
        <w:t xml:space="preserve">. </w:t>
      </w:r>
      <w:r>
        <w:rPr>
          <w:b/>
          <w:bCs/>
          <w:color w:val="000000" w:themeColor="text1"/>
        </w:rPr>
        <w:t>b</w:t>
      </w:r>
      <w:r w:rsidRPr="007B4AF8">
        <w:rPr>
          <w:color w:val="000000" w:themeColor="text1"/>
        </w:rPr>
        <w:t>,</w:t>
      </w:r>
      <w:r>
        <w:rPr>
          <w:color w:val="000000" w:themeColor="text1"/>
        </w:rPr>
        <w:t xml:space="preserve"> </w:t>
      </w:r>
      <w:r w:rsidRPr="007B4AF8">
        <w:rPr>
          <w:color w:val="000000" w:themeColor="text1"/>
        </w:rPr>
        <w:t xml:space="preserve">As in </w:t>
      </w:r>
      <w:r>
        <w:rPr>
          <w:b/>
          <w:bCs/>
          <w:color w:val="000000" w:themeColor="text1"/>
        </w:rPr>
        <w:t>a</w:t>
      </w:r>
      <w:r w:rsidRPr="007B4AF8">
        <w:rPr>
          <w:color w:val="000000" w:themeColor="text1"/>
        </w:rPr>
        <w:t>, but for</w:t>
      </w:r>
      <w:r>
        <w:rPr>
          <w:color w:val="000000" w:themeColor="text1"/>
        </w:rPr>
        <w:t xml:space="preserve"> the difference between the SIC- and SIC+ experiments in zonally-averaged temperature tendency due to dynamic processes (DTCORE). </w:t>
      </w:r>
      <w:r>
        <w:rPr>
          <w:b/>
          <w:bCs/>
          <w:color w:val="000000" w:themeColor="text1"/>
        </w:rPr>
        <w:t>c</w:t>
      </w:r>
      <w:r w:rsidRPr="007B4AF8">
        <w:rPr>
          <w:color w:val="000000" w:themeColor="text1"/>
        </w:rPr>
        <w:t>,</w:t>
      </w:r>
      <w:r>
        <w:rPr>
          <w:color w:val="000000" w:themeColor="text1"/>
        </w:rPr>
        <w:t xml:space="preserve"> </w:t>
      </w:r>
      <w:r w:rsidRPr="007B4AF8">
        <w:rPr>
          <w:color w:val="000000" w:themeColor="text1"/>
        </w:rPr>
        <w:t xml:space="preserve">As in </w:t>
      </w:r>
      <w:r>
        <w:rPr>
          <w:b/>
          <w:bCs/>
          <w:color w:val="000000" w:themeColor="text1"/>
        </w:rPr>
        <w:t>a</w:t>
      </w:r>
      <w:r w:rsidRPr="007B4AF8">
        <w:rPr>
          <w:color w:val="000000" w:themeColor="text1"/>
        </w:rPr>
        <w:t>, but for</w:t>
      </w:r>
      <w:r>
        <w:rPr>
          <w:color w:val="000000" w:themeColor="text1"/>
        </w:rPr>
        <w:t xml:space="preserve"> the temperature tendency difference due to total physical processes (PTTEND). </w:t>
      </w:r>
      <w:r>
        <w:rPr>
          <w:b/>
          <w:bCs/>
          <w:color w:val="000000" w:themeColor="text1"/>
        </w:rPr>
        <w:t>d</w:t>
      </w:r>
      <w:r w:rsidRPr="007B4AF8">
        <w:rPr>
          <w:color w:val="000000" w:themeColor="text1"/>
        </w:rPr>
        <w:t>,</w:t>
      </w:r>
      <w:r>
        <w:rPr>
          <w:color w:val="000000" w:themeColor="text1"/>
        </w:rPr>
        <w:t xml:space="preserve"> time series of the meridional gradient in temperature anomaly (</w:t>
      </w:r>
      <m:oMath>
        <m:r>
          <w:rPr>
            <w:rFonts w:ascii="Cambria Math" w:hAnsi="Cambria Math"/>
            <w:color w:val="000000" w:themeColor="text1"/>
          </w:rPr>
          <m:t>∆T</m:t>
        </m:r>
      </m:oMath>
      <w:r>
        <w:rPr>
          <w:color w:val="000000" w:themeColor="text1"/>
        </w:rPr>
        <w:t xml:space="preserve">) and its decomposition into each contributing component, including </w:t>
      </w:r>
      <w:r>
        <w:rPr>
          <w:color w:val="000000" w:themeColor="text1"/>
        </w:rPr>
        <w:lastRenderedPageBreak/>
        <w:t>TTEND as the time integral of the total temperature tendency, PTTEND as the time integral of the temperature tendency due to total physical processes, DTCORE as the time integral of the temperature tendency due to dynamic processes, DTCOND as the time integral of the temperature tendency due to moisture processes, QRL as the time integral of longwave heating rate, QRS as the time integral of shortwave heating rate, and DTV as the time integral of the temperature tendency due to vertical diffusion (</w:t>
      </w:r>
      <m:oMath>
        <m:r>
          <m:rPr>
            <m:sty m:val="p"/>
          </m:rPr>
          <w:rPr>
            <w:rFonts w:ascii="Cambria Math" w:hAnsi="Cambria Math"/>
            <w:color w:val="000000" w:themeColor="text1"/>
          </w:rPr>
          <m:t>TTEND=DTCORE+PTTEND=DTCORE+DTCOND+QRL+QRS+DTV</m:t>
        </m:r>
      </m:oMath>
      <w:r>
        <w:rPr>
          <w:iCs/>
          <w:color w:val="000000" w:themeColor="text1"/>
        </w:rPr>
        <w:t>)</w:t>
      </w:r>
      <w:r>
        <w:rPr>
          <w:color w:val="000000" w:themeColor="text1"/>
        </w:rPr>
        <w:t>)</w:t>
      </w:r>
      <w:r>
        <w:rPr>
          <w:iCs/>
          <w:color w:val="000000" w:themeColor="text1"/>
        </w:rPr>
        <w:t xml:space="preserve">. All these terms are calculated as the differences between the SIC- and SIC+ experiments. </w:t>
      </w:r>
      <w:r w:rsidRPr="007B4AF8">
        <w:rPr>
          <w:color w:val="000000" w:themeColor="text1"/>
        </w:rPr>
        <w:t xml:space="preserve">Stipples in </w:t>
      </w:r>
      <w:r>
        <w:rPr>
          <w:b/>
          <w:bCs/>
          <w:color w:val="000000" w:themeColor="text1"/>
        </w:rPr>
        <w:t>a</w:t>
      </w:r>
      <w:r w:rsidRPr="007B4AF8">
        <w:rPr>
          <w:b/>
          <w:bCs/>
          <w:color w:val="000000" w:themeColor="text1"/>
        </w:rPr>
        <w:t>-</w:t>
      </w:r>
      <w:r>
        <w:rPr>
          <w:b/>
          <w:bCs/>
          <w:color w:val="000000" w:themeColor="text1"/>
        </w:rPr>
        <w:t>c</w:t>
      </w:r>
      <w:r w:rsidRPr="007B4AF8">
        <w:rPr>
          <w:color w:val="000000" w:themeColor="text1"/>
        </w:rPr>
        <w:t xml:space="preserve"> show regions that are significantly different from 0 at </w:t>
      </w:r>
      <w:r>
        <w:rPr>
          <w:color w:val="000000" w:themeColor="text1"/>
        </w:rPr>
        <w:t xml:space="preserve">the </w:t>
      </w:r>
      <w:r w:rsidRPr="007B4AF8">
        <w:rPr>
          <w:color w:val="000000" w:themeColor="text1"/>
        </w:rPr>
        <w:t>0.1 significance level</w:t>
      </w:r>
      <w:r>
        <w:rPr>
          <w:color w:val="000000" w:themeColor="text1"/>
        </w:rPr>
        <w:t xml:space="preserve"> </w:t>
      </w:r>
      <w:r w:rsidRPr="0099034F">
        <w:rPr>
          <w:color w:val="000000" w:themeColor="text1"/>
        </w:rPr>
        <w:t>of two-sided t-test</w:t>
      </w:r>
      <w:r w:rsidRPr="007B4AF8">
        <w:rPr>
          <w:color w:val="000000" w:themeColor="text1"/>
        </w:rPr>
        <w:t>.</w:t>
      </w:r>
    </w:p>
    <w:p w14:paraId="65DFC288" w14:textId="77777777" w:rsidR="00FF557B" w:rsidRDefault="00FF557B" w:rsidP="00FF557B">
      <w:pPr>
        <w:rPr>
          <w:rFonts w:eastAsia="Times New Roman"/>
          <w:color w:val="000000" w:themeColor="text1"/>
          <w:sz w:val="24"/>
          <w:szCs w:val="24"/>
        </w:rPr>
      </w:pPr>
      <w:r>
        <w:rPr>
          <w:color w:val="000000" w:themeColor="text1"/>
        </w:rPr>
        <w:br w:type="page"/>
      </w:r>
    </w:p>
    <w:p w14:paraId="5436C761" w14:textId="77777777" w:rsidR="00FF557B" w:rsidRDefault="00FF557B" w:rsidP="00FF557B">
      <w:pPr>
        <w:pStyle w:val="Acknowledgement"/>
        <w:spacing w:line="480" w:lineRule="auto"/>
        <w:ind w:left="0" w:firstLine="0"/>
      </w:pPr>
      <w:r w:rsidRPr="00770C7F">
        <w:rPr>
          <w:noProof/>
        </w:rPr>
        <w:lastRenderedPageBreak/>
        <w:drawing>
          <wp:inline distT="0" distB="0" distL="0" distR="0" wp14:anchorId="2ADD13E3" wp14:editId="7E50B8F0">
            <wp:extent cx="5839717" cy="3135560"/>
            <wp:effectExtent l="0" t="0" r="2540" b="1905"/>
            <wp:docPr id="11" name="Content Placeholder 4" descr="Map&#10;&#10;Description automatically generated">
              <a:extLst xmlns:a="http://schemas.openxmlformats.org/drawingml/2006/main">
                <a:ext uri="{FF2B5EF4-FFF2-40B4-BE49-F238E27FC236}">
                  <a16:creationId xmlns:a16="http://schemas.microsoft.com/office/drawing/2014/main" id="{F28A063C-1AD3-8C4B-81D5-C2FF9A0D968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 name="Content Placeholder 4" descr="Map&#10;&#10;Description automatically generated">
                      <a:extLst>
                        <a:ext uri="{FF2B5EF4-FFF2-40B4-BE49-F238E27FC236}">
                          <a16:creationId xmlns:a16="http://schemas.microsoft.com/office/drawing/2014/main" id="{F28A063C-1AD3-8C4B-81D5-C2FF9A0D9684}"/>
                        </a:ext>
                      </a:extLst>
                    </pic:cNvPr>
                    <pic:cNvPicPr>
                      <a:picLocks noGrp="1" noChangeAspect="1"/>
                    </pic:cNvPicPr>
                  </pic:nvPicPr>
                  <pic:blipFill>
                    <a:blip r:embed="rId13"/>
                    <a:stretch>
                      <a:fillRect/>
                    </a:stretch>
                  </pic:blipFill>
                  <pic:spPr>
                    <a:xfrm>
                      <a:off x="0" y="0"/>
                      <a:ext cx="5839717" cy="3135560"/>
                    </a:xfrm>
                    <a:prstGeom prst="rect">
                      <a:avLst/>
                    </a:prstGeom>
                  </pic:spPr>
                </pic:pic>
              </a:graphicData>
            </a:graphic>
          </wp:inline>
        </w:drawing>
      </w:r>
    </w:p>
    <w:p w14:paraId="548BA443" w14:textId="77777777" w:rsidR="00FF557B" w:rsidRDefault="00FF557B" w:rsidP="00FF557B">
      <w:pPr>
        <w:pStyle w:val="Acknowledgement"/>
        <w:spacing w:line="480" w:lineRule="auto"/>
        <w:ind w:left="0" w:firstLine="0"/>
        <w:rPr>
          <w:color w:val="000000" w:themeColor="text1"/>
        </w:rPr>
      </w:pPr>
      <w:r w:rsidRPr="00752E47">
        <w:rPr>
          <w:b/>
          <w:bCs/>
        </w:rPr>
        <w:t>Supplementary</w:t>
      </w:r>
      <w:r>
        <w:t xml:space="preserve"> </w:t>
      </w:r>
      <w:r w:rsidRPr="009B32EB">
        <w:rPr>
          <w:b/>
          <w:bCs/>
        </w:rPr>
        <w:t>Fig.</w:t>
      </w:r>
      <w:r>
        <w:rPr>
          <w:b/>
          <w:bCs/>
        </w:rPr>
        <w:t xml:space="preserve"> 8. The composite difference of the seasonal average </w:t>
      </w:r>
      <w:r w:rsidRPr="00114513">
        <w:rPr>
          <w:b/>
          <w:bCs/>
        </w:rPr>
        <w:t>(September to December)</w:t>
      </w:r>
      <w:r>
        <w:rPr>
          <w:b/>
          <w:bCs/>
        </w:rPr>
        <w:t xml:space="preserve"> total precipitation rates between the SIC- and SIC+ years based on different observational and reanalysis data</w:t>
      </w:r>
      <w:r>
        <w:rPr>
          <w:b/>
          <w:bCs/>
          <w:color w:val="000000" w:themeColor="text1"/>
        </w:rPr>
        <w:t>. a</w:t>
      </w:r>
      <w:r w:rsidRPr="007B4AF8">
        <w:rPr>
          <w:color w:val="000000" w:themeColor="text1"/>
        </w:rPr>
        <w:t xml:space="preserve">, </w:t>
      </w:r>
      <w:r>
        <w:rPr>
          <w:color w:val="000000" w:themeColor="text1"/>
        </w:rPr>
        <w:t xml:space="preserve">the precipitation difference based on the GPCP observational data. </w:t>
      </w:r>
      <w:r>
        <w:rPr>
          <w:b/>
          <w:bCs/>
          <w:color w:val="000000" w:themeColor="text1"/>
        </w:rPr>
        <w:t>b</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ERA5 reanalysis data. </w:t>
      </w:r>
      <w:r>
        <w:rPr>
          <w:b/>
          <w:bCs/>
          <w:color w:val="000000" w:themeColor="text1"/>
        </w:rPr>
        <w:t>c</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ERA5 reanalysis data. </w:t>
      </w:r>
      <w:r>
        <w:rPr>
          <w:b/>
          <w:bCs/>
          <w:color w:val="000000" w:themeColor="text1"/>
        </w:rPr>
        <w:t>b</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MERRA-2 reanalysis data. </w:t>
      </w:r>
      <w:r>
        <w:rPr>
          <w:b/>
          <w:bCs/>
          <w:color w:val="000000" w:themeColor="text1"/>
        </w:rPr>
        <w:t>d</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CFSR reanalysis data. </w:t>
      </w:r>
      <w:r>
        <w:rPr>
          <w:b/>
          <w:bCs/>
          <w:color w:val="000000" w:themeColor="text1"/>
        </w:rPr>
        <w:t>e</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ERA-interim reanalysis data. </w:t>
      </w:r>
      <w:r>
        <w:rPr>
          <w:b/>
          <w:bCs/>
          <w:color w:val="000000" w:themeColor="text1"/>
        </w:rPr>
        <w:t>f</w:t>
      </w:r>
      <w:r w:rsidRPr="007B4AF8">
        <w:rPr>
          <w:color w:val="000000" w:themeColor="text1"/>
        </w:rPr>
        <w:t>,</w:t>
      </w:r>
      <w:r>
        <w:rPr>
          <w:color w:val="000000" w:themeColor="text1"/>
        </w:rPr>
        <w:t xml:space="preserve"> As in </w:t>
      </w:r>
      <w:r>
        <w:rPr>
          <w:b/>
          <w:bCs/>
          <w:color w:val="000000" w:themeColor="text1"/>
        </w:rPr>
        <w:t>a</w:t>
      </w:r>
      <w:r>
        <w:rPr>
          <w:color w:val="000000" w:themeColor="text1"/>
        </w:rPr>
        <w:t xml:space="preserve">, but based on the JRA-55 reanalysis data. </w:t>
      </w:r>
      <w:r w:rsidRPr="007B4AF8">
        <w:rPr>
          <w:color w:val="000000" w:themeColor="text1"/>
        </w:rPr>
        <w:t xml:space="preserve">Stipples in </w:t>
      </w:r>
      <w:r>
        <w:rPr>
          <w:b/>
          <w:bCs/>
          <w:color w:val="000000" w:themeColor="text1"/>
        </w:rPr>
        <w:t>a</w:t>
      </w:r>
      <w:r w:rsidRPr="007B4AF8">
        <w:rPr>
          <w:b/>
          <w:bCs/>
          <w:color w:val="000000" w:themeColor="text1"/>
        </w:rPr>
        <w:t>-</w:t>
      </w:r>
      <w:r>
        <w:rPr>
          <w:b/>
          <w:bCs/>
          <w:color w:val="000000" w:themeColor="text1"/>
        </w:rPr>
        <w:t>f</w:t>
      </w:r>
      <w:r w:rsidRPr="007B4AF8">
        <w:rPr>
          <w:color w:val="000000" w:themeColor="text1"/>
        </w:rPr>
        <w:t xml:space="preserve"> show regions that are significantly different from 0 at </w:t>
      </w:r>
      <w:r>
        <w:rPr>
          <w:color w:val="000000" w:themeColor="text1"/>
        </w:rPr>
        <w:t xml:space="preserve">the </w:t>
      </w:r>
      <w:r w:rsidRPr="007B4AF8">
        <w:rPr>
          <w:color w:val="000000" w:themeColor="text1"/>
        </w:rPr>
        <w:t>0.1 significance level</w:t>
      </w:r>
      <w:r>
        <w:rPr>
          <w:color w:val="000000" w:themeColor="text1"/>
        </w:rPr>
        <w:t xml:space="preserve"> </w:t>
      </w:r>
      <w:r w:rsidRPr="0099034F">
        <w:rPr>
          <w:color w:val="000000" w:themeColor="text1"/>
        </w:rPr>
        <w:t>of two-sided t-test</w:t>
      </w:r>
      <w:r w:rsidRPr="007B4AF8">
        <w:rPr>
          <w:color w:val="000000" w:themeColor="text1"/>
        </w:rPr>
        <w:t>.</w:t>
      </w:r>
    </w:p>
    <w:p w14:paraId="0C2977E2" w14:textId="77777777" w:rsidR="00FF557B" w:rsidRDefault="00FF557B" w:rsidP="00FF557B">
      <w:pPr>
        <w:pStyle w:val="Acknowledgement"/>
        <w:spacing w:line="480" w:lineRule="auto"/>
        <w:ind w:left="0" w:firstLine="0"/>
        <w:rPr>
          <w:color w:val="000000" w:themeColor="text1"/>
        </w:rPr>
      </w:pPr>
    </w:p>
    <w:p w14:paraId="2DE8CEE7" w14:textId="77777777" w:rsidR="00FF557B" w:rsidRDefault="00FF557B" w:rsidP="00FF557B">
      <w:pPr>
        <w:spacing w:line="480" w:lineRule="auto"/>
      </w:pPr>
      <w:r>
        <w:br w:type="page"/>
      </w:r>
    </w:p>
    <w:p w14:paraId="5756376D" w14:textId="77777777" w:rsidR="00FF557B" w:rsidRDefault="00FF557B" w:rsidP="00FF557B">
      <w:pPr>
        <w:pStyle w:val="Acknowledgement"/>
        <w:spacing w:line="480" w:lineRule="auto"/>
        <w:ind w:left="0" w:firstLine="0"/>
      </w:pPr>
      <w:r w:rsidRPr="00F03B62">
        <w:rPr>
          <w:noProof/>
        </w:rPr>
        <w:lastRenderedPageBreak/>
        <w:drawing>
          <wp:inline distT="0" distB="0" distL="0" distR="0" wp14:anchorId="79D3C858" wp14:editId="4CB9CD3B">
            <wp:extent cx="5736911" cy="4396902"/>
            <wp:effectExtent l="0" t="0" r="3810" b="0"/>
            <wp:docPr id="14" name="Content Placeholder 4">
              <a:extLst xmlns:a="http://schemas.openxmlformats.org/drawingml/2006/main">
                <a:ext uri="{FF2B5EF4-FFF2-40B4-BE49-F238E27FC236}">
                  <a16:creationId xmlns:a16="http://schemas.microsoft.com/office/drawing/2014/main" id="{F28A063C-1AD3-8C4B-81D5-C2FF9A0D9684}"/>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 name="Content Placeholder 4">
                      <a:extLst>
                        <a:ext uri="{FF2B5EF4-FFF2-40B4-BE49-F238E27FC236}">
                          <a16:creationId xmlns:a16="http://schemas.microsoft.com/office/drawing/2014/main" id="{F28A063C-1AD3-8C4B-81D5-C2FF9A0D9684}"/>
                        </a:ext>
                      </a:extLst>
                    </pic:cNvPr>
                    <pic:cNvPicPr>
                      <a:picLocks noGrp="1" noChangeAspect="1"/>
                    </pic:cNvPicPr>
                  </pic:nvPicPr>
                  <pic:blipFill>
                    <a:blip r:embed="rId14"/>
                    <a:stretch>
                      <a:fillRect/>
                    </a:stretch>
                  </pic:blipFill>
                  <pic:spPr>
                    <a:xfrm>
                      <a:off x="0" y="0"/>
                      <a:ext cx="5736911" cy="4396902"/>
                    </a:xfrm>
                    <a:prstGeom prst="rect">
                      <a:avLst/>
                    </a:prstGeom>
                  </pic:spPr>
                </pic:pic>
              </a:graphicData>
            </a:graphic>
          </wp:inline>
        </w:drawing>
      </w:r>
    </w:p>
    <w:p w14:paraId="219943B1" w14:textId="77777777" w:rsidR="00FF557B" w:rsidRDefault="00FF557B" w:rsidP="00FF557B">
      <w:pPr>
        <w:pStyle w:val="Acknowledgement"/>
        <w:spacing w:line="480" w:lineRule="auto"/>
        <w:ind w:left="0" w:firstLine="0"/>
      </w:pPr>
      <w:r w:rsidRPr="00752E47">
        <w:rPr>
          <w:b/>
          <w:bCs/>
        </w:rPr>
        <w:t>Supplementary</w:t>
      </w:r>
      <w:r>
        <w:t xml:space="preserve"> </w:t>
      </w:r>
      <w:r w:rsidRPr="009B32EB">
        <w:rPr>
          <w:b/>
          <w:bCs/>
        </w:rPr>
        <w:t>Fig.</w:t>
      </w:r>
      <w:r>
        <w:rPr>
          <w:b/>
          <w:bCs/>
        </w:rPr>
        <w:t xml:space="preserve"> 9. Climate and fire weather changes between the SIC- and SIC+ years based on the CMIP6 </w:t>
      </w:r>
      <w:proofErr w:type="spellStart"/>
      <w:r>
        <w:rPr>
          <w:b/>
          <w:bCs/>
        </w:rPr>
        <w:t>amip</w:t>
      </w:r>
      <w:proofErr w:type="spellEnd"/>
      <w:r>
        <w:rPr>
          <w:b/>
          <w:bCs/>
        </w:rPr>
        <w:t xml:space="preserve"> and </w:t>
      </w:r>
      <w:proofErr w:type="spellStart"/>
      <w:r>
        <w:rPr>
          <w:b/>
          <w:bCs/>
        </w:rPr>
        <w:t>amip-piForcing</w:t>
      </w:r>
      <w:proofErr w:type="spellEnd"/>
      <w:r>
        <w:rPr>
          <w:b/>
          <w:bCs/>
        </w:rPr>
        <w:t xml:space="preserve"> experiments (4-model ensemble)</w:t>
      </w:r>
      <w:r w:rsidRPr="00FA32E1">
        <w:t xml:space="preserve">. </w:t>
      </w:r>
      <w:r>
        <w:rPr>
          <w:b/>
          <w:bCs/>
        </w:rPr>
        <w:t>a</w:t>
      </w:r>
      <w:r w:rsidRPr="00FA32E1">
        <w:t>, zonal</w:t>
      </w:r>
      <w:r>
        <w:t>ly</w:t>
      </w:r>
      <w:r w:rsidRPr="00FA32E1">
        <w:t xml:space="preserve">-averaged (170 °W to 60 °W; as shown in </w:t>
      </w:r>
      <w:r>
        <w:rPr>
          <w:b/>
          <w:bCs/>
        </w:rPr>
        <w:t>c</w:t>
      </w:r>
      <w:r w:rsidRPr="00FA32E1">
        <w:t xml:space="preserve">) temperature composite </w:t>
      </w:r>
      <w:r>
        <w:t>difference</w:t>
      </w:r>
      <w:r w:rsidRPr="00FA32E1">
        <w:t xml:space="preserve"> (shading) in autumn and early winter (September to December) between the SIC- and SIC+ years </w:t>
      </w:r>
      <w:r>
        <w:t xml:space="preserve">(as shown in Fig. 4a) </w:t>
      </w:r>
      <w:r w:rsidRPr="00FA32E1">
        <w:t xml:space="preserve">in the </w:t>
      </w:r>
      <w:proofErr w:type="spellStart"/>
      <w:r>
        <w:t>amip</w:t>
      </w:r>
      <w:proofErr w:type="spellEnd"/>
      <w:r w:rsidRPr="00FA32E1">
        <w:t xml:space="preserve"> </w:t>
      </w:r>
      <w:r>
        <w:t>experiment</w:t>
      </w:r>
      <w:r w:rsidRPr="00FA32E1">
        <w:t>. The climatology of zonal</w:t>
      </w:r>
      <w:r>
        <w:t>ly</w:t>
      </w:r>
      <w:r w:rsidRPr="00FA32E1">
        <w:t>-averaged temperature in the SIC+ years is also shown (contours</w:t>
      </w:r>
      <w:r>
        <w:t>; unit: K</w:t>
      </w:r>
      <w:r w:rsidRPr="00FA32E1">
        <w:t xml:space="preserve">). </w:t>
      </w:r>
      <w:r>
        <w:rPr>
          <w:b/>
          <w:bCs/>
        </w:rPr>
        <w:t>b</w:t>
      </w:r>
      <w:r w:rsidRPr="00FA32E1">
        <w:t xml:space="preserve">, As in </w:t>
      </w:r>
      <w:r>
        <w:rPr>
          <w:b/>
          <w:bCs/>
        </w:rPr>
        <w:t>a</w:t>
      </w:r>
      <w:r w:rsidRPr="00FA32E1">
        <w:t>, but for zonal</w:t>
      </w:r>
      <w:r>
        <w:t>ly</w:t>
      </w:r>
      <w:r w:rsidRPr="00FA32E1">
        <w:t xml:space="preserve">-averaged zonal wind in the </w:t>
      </w:r>
      <w:proofErr w:type="spellStart"/>
      <w:r>
        <w:t>amip</w:t>
      </w:r>
      <w:proofErr w:type="spellEnd"/>
      <w:r w:rsidRPr="00FA32E1">
        <w:t xml:space="preserve"> </w:t>
      </w:r>
      <w:r>
        <w:t>experiment</w:t>
      </w:r>
      <w:r w:rsidRPr="00FA32E1">
        <w:t xml:space="preserve">. </w:t>
      </w:r>
      <w:r>
        <w:rPr>
          <w:b/>
          <w:bCs/>
        </w:rPr>
        <w:t>c</w:t>
      </w:r>
      <w:r w:rsidRPr="00FA32E1">
        <w:t>, As in</w:t>
      </w:r>
      <w:r w:rsidRPr="009B32EB">
        <w:rPr>
          <w:b/>
          <w:bCs/>
        </w:rPr>
        <w:t xml:space="preserve"> </w:t>
      </w:r>
      <w:r>
        <w:rPr>
          <w:b/>
          <w:bCs/>
        </w:rPr>
        <w:t>b</w:t>
      </w:r>
      <w:r w:rsidRPr="00FA32E1">
        <w:t xml:space="preserve">, but for wind circulation at 500 </w:t>
      </w:r>
      <w:proofErr w:type="spellStart"/>
      <w:r w:rsidRPr="00FA32E1">
        <w:t>hPa</w:t>
      </w:r>
      <w:proofErr w:type="spellEnd"/>
      <w:r w:rsidRPr="00FA32E1">
        <w:t xml:space="preserve"> (</w:t>
      </w:r>
      <w:r>
        <w:t>arrows; unit: m</w:t>
      </w:r>
      <w:r w:rsidRPr="00FA32E1">
        <w:t xml:space="preserve">) and total precipitation rate (shading) </w:t>
      </w:r>
      <w:r>
        <w:t>difference</w:t>
      </w:r>
      <w:r w:rsidRPr="00FA32E1">
        <w:t xml:space="preserve">s in the </w:t>
      </w:r>
      <w:proofErr w:type="spellStart"/>
      <w:r>
        <w:t>amip</w:t>
      </w:r>
      <w:proofErr w:type="spellEnd"/>
      <w:r w:rsidRPr="00FA32E1">
        <w:t xml:space="preserve"> </w:t>
      </w:r>
      <w:r>
        <w:t>experiment</w:t>
      </w:r>
      <w:r w:rsidRPr="00FA32E1">
        <w:t xml:space="preserve">. </w:t>
      </w:r>
      <w:r>
        <w:rPr>
          <w:b/>
          <w:bCs/>
        </w:rPr>
        <w:t>d</w:t>
      </w:r>
      <w:r w:rsidRPr="00FA32E1">
        <w:t xml:space="preserve">, As in </w:t>
      </w:r>
      <w:r>
        <w:rPr>
          <w:b/>
          <w:bCs/>
        </w:rPr>
        <w:t>c</w:t>
      </w:r>
      <w:r w:rsidRPr="00FA32E1">
        <w:t>, but for 2-m relative humidity (contours</w:t>
      </w:r>
      <w:r>
        <w:t xml:space="preserve"> with negative values in dashed lines; unit: %</w:t>
      </w:r>
      <w:r w:rsidRPr="00FA32E1">
        <w:t xml:space="preserve">) and 2-m surface temperature (shading) </w:t>
      </w:r>
      <w:r>
        <w:t>difference</w:t>
      </w:r>
      <w:r w:rsidRPr="00FA32E1">
        <w:t xml:space="preserve">s in the </w:t>
      </w:r>
      <w:proofErr w:type="spellStart"/>
      <w:r>
        <w:t>amip</w:t>
      </w:r>
      <w:proofErr w:type="spellEnd"/>
      <w:r w:rsidRPr="00FA32E1">
        <w:t xml:space="preserve"> </w:t>
      </w:r>
      <w:r>
        <w:t>experiment</w:t>
      </w:r>
      <w:r w:rsidRPr="00FA32E1">
        <w:t xml:space="preserve">. </w:t>
      </w:r>
      <w:r>
        <w:rPr>
          <w:b/>
          <w:bCs/>
        </w:rPr>
        <w:t>e</w:t>
      </w:r>
      <w:r w:rsidRPr="009B32EB">
        <w:rPr>
          <w:b/>
          <w:bCs/>
        </w:rPr>
        <w:t>-</w:t>
      </w:r>
      <w:r>
        <w:rPr>
          <w:b/>
          <w:bCs/>
        </w:rPr>
        <w:t>h</w:t>
      </w:r>
      <w:r w:rsidRPr="00FA32E1">
        <w:t xml:space="preserve">, As in </w:t>
      </w:r>
      <w:r>
        <w:rPr>
          <w:b/>
          <w:bCs/>
        </w:rPr>
        <w:t>a</w:t>
      </w:r>
      <w:r w:rsidRPr="009B32EB">
        <w:rPr>
          <w:b/>
          <w:bCs/>
        </w:rPr>
        <w:t>-</w:t>
      </w:r>
      <w:r>
        <w:rPr>
          <w:b/>
          <w:bCs/>
        </w:rPr>
        <w:t>d</w:t>
      </w:r>
      <w:r w:rsidRPr="00FA32E1">
        <w:t xml:space="preserve">, but for the corresponding variables </w:t>
      </w:r>
      <w:r w:rsidRPr="00FA32E1">
        <w:lastRenderedPageBreak/>
        <w:t xml:space="preserve">in the </w:t>
      </w:r>
      <w:proofErr w:type="spellStart"/>
      <w:r>
        <w:t>amip-piForcing</w:t>
      </w:r>
      <w:proofErr w:type="spellEnd"/>
      <w:r w:rsidRPr="00FA32E1">
        <w:t xml:space="preserve"> experiment. </w:t>
      </w:r>
      <w:proofErr w:type="spellStart"/>
      <w:r>
        <w:rPr>
          <w:b/>
          <w:bCs/>
        </w:rPr>
        <w:t>i</w:t>
      </w:r>
      <w:proofErr w:type="spellEnd"/>
      <w:r w:rsidRPr="009B32EB">
        <w:rPr>
          <w:b/>
          <w:bCs/>
        </w:rPr>
        <w:t>-</w:t>
      </w:r>
      <w:r>
        <w:rPr>
          <w:b/>
          <w:bCs/>
        </w:rPr>
        <w:t>l</w:t>
      </w:r>
      <w:r w:rsidRPr="00FA32E1">
        <w:t xml:space="preserve">, As in </w:t>
      </w:r>
      <w:r>
        <w:rPr>
          <w:b/>
          <w:bCs/>
        </w:rPr>
        <w:t>a</w:t>
      </w:r>
      <w:r w:rsidRPr="009B32EB">
        <w:rPr>
          <w:b/>
          <w:bCs/>
        </w:rPr>
        <w:t>-</w:t>
      </w:r>
      <w:r>
        <w:rPr>
          <w:b/>
          <w:bCs/>
        </w:rPr>
        <w:t>d</w:t>
      </w:r>
      <w:r w:rsidRPr="00FA32E1">
        <w:t>,</w:t>
      </w:r>
      <w:r>
        <w:t xml:space="preserve"> but for the differences of </w:t>
      </w:r>
      <w:r w:rsidRPr="00FA32E1">
        <w:t xml:space="preserve">the corresponding variables </w:t>
      </w:r>
      <w:r>
        <w:t xml:space="preserve">between the </w:t>
      </w:r>
      <w:proofErr w:type="spellStart"/>
      <w:r>
        <w:t>amip</w:t>
      </w:r>
      <w:proofErr w:type="spellEnd"/>
      <w:r>
        <w:t xml:space="preserve"> and </w:t>
      </w:r>
      <w:proofErr w:type="spellStart"/>
      <w:r>
        <w:t>amip-piForcing</w:t>
      </w:r>
      <w:proofErr w:type="spellEnd"/>
      <w:r>
        <w:t xml:space="preserve"> experiments. </w:t>
      </w:r>
      <w:r w:rsidRPr="00FA32E1">
        <w:t xml:space="preserve">Stipples in </w:t>
      </w:r>
      <w:r>
        <w:rPr>
          <w:b/>
          <w:bCs/>
        </w:rPr>
        <w:t>a</w:t>
      </w:r>
      <w:r w:rsidRPr="009B32EB">
        <w:rPr>
          <w:b/>
          <w:bCs/>
        </w:rPr>
        <w:t>-</w:t>
      </w:r>
      <w:r>
        <w:rPr>
          <w:b/>
          <w:bCs/>
        </w:rPr>
        <w:t>l</w:t>
      </w:r>
      <w:r w:rsidRPr="00FA32E1">
        <w:t xml:space="preserve"> show regions with </w:t>
      </w:r>
      <w:r>
        <w:t xml:space="preserve">all 4 </w:t>
      </w:r>
      <w:r w:rsidRPr="00FA32E1">
        <w:t>CMIP6 models agreeing on the signs</w:t>
      </w:r>
      <w:r>
        <w:t>.</w:t>
      </w:r>
    </w:p>
    <w:p w14:paraId="0FC690C8" w14:textId="77777777" w:rsidR="00FF557B" w:rsidRDefault="00FF557B" w:rsidP="00FF557B">
      <w:pPr>
        <w:spacing w:line="480" w:lineRule="auto"/>
      </w:pPr>
      <w:r>
        <w:br w:type="page"/>
      </w:r>
    </w:p>
    <w:p w14:paraId="4FACF3F7" w14:textId="77777777" w:rsidR="00FF557B" w:rsidRDefault="00FF557B" w:rsidP="00FF557B">
      <w:pPr>
        <w:pStyle w:val="Acknowledgement"/>
        <w:spacing w:line="480" w:lineRule="auto"/>
        <w:ind w:left="0" w:firstLine="0"/>
      </w:pPr>
      <w:r>
        <w:rPr>
          <w:noProof/>
        </w:rPr>
        <w:lastRenderedPageBreak/>
        <w:drawing>
          <wp:inline distT="0" distB="0" distL="0" distR="0" wp14:anchorId="0F03349E" wp14:editId="09063F42">
            <wp:extent cx="5215212" cy="4356236"/>
            <wp:effectExtent l="0" t="0" r="508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15"/>
                    <a:stretch>
                      <a:fillRect/>
                    </a:stretch>
                  </pic:blipFill>
                  <pic:spPr>
                    <a:xfrm>
                      <a:off x="0" y="0"/>
                      <a:ext cx="5215212" cy="4356236"/>
                    </a:xfrm>
                    <a:prstGeom prst="rect">
                      <a:avLst/>
                    </a:prstGeom>
                  </pic:spPr>
                </pic:pic>
              </a:graphicData>
            </a:graphic>
          </wp:inline>
        </w:drawing>
      </w:r>
    </w:p>
    <w:p w14:paraId="3918241F" w14:textId="77777777" w:rsidR="00FF557B" w:rsidRPr="00A20901" w:rsidRDefault="00FF557B" w:rsidP="00FF557B">
      <w:pPr>
        <w:spacing w:line="480" w:lineRule="auto"/>
        <w:rPr>
          <w:sz w:val="24"/>
          <w:szCs w:val="24"/>
        </w:rPr>
      </w:pPr>
      <w:r w:rsidRPr="00A20901">
        <w:rPr>
          <w:b/>
          <w:bCs/>
          <w:sz w:val="24"/>
          <w:szCs w:val="24"/>
        </w:rPr>
        <w:t>Supplementary</w:t>
      </w:r>
      <w:r w:rsidRPr="00A20901">
        <w:rPr>
          <w:sz w:val="24"/>
          <w:szCs w:val="24"/>
        </w:rPr>
        <w:t xml:space="preserve"> </w:t>
      </w:r>
      <w:r w:rsidRPr="00A20901">
        <w:rPr>
          <w:b/>
          <w:bCs/>
          <w:sz w:val="24"/>
          <w:szCs w:val="24"/>
        </w:rPr>
        <w:t xml:space="preserve">Fig. 10. The first group of forced responses (S/NP1) in seasonal mean multi-field weather variables based on the ERA5 and CMIP6 </w:t>
      </w:r>
      <w:proofErr w:type="spellStart"/>
      <w:r w:rsidRPr="00A20901">
        <w:rPr>
          <w:b/>
          <w:bCs/>
          <w:sz w:val="24"/>
          <w:szCs w:val="24"/>
        </w:rPr>
        <w:t>amip</w:t>
      </w:r>
      <w:proofErr w:type="spellEnd"/>
      <w:r w:rsidRPr="00A20901">
        <w:rPr>
          <w:b/>
          <w:bCs/>
          <w:sz w:val="24"/>
          <w:szCs w:val="24"/>
        </w:rPr>
        <w:t xml:space="preserve"> experiment ensemble</w:t>
      </w:r>
      <w:r w:rsidRPr="00A20901">
        <w:rPr>
          <w:sz w:val="24"/>
          <w:szCs w:val="24"/>
        </w:rPr>
        <w:t xml:space="preserve">. </w:t>
      </w:r>
      <w:r>
        <w:rPr>
          <w:b/>
          <w:bCs/>
          <w:sz w:val="24"/>
          <w:szCs w:val="24"/>
        </w:rPr>
        <w:t>a</w:t>
      </w:r>
      <w:r w:rsidRPr="00A20901">
        <w:rPr>
          <w:sz w:val="24"/>
          <w:szCs w:val="24"/>
        </w:rPr>
        <w:t xml:space="preserve">, the composite difference of S/NP1 forced responses in surface air temperature (shading) and Z500 (contours with negative values in dashed lines; unit: m) in autumn and early winter between the SIC- and SIC+ years. </w:t>
      </w:r>
      <w:r>
        <w:rPr>
          <w:b/>
          <w:bCs/>
          <w:sz w:val="24"/>
          <w:szCs w:val="24"/>
        </w:rPr>
        <w:t>b</w:t>
      </w:r>
      <w:r w:rsidRPr="00A20901">
        <w:rPr>
          <w:sz w:val="24"/>
          <w:szCs w:val="24"/>
        </w:rPr>
        <w:t xml:space="preserve">, As in </w:t>
      </w:r>
      <w:r>
        <w:rPr>
          <w:b/>
          <w:bCs/>
          <w:sz w:val="24"/>
          <w:szCs w:val="24"/>
        </w:rPr>
        <w:t>a</w:t>
      </w:r>
      <w:r w:rsidRPr="00A20901">
        <w:rPr>
          <w:sz w:val="24"/>
          <w:szCs w:val="24"/>
        </w:rPr>
        <w:t xml:space="preserve">, but for total precipitation rates (shading) and Z500 (contours with negative values in dashed lines; unit: m). </w:t>
      </w:r>
      <w:r>
        <w:rPr>
          <w:b/>
          <w:bCs/>
          <w:sz w:val="24"/>
          <w:szCs w:val="24"/>
        </w:rPr>
        <w:t>c</w:t>
      </w:r>
      <w:r w:rsidRPr="00A20901">
        <w:rPr>
          <w:sz w:val="24"/>
          <w:szCs w:val="24"/>
        </w:rPr>
        <w:t xml:space="preserve">, timeseries of S/NP1 in the multi-variable meteorological fields based on the ERA5 (red thick line) and </w:t>
      </w:r>
      <w:proofErr w:type="spellStart"/>
      <w:r w:rsidRPr="00A20901">
        <w:rPr>
          <w:sz w:val="24"/>
          <w:szCs w:val="24"/>
        </w:rPr>
        <w:t>amip</w:t>
      </w:r>
      <w:proofErr w:type="spellEnd"/>
      <w:r w:rsidRPr="00A20901">
        <w:rPr>
          <w:sz w:val="24"/>
          <w:szCs w:val="24"/>
        </w:rPr>
        <w:t xml:space="preserve"> 12-model ensemble. The black thick line denotes the 12-model ensemble mean and the grey lines denote results from each model. The MEI (blue thick line) and its correlation coefficient with the ERA5 result (red thick line) are also shown for comparison and interpretation. The vertical bar shading in </w:t>
      </w:r>
      <w:r>
        <w:rPr>
          <w:b/>
          <w:bCs/>
          <w:sz w:val="24"/>
          <w:szCs w:val="24"/>
        </w:rPr>
        <w:t>c</w:t>
      </w:r>
      <w:r w:rsidRPr="00A20901">
        <w:rPr>
          <w:sz w:val="24"/>
          <w:szCs w:val="24"/>
        </w:rPr>
        <w:t xml:space="preserve"> denotes the SIC- (pink) and SIC+ (blue) years for the composite differences in </w:t>
      </w:r>
      <w:r>
        <w:rPr>
          <w:b/>
          <w:bCs/>
          <w:sz w:val="24"/>
          <w:szCs w:val="24"/>
        </w:rPr>
        <w:t>a</w:t>
      </w:r>
      <w:r w:rsidRPr="00A20901">
        <w:rPr>
          <w:sz w:val="24"/>
          <w:szCs w:val="24"/>
        </w:rPr>
        <w:t xml:space="preserve"> and </w:t>
      </w:r>
      <w:r>
        <w:rPr>
          <w:b/>
          <w:bCs/>
          <w:sz w:val="24"/>
          <w:szCs w:val="24"/>
        </w:rPr>
        <w:t>b</w:t>
      </w:r>
      <w:r w:rsidRPr="00A20901">
        <w:rPr>
          <w:sz w:val="24"/>
          <w:szCs w:val="24"/>
        </w:rPr>
        <w:t>.</w:t>
      </w:r>
    </w:p>
    <w:p w14:paraId="6E2E877C" w14:textId="77777777" w:rsidR="00FF557B" w:rsidRDefault="00FF557B" w:rsidP="00FF557B">
      <w:pPr>
        <w:pStyle w:val="Acknowledgement"/>
        <w:spacing w:line="480" w:lineRule="auto"/>
        <w:ind w:left="0" w:firstLine="0"/>
      </w:pPr>
      <w:r>
        <w:rPr>
          <w:noProof/>
        </w:rPr>
        <w:lastRenderedPageBreak/>
        <w:drawing>
          <wp:inline distT="0" distB="0" distL="0" distR="0" wp14:anchorId="4FB580BF" wp14:editId="0118FAF4">
            <wp:extent cx="5317376" cy="4424141"/>
            <wp:effectExtent l="0" t="0" r="4445" b="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16"/>
                    <a:stretch>
                      <a:fillRect/>
                    </a:stretch>
                  </pic:blipFill>
                  <pic:spPr>
                    <a:xfrm>
                      <a:off x="0" y="0"/>
                      <a:ext cx="5317376" cy="4424141"/>
                    </a:xfrm>
                    <a:prstGeom prst="rect">
                      <a:avLst/>
                    </a:prstGeom>
                  </pic:spPr>
                </pic:pic>
              </a:graphicData>
            </a:graphic>
          </wp:inline>
        </w:drawing>
      </w:r>
    </w:p>
    <w:p w14:paraId="0A10922B" w14:textId="77777777" w:rsidR="00FF557B" w:rsidRPr="00A20901" w:rsidRDefault="00FF557B" w:rsidP="00FF557B">
      <w:pPr>
        <w:spacing w:line="480" w:lineRule="auto"/>
        <w:rPr>
          <w:sz w:val="24"/>
          <w:szCs w:val="24"/>
        </w:rPr>
      </w:pPr>
      <w:r w:rsidRPr="00A20901">
        <w:rPr>
          <w:b/>
          <w:bCs/>
          <w:sz w:val="24"/>
          <w:szCs w:val="24"/>
        </w:rPr>
        <w:t>Supplementary</w:t>
      </w:r>
      <w:r w:rsidRPr="00A20901">
        <w:rPr>
          <w:sz w:val="24"/>
          <w:szCs w:val="24"/>
        </w:rPr>
        <w:t xml:space="preserve"> </w:t>
      </w:r>
      <w:r w:rsidRPr="00A20901">
        <w:rPr>
          <w:b/>
          <w:bCs/>
          <w:sz w:val="24"/>
          <w:szCs w:val="24"/>
        </w:rPr>
        <w:t xml:space="preserve">Fig. 11. The third group of forced responses (S/NP3) in seasonal mean multi-field weather variables based on the ERA5 and CMIP6 </w:t>
      </w:r>
      <w:proofErr w:type="spellStart"/>
      <w:r w:rsidRPr="00A20901">
        <w:rPr>
          <w:b/>
          <w:bCs/>
          <w:sz w:val="24"/>
          <w:szCs w:val="24"/>
        </w:rPr>
        <w:t>amip</w:t>
      </w:r>
      <w:proofErr w:type="spellEnd"/>
      <w:r w:rsidRPr="00A20901">
        <w:rPr>
          <w:b/>
          <w:bCs/>
          <w:sz w:val="24"/>
          <w:szCs w:val="24"/>
        </w:rPr>
        <w:t xml:space="preserve"> experiment ensemble</w:t>
      </w:r>
      <w:r w:rsidRPr="00A20901">
        <w:rPr>
          <w:sz w:val="24"/>
          <w:szCs w:val="24"/>
        </w:rPr>
        <w:t xml:space="preserve">. </w:t>
      </w:r>
      <w:r>
        <w:rPr>
          <w:b/>
          <w:bCs/>
          <w:sz w:val="24"/>
          <w:szCs w:val="24"/>
        </w:rPr>
        <w:t>a</w:t>
      </w:r>
      <w:r w:rsidRPr="00A20901">
        <w:rPr>
          <w:sz w:val="24"/>
          <w:szCs w:val="24"/>
        </w:rPr>
        <w:t xml:space="preserve">, the composite difference of S/NP3 forced responses in surface air temperature (shading) and Z500 (contours with negative values in dashed lines; unit: m) in autumn and early winter between the SIC- and SIC+ years. </w:t>
      </w:r>
      <w:r>
        <w:rPr>
          <w:b/>
          <w:bCs/>
          <w:sz w:val="24"/>
          <w:szCs w:val="24"/>
        </w:rPr>
        <w:t>b</w:t>
      </w:r>
      <w:r w:rsidRPr="00A20901">
        <w:rPr>
          <w:sz w:val="24"/>
          <w:szCs w:val="24"/>
        </w:rPr>
        <w:t xml:space="preserve">, As in </w:t>
      </w:r>
      <w:r>
        <w:rPr>
          <w:b/>
          <w:bCs/>
          <w:sz w:val="24"/>
          <w:szCs w:val="24"/>
        </w:rPr>
        <w:t>a</w:t>
      </w:r>
      <w:r w:rsidRPr="00A20901">
        <w:rPr>
          <w:sz w:val="24"/>
          <w:szCs w:val="24"/>
        </w:rPr>
        <w:t xml:space="preserve">, but for total precipitation rates (shading) and Z500 (contours with negative values in dashed lines; unit: m). </w:t>
      </w:r>
      <w:r>
        <w:rPr>
          <w:b/>
          <w:bCs/>
          <w:sz w:val="24"/>
          <w:szCs w:val="24"/>
        </w:rPr>
        <w:t>c</w:t>
      </w:r>
      <w:r w:rsidRPr="00A20901">
        <w:rPr>
          <w:sz w:val="24"/>
          <w:szCs w:val="24"/>
        </w:rPr>
        <w:t xml:space="preserve">, timeseries of S/NP3 in the multi-variable meteorological fields based on the ERA5 (red thick line) and </w:t>
      </w:r>
      <w:proofErr w:type="spellStart"/>
      <w:r w:rsidRPr="00A20901">
        <w:rPr>
          <w:sz w:val="24"/>
          <w:szCs w:val="24"/>
        </w:rPr>
        <w:t>amip</w:t>
      </w:r>
      <w:proofErr w:type="spellEnd"/>
      <w:r w:rsidRPr="00A20901">
        <w:rPr>
          <w:sz w:val="24"/>
          <w:szCs w:val="24"/>
        </w:rPr>
        <w:t xml:space="preserve"> 12-model ensemble. The black thick line denotes the 12-model ensemble mean and the grey lines denote results from each model. The normalized SIC (blue thick line) and its correlation coefficient with the ERA5 </w:t>
      </w:r>
      <w:r w:rsidRPr="00A20901">
        <w:rPr>
          <w:sz w:val="24"/>
          <w:szCs w:val="24"/>
        </w:rPr>
        <w:lastRenderedPageBreak/>
        <w:t xml:space="preserve">result (red thick line) are also shown for comparison and interpretation. The vertical bar shading in </w:t>
      </w:r>
      <w:r>
        <w:rPr>
          <w:b/>
          <w:bCs/>
          <w:sz w:val="24"/>
          <w:szCs w:val="24"/>
        </w:rPr>
        <w:t>c</w:t>
      </w:r>
      <w:r w:rsidRPr="00A20901">
        <w:rPr>
          <w:sz w:val="24"/>
          <w:szCs w:val="24"/>
        </w:rPr>
        <w:t xml:space="preserve"> denotes the SIC- (pink) and SIC+ (blue) years for the composites differences in </w:t>
      </w:r>
      <w:r>
        <w:rPr>
          <w:b/>
          <w:bCs/>
          <w:sz w:val="24"/>
          <w:szCs w:val="24"/>
        </w:rPr>
        <w:t>a</w:t>
      </w:r>
      <w:r w:rsidRPr="00A20901">
        <w:rPr>
          <w:sz w:val="24"/>
          <w:szCs w:val="24"/>
        </w:rPr>
        <w:t xml:space="preserve"> and </w:t>
      </w:r>
      <w:r>
        <w:rPr>
          <w:b/>
          <w:bCs/>
          <w:sz w:val="24"/>
          <w:szCs w:val="24"/>
        </w:rPr>
        <w:t>b</w:t>
      </w:r>
      <w:r w:rsidRPr="00A20901">
        <w:rPr>
          <w:sz w:val="24"/>
          <w:szCs w:val="24"/>
        </w:rPr>
        <w:t>.</w:t>
      </w:r>
    </w:p>
    <w:p w14:paraId="38C42150" w14:textId="77777777" w:rsidR="00FF557B" w:rsidRDefault="00FF557B" w:rsidP="00FF557B">
      <w:pPr>
        <w:spacing w:line="480" w:lineRule="auto"/>
      </w:pPr>
      <w:r>
        <w:br w:type="page"/>
      </w:r>
    </w:p>
    <w:p w14:paraId="573EBB8C" w14:textId="77777777" w:rsidR="00FF557B" w:rsidRDefault="00FF557B" w:rsidP="00FF557B">
      <w:pPr>
        <w:pStyle w:val="Acknowledgement"/>
        <w:spacing w:line="480" w:lineRule="auto"/>
        <w:ind w:left="0" w:firstLine="0"/>
      </w:pPr>
      <w:r>
        <w:rPr>
          <w:noProof/>
        </w:rPr>
        <w:lastRenderedPageBreak/>
        <w:drawing>
          <wp:inline distT="0" distB="0" distL="0" distR="0" wp14:anchorId="366014C5" wp14:editId="1F0990E7">
            <wp:extent cx="5171739" cy="4267446"/>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17"/>
                    <a:stretch>
                      <a:fillRect/>
                    </a:stretch>
                  </pic:blipFill>
                  <pic:spPr>
                    <a:xfrm>
                      <a:off x="0" y="0"/>
                      <a:ext cx="5171739" cy="4267446"/>
                    </a:xfrm>
                    <a:prstGeom prst="rect">
                      <a:avLst/>
                    </a:prstGeom>
                  </pic:spPr>
                </pic:pic>
              </a:graphicData>
            </a:graphic>
          </wp:inline>
        </w:drawing>
      </w:r>
    </w:p>
    <w:p w14:paraId="1CADE0A0" w14:textId="77777777" w:rsidR="00FF557B" w:rsidRDefault="00FF557B" w:rsidP="00FF557B">
      <w:pPr>
        <w:spacing w:line="480" w:lineRule="auto"/>
        <w:rPr>
          <w:sz w:val="24"/>
          <w:szCs w:val="24"/>
        </w:rPr>
      </w:pPr>
      <w:r w:rsidRPr="00A20901">
        <w:rPr>
          <w:b/>
          <w:bCs/>
          <w:sz w:val="24"/>
          <w:szCs w:val="24"/>
        </w:rPr>
        <w:t>Supplementary</w:t>
      </w:r>
      <w:r w:rsidRPr="00A20901">
        <w:rPr>
          <w:sz w:val="24"/>
          <w:szCs w:val="24"/>
        </w:rPr>
        <w:t xml:space="preserve"> </w:t>
      </w:r>
      <w:r w:rsidRPr="00A20901">
        <w:rPr>
          <w:b/>
          <w:bCs/>
          <w:sz w:val="24"/>
          <w:szCs w:val="24"/>
        </w:rPr>
        <w:t xml:space="preserve">Fig. 12. The first group of forced responses (S/NP1) in seasonal mean multi-field weather variables based on the detrended ERA5 and detrended CMIP6 </w:t>
      </w:r>
      <w:proofErr w:type="spellStart"/>
      <w:r w:rsidRPr="00A20901">
        <w:rPr>
          <w:b/>
          <w:bCs/>
          <w:sz w:val="24"/>
          <w:szCs w:val="24"/>
        </w:rPr>
        <w:t>amip-piForcing</w:t>
      </w:r>
      <w:proofErr w:type="spellEnd"/>
      <w:r w:rsidRPr="00A20901">
        <w:rPr>
          <w:b/>
          <w:bCs/>
          <w:sz w:val="24"/>
          <w:szCs w:val="24"/>
        </w:rPr>
        <w:t xml:space="preserve"> experiment ensemble</w:t>
      </w:r>
      <w:r w:rsidRPr="00A20901">
        <w:rPr>
          <w:sz w:val="24"/>
          <w:szCs w:val="24"/>
        </w:rPr>
        <w:t xml:space="preserve">. </w:t>
      </w:r>
      <w:r>
        <w:rPr>
          <w:b/>
          <w:bCs/>
          <w:sz w:val="24"/>
          <w:szCs w:val="24"/>
        </w:rPr>
        <w:t>a</w:t>
      </w:r>
      <w:r w:rsidRPr="00A20901">
        <w:rPr>
          <w:sz w:val="24"/>
          <w:szCs w:val="24"/>
        </w:rPr>
        <w:t xml:space="preserve">, the composite difference of S/NP1 forced responses in detrended surface air temperature (shading) and detrended Z500 (contours with negative values in dashed lines; unit: m) in autumn and early winter between the </w:t>
      </w:r>
      <w:proofErr w:type="spellStart"/>
      <w:r w:rsidRPr="00A20901">
        <w:rPr>
          <w:sz w:val="24"/>
          <w:szCs w:val="24"/>
        </w:rPr>
        <w:t>SICnotrd</w:t>
      </w:r>
      <w:proofErr w:type="spellEnd"/>
      <w:r w:rsidRPr="00A20901">
        <w:rPr>
          <w:sz w:val="24"/>
          <w:szCs w:val="24"/>
        </w:rPr>
        <w:t xml:space="preserve">- and </w:t>
      </w:r>
      <w:proofErr w:type="spellStart"/>
      <w:r w:rsidRPr="00A20901">
        <w:rPr>
          <w:sz w:val="24"/>
          <w:szCs w:val="24"/>
        </w:rPr>
        <w:t>SICnotrd</w:t>
      </w:r>
      <w:proofErr w:type="spellEnd"/>
      <w:r w:rsidRPr="00A20901">
        <w:rPr>
          <w:sz w:val="24"/>
          <w:szCs w:val="24"/>
        </w:rPr>
        <w:t xml:space="preserve">+ years. </w:t>
      </w:r>
      <w:r>
        <w:rPr>
          <w:b/>
          <w:bCs/>
          <w:sz w:val="24"/>
          <w:szCs w:val="24"/>
        </w:rPr>
        <w:t>b</w:t>
      </w:r>
      <w:r w:rsidRPr="00A20901">
        <w:rPr>
          <w:sz w:val="24"/>
          <w:szCs w:val="24"/>
        </w:rPr>
        <w:t xml:space="preserve">, As in </w:t>
      </w:r>
      <w:r>
        <w:rPr>
          <w:b/>
          <w:bCs/>
          <w:sz w:val="24"/>
          <w:szCs w:val="24"/>
        </w:rPr>
        <w:t>a</w:t>
      </w:r>
      <w:r w:rsidRPr="00A20901">
        <w:rPr>
          <w:sz w:val="24"/>
          <w:szCs w:val="24"/>
        </w:rPr>
        <w:t xml:space="preserve">, but for detrended total precipitation rates (shading) and detrended Z500 (contours with negative values in dashed lines; unit: m). </w:t>
      </w:r>
      <w:r>
        <w:rPr>
          <w:b/>
          <w:bCs/>
          <w:sz w:val="24"/>
          <w:szCs w:val="24"/>
        </w:rPr>
        <w:t>c</w:t>
      </w:r>
      <w:r w:rsidRPr="00A20901">
        <w:rPr>
          <w:sz w:val="24"/>
          <w:szCs w:val="24"/>
        </w:rPr>
        <w:t xml:space="preserve">, timeseries of S/NP1 in the multi-variable meteorological fields based on the detrended ERA5 (red thick line) and detrended </w:t>
      </w:r>
      <w:proofErr w:type="spellStart"/>
      <w:r w:rsidRPr="00A20901">
        <w:rPr>
          <w:sz w:val="24"/>
          <w:szCs w:val="24"/>
        </w:rPr>
        <w:t>amip-piForcing</w:t>
      </w:r>
      <w:proofErr w:type="spellEnd"/>
      <w:r w:rsidRPr="00A20901">
        <w:rPr>
          <w:sz w:val="24"/>
          <w:szCs w:val="24"/>
        </w:rPr>
        <w:t xml:space="preserve"> 4-model ensemble. The black thick line denotes the 4-model ensemble mean and the grey lines denote results from each model. The detrended MEI (blue thick line) and its correlation coefficient with the ERA5 result (red thick line) are also shown for comparison and </w:t>
      </w:r>
      <w:r w:rsidRPr="00A20901">
        <w:rPr>
          <w:sz w:val="24"/>
          <w:szCs w:val="24"/>
        </w:rPr>
        <w:lastRenderedPageBreak/>
        <w:t xml:space="preserve">interpretation. The vertical bar shading in </w:t>
      </w:r>
      <w:r>
        <w:rPr>
          <w:b/>
          <w:bCs/>
          <w:sz w:val="24"/>
          <w:szCs w:val="24"/>
        </w:rPr>
        <w:t>c</w:t>
      </w:r>
      <w:r w:rsidRPr="00A20901">
        <w:rPr>
          <w:sz w:val="24"/>
          <w:szCs w:val="24"/>
        </w:rPr>
        <w:t xml:space="preserve"> denotes the </w:t>
      </w:r>
      <w:proofErr w:type="spellStart"/>
      <w:r w:rsidRPr="00A20901">
        <w:rPr>
          <w:sz w:val="24"/>
          <w:szCs w:val="24"/>
        </w:rPr>
        <w:t>SICnotrd</w:t>
      </w:r>
      <w:proofErr w:type="spellEnd"/>
      <w:r w:rsidRPr="00A20901">
        <w:rPr>
          <w:sz w:val="24"/>
          <w:szCs w:val="24"/>
        </w:rPr>
        <w:t xml:space="preserve">- (pink) and </w:t>
      </w:r>
      <w:proofErr w:type="spellStart"/>
      <w:r w:rsidRPr="00A20901">
        <w:rPr>
          <w:sz w:val="24"/>
          <w:szCs w:val="24"/>
        </w:rPr>
        <w:t>SICnotrd</w:t>
      </w:r>
      <w:proofErr w:type="spellEnd"/>
      <w:r w:rsidRPr="00A20901">
        <w:rPr>
          <w:sz w:val="24"/>
          <w:szCs w:val="24"/>
        </w:rPr>
        <w:t xml:space="preserve">+ (blue) years for the composite differences in </w:t>
      </w:r>
      <w:r>
        <w:rPr>
          <w:b/>
          <w:bCs/>
          <w:sz w:val="24"/>
          <w:szCs w:val="24"/>
        </w:rPr>
        <w:t>a</w:t>
      </w:r>
      <w:r w:rsidRPr="00A20901">
        <w:rPr>
          <w:sz w:val="24"/>
          <w:szCs w:val="24"/>
        </w:rPr>
        <w:t xml:space="preserve"> and </w:t>
      </w:r>
      <w:r>
        <w:rPr>
          <w:b/>
          <w:bCs/>
          <w:sz w:val="24"/>
          <w:szCs w:val="24"/>
        </w:rPr>
        <w:t>b</w:t>
      </w:r>
      <w:r w:rsidRPr="00A20901">
        <w:rPr>
          <w:sz w:val="24"/>
          <w:szCs w:val="24"/>
        </w:rPr>
        <w:t>.</w:t>
      </w:r>
    </w:p>
    <w:p w14:paraId="558F09C7" w14:textId="77777777" w:rsidR="00FF557B" w:rsidRDefault="00FF557B" w:rsidP="00FF557B">
      <w:pPr>
        <w:rPr>
          <w:sz w:val="24"/>
          <w:szCs w:val="24"/>
        </w:rPr>
      </w:pPr>
      <w:r>
        <w:rPr>
          <w:sz w:val="24"/>
          <w:szCs w:val="24"/>
        </w:rPr>
        <w:br w:type="page"/>
      </w:r>
    </w:p>
    <w:p w14:paraId="6B770536" w14:textId="77777777" w:rsidR="00FF557B" w:rsidRDefault="00FF557B" w:rsidP="00FF557B">
      <w:pPr>
        <w:pStyle w:val="Acknowledgement"/>
        <w:spacing w:line="480" w:lineRule="auto"/>
        <w:ind w:left="0" w:firstLine="0"/>
      </w:pPr>
      <w:r>
        <w:rPr>
          <w:noProof/>
        </w:rPr>
        <w:lastRenderedPageBreak/>
        <w:drawing>
          <wp:inline distT="0" distB="0" distL="0" distR="0" wp14:anchorId="4D08A9DC" wp14:editId="606942BF">
            <wp:extent cx="5221099" cy="4424141"/>
            <wp:effectExtent l="0" t="0" r="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a:blip r:embed="rId18"/>
                    <a:stretch>
                      <a:fillRect/>
                    </a:stretch>
                  </pic:blipFill>
                  <pic:spPr>
                    <a:xfrm>
                      <a:off x="0" y="0"/>
                      <a:ext cx="5221099" cy="4424141"/>
                    </a:xfrm>
                    <a:prstGeom prst="rect">
                      <a:avLst/>
                    </a:prstGeom>
                  </pic:spPr>
                </pic:pic>
              </a:graphicData>
            </a:graphic>
          </wp:inline>
        </w:drawing>
      </w:r>
    </w:p>
    <w:p w14:paraId="500FD45D" w14:textId="77777777" w:rsidR="00FF557B" w:rsidRPr="00A20901" w:rsidRDefault="00FF557B" w:rsidP="00FF557B">
      <w:pPr>
        <w:spacing w:line="480" w:lineRule="auto"/>
        <w:rPr>
          <w:sz w:val="24"/>
          <w:szCs w:val="24"/>
        </w:rPr>
      </w:pPr>
      <w:r w:rsidRPr="00A20901">
        <w:rPr>
          <w:b/>
          <w:bCs/>
          <w:sz w:val="24"/>
          <w:szCs w:val="24"/>
        </w:rPr>
        <w:t>Supplementary</w:t>
      </w:r>
      <w:r w:rsidRPr="00A20901">
        <w:rPr>
          <w:sz w:val="24"/>
          <w:szCs w:val="24"/>
        </w:rPr>
        <w:t xml:space="preserve"> </w:t>
      </w:r>
      <w:r w:rsidRPr="00A20901">
        <w:rPr>
          <w:b/>
          <w:bCs/>
          <w:sz w:val="24"/>
          <w:szCs w:val="24"/>
        </w:rPr>
        <w:t xml:space="preserve">Fig. 13. The eighth group of forced responses (S/NP8) in seasonal mean multi-field weather variables based on the detrended ERA5 and detrended CMIP6 </w:t>
      </w:r>
      <w:proofErr w:type="spellStart"/>
      <w:r w:rsidRPr="00A20901">
        <w:rPr>
          <w:b/>
          <w:bCs/>
          <w:sz w:val="24"/>
          <w:szCs w:val="24"/>
        </w:rPr>
        <w:t>amip-piForcing</w:t>
      </w:r>
      <w:proofErr w:type="spellEnd"/>
      <w:r w:rsidRPr="00A20901">
        <w:rPr>
          <w:b/>
          <w:bCs/>
          <w:sz w:val="24"/>
          <w:szCs w:val="24"/>
        </w:rPr>
        <w:t xml:space="preserve"> experiment ensemble</w:t>
      </w:r>
      <w:r w:rsidRPr="00A20901">
        <w:rPr>
          <w:sz w:val="24"/>
          <w:szCs w:val="24"/>
        </w:rPr>
        <w:t xml:space="preserve">. </w:t>
      </w:r>
      <w:r>
        <w:rPr>
          <w:b/>
          <w:bCs/>
          <w:sz w:val="24"/>
          <w:szCs w:val="24"/>
        </w:rPr>
        <w:t>a</w:t>
      </w:r>
      <w:r w:rsidRPr="00A20901">
        <w:rPr>
          <w:sz w:val="24"/>
          <w:szCs w:val="24"/>
        </w:rPr>
        <w:t xml:space="preserve">, the composite difference of S/NP8 forced responses in detrended surface air temperature (shading) and detrended Z500 (contours with negative values in dashed lines; unit: m) in autumn and early winter between the </w:t>
      </w:r>
      <w:proofErr w:type="spellStart"/>
      <w:r w:rsidRPr="00A20901">
        <w:rPr>
          <w:sz w:val="24"/>
          <w:szCs w:val="24"/>
        </w:rPr>
        <w:t>SICnotrd</w:t>
      </w:r>
      <w:proofErr w:type="spellEnd"/>
      <w:r w:rsidRPr="00A20901">
        <w:rPr>
          <w:sz w:val="24"/>
          <w:szCs w:val="24"/>
        </w:rPr>
        <w:t xml:space="preserve">- and </w:t>
      </w:r>
      <w:proofErr w:type="spellStart"/>
      <w:r w:rsidRPr="00A20901">
        <w:rPr>
          <w:sz w:val="24"/>
          <w:szCs w:val="24"/>
        </w:rPr>
        <w:t>SICnotrd</w:t>
      </w:r>
      <w:proofErr w:type="spellEnd"/>
      <w:r w:rsidRPr="00A20901">
        <w:rPr>
          <w:sz w:val="24"/>
          <w:szCs w:val="24"/>
        </w:rPr>
        <w:t xml:space="preserve">+ years. </w:t>
      </w:r>
      <w:r>
        <w:rPr>
          <w:b/>
          <w:bCs/>
          <w:sz w:val="24"/>
          <w:szCs w:val="24"/>
        </w:rPr>
        <w:t>b</w:t>
      </w:r>
      <w:r w:rsidRPr="00A20901">
        <w:rPr>
          <w:sz w:val="24"/>
          <w:szCs w:val="24"/>
        </w:rPr>
        <w:t xml:space="preserve">, As in </w:t>
      </w:r>
      <w:r>
        <w:rPr>
          <w:b/>
          <w:bCs/>
          <w:sz w:val="24"/>
          <w:szCs w:val="24"/>
        </w:rPr>
        <w:t>a</w:t>
      </w:r>
      <w:r w:rsidRPr="00A20901">
        <w:rPr>
          <w:sz w:val="24"/>
          <w:szCs w:val="24"/>
        </w:rPr>
        <w:t xml:space="preserve">, but for detrended total precipitation rates (shading) and detrended Z500 (contours with negative values in dashed lines; unit: m). </w:t>
      </w:r>
      <w:r>
        <w:rPr>
          <w:b/>
          <w:bCs/>
          <w:sz w:val="24"/>
          <w:szCs w:val="24"/>
        </w:rPr>
        <w:t>c</w:t>
      </w:r>
      <w:r w:rsidRPr="00A20901">
        <w:rPr>
          <w:sz w:val="24"/>
          <w:szCs w:val="24"/>
        </w:rPr>
        <w:t xml:space="preserve">, timeseries of S/NP8 in the multi-variable meteorological fields based on the detrended ERA5 (red thick line) and detrended </w:t>
      </w:r>
      <w:proofErr w:type="spellStart"/>
      <w:r w:rsidRPr="00A20901">
        <w:rPr>
          <w:sz w:val="24"/>
          <w:szCs w:val="24"/>
        </w:rPr>
        <w:t>amip-piForcing</w:t>
      </w:r>
      <w:proofErr w:type="spellEnd"/>
      <w:r w:rsidRPr="00A20901">
        <w:rPr>
          <w:sz w:val="24"/>
          <w:szCs w:val="24"/>
        </w:rPr>
        <w:t xml:space="preserve"> 4-model ensemble. The black thick line denotes the 4-model ensemble mean and the grey lines denote results from each model. The detrended SIC (blue thick line) and its correlation </w:t>
      </w:r>
      <w:r w:rsidRPr="00A20901">
        <w:rPr>
          <w:sz w:val="24"/>
          <w:szCs w:val="24"/>
        </w:rPr>
        <w:lastRenderedPageBreak/>
        <w:t xml:space="preserve">coefficient with the ERA5 result (red thick line) are also shown for comparison and interpretation. The vertical bar shading in </w:t>
      </w:r>
      <w:r>
        <w:rPr>
          <w:b/>
          <w:bCs/>
          <w:sz w:val="24"/>
          <w:szCs w:val="24"/>
        </w:rPr>
        <w:t>c</w:t>
      </w:r>
      <w:r w:rsidRPr="00A20901">
        <w:rPr>
          <w:sz w:val="24"/>
          <w:szCs w:val="24"/>
        </w:rPr>
        <w:t xml:space="preserve"> denotes the </w:t>
      </w:r>
      <w:proofErr w:type="spellStart"/>
      <w:r w:rsidRPr="00A20901">
        <w:rPr>
          <w:sz w:val="24"/>
          <w:szCs w:val="24"/>
        </w:rPr>
        <w:t>SICnotrd</w:t>
      </w:r>
      <w:proofErr w:type="spellEnd"/>
      <w:r w:rsidRPr="00A20901">
        <w:rPr>
          <w:sz w:val="24"/>
          <w:szCs w:val="24"/>
        </w:rPr>
        <w:t xml:space="preserve">- (pink) and </w:t>
      </w:r>
      <w:proofErr w:type="spellStart"/>
      <w:r w:rsidRPr="00A20901">
        <w:rPr>
          <w:sz w:val="24"/>
          <w:szCs w:val="24"/>
        </w:rPr>
        <w:t>SICnotrd</w:t>
      </w:r>
      <w:proofErr w:type="spellEnd"/>
      <w:r w:rsidRPr="00A20901">
        <w:rPr>
          <w:sz w:val="24"/>
          <w:szCs w:val="24"/>
        </w:rPr>
        <w:t xml:space="preserve">+ (blue) years for the composites differences in </w:t>
      </w:r>
      <w:r>
        <w:rPr>
          <w:b/>
          <w:bCs/>
          <w:sz w:val="24"/>
          <w:szCs w:val="24"/>
        </w:rPr>
        <w:t>a</w:t>
      </w:r>
      <w:r w:rsidRPr="00A20901">
        <w:rPr>
          <w:sz w:val="24"/>
          <w:szCs w:val="24"/>
        </w:rPr>
        <w:t xml:space="preserve"> and </w:t>
      </w:r>
      <w:r>
        <w:rPr>
          <w:b/>
          <w:bCs/>
          <w:sz w:val="24"/>
          <w:szCs w:val="24"/>
        </w:rPr>
        <w:t>b</w:t>
      </w:r>
      <w:r w:rsidRPr="00A20901">
        <w:rPr>
          <w:sz w:val="24"/>
          <w:szCs w:val="24"/>
        </w:rPr>
        <w:t>.</w:t>
      </w:r>
    </w:p>
    <w:p w14:paraId="0A52D56C" w14:textId="77777777" w:rsidR="00FF557B" w:rsidRDefault="00FF557B" w:rsidP="00FF557B">
      <w:pPr>
        <w:spacing w:line="480" w:lineRule="auto"/>
      </w:pPr>
    </w:p>
    <w:p w14:paraId="26D23759" w14:textId="77777777" w:rsidR="00FF557B" w:rsidRPr="0099034F" w:rsidRDefault="00FF557B" w:rsidP="00FF557B">
      <w:pPr>
        <w:spacing w:line="480" w:lineRule="auto"/>
      </w:pPr>
      <w:r>
        <w:rPr>
          <w:b/>
          <w:bCs/>
        </w:rPr>
        <w:br w:type="page"/>
      </w:r>
    </w:p>
    <w:p w14:paraId="69A22420" w14:textId="77777777" w:rsidR="00FF557B" w:rsidRDefault="00FF557B" w:rsidP="00FF557B">
      <w:pPr>
        <w:pStyle w:val="Acknowledgement"/>
        <w:spacing w:line="480" w:lineRule="auto"/>
        <w:ind w:left="0" w:firstLine="0"/>
      </w:pPr>
      <w:r w:rsidRPr="005A2528">
        <w:rPr>
          <w:noProof/>
        </w:rPr>
        <w:lastRenderedPageBreak/>
        <w:drawing>
          <wp:inline distT="0" distB="0" distL="0" distR="0" wp14:anchorId="413293D2" wp14:editId="4C5DB17C">
            <wp:extent cx="5794716" cy="3863144"/>
            <wp:effectExtent l="0" t="0" r="0" b="0"/>
            <wp:docPr id="15" name="Picture 5" descr="Chart&#10;&#10;Description automatically generated">
              <a:extLst xmlns:a="http://schemas.openxmlformats.org/drawingml/2006/main">
                <a:ext uri="{FF2B5EF4-FFF2-40B4-BE49-F238E27FC236}">
                  <a16:creationId xmlns:a16="http://schemas.microsoft.com/office/drawing/2014/main" id="{3085D55B-D000-2B41-BBC3-18BEC2BFA7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 descr="Chart&#10;&#10;Description automatically generated">
                      <a:extLst>
                        <a:ext uri="{FF2B5EF4-FFF2-40B4-BE49-F238E27FC236}">
                          <a16:creationId xmlns:a16="http://schemas.microsoft.com/office/drawing/2014/main" id="{3085D55B-D000-2B41-BBC3-18BEC2BFA736}"/>
                        </a:ext>
                      </a:extLst>
                    </pic:cNvPr>
                    <pic:cNvPicPr>
                      <a:picLocks noChangeAspect="1"/>
                    </pic:cNvPicPr>
                  </pic:nvPicPr>
                  <pic:blipFill>
                    <a:blip r:embed="rId19"/>
                    <a:stretch>
                      <a:fillRect/>
                    </a:stretch>
                  </pic:blipFill>
                  <pic:spPr>
                    <a:xfrm>
                      <a:off x="0" y="0"/>
                      <a:ext cx="5794716" cy="3863144"/>
                    </a:xfrm>
                    <a:prstGeom prst="rect">
                      <a:avLst/>
                    </a:prstGeom>
                  </pic:spPr>
                </pic:pic>
              </a:graphicData>
            </a:graphic>
          </wp:inline>
        </w:drawing>
      </w:r>
    </w:p>
    <w:p w14:paraId="0C50D4D1" w14:textId="77777777" w:rsidR="00FF557B" w:rsidRDefault="00FF557B" w:rsidP="00FF557B">
      <w:pPr>
        <w:pStyle w:val="Acknowledgement"/>
        <w:spacing w:line="480" w:lineRule="auto"/>
        <w:ind w:left="0" w:firstLine="0"/>
        <w:rPr>
          <w:b/>
          <w:bCs/>
          <w:color w:val="000000" w:themeColor="text1"/>
        </w:rPr>
      </w:pPr>
      <w:r w:rsidRPr="00752E47">
        <w:rPr>
          <w:b/>
          <w:bCs/>
        </w:rPr>
        <w:t>Supplementary</w:t>
      </w:r>
      <w:r>
        <w:t xml:space="preserve"> </w:t>
      </w:r>
      <w:r w:rsidRPr="009B32EB">
        <w:rPr>
          <w:b/>
          <w:bCs/>
        </w:rPr>
        <w:t>Fig.</w:t>
      </w:r>
      <w:r>
        <w:rPr>
          <w:b/>
          <w:bCs/>
        </w:rPr>
        <w:t xml:space="preserve"> 14. Correlation coefficients among SIC, Z500i, and FFWI in the ERA5 reanalysis data and the </w:t>
      </w:r>
      <w:proofErr w:type="spellStart"/>
      <w:r>
        <w:rPr>
          <w:b/>
          <w:bCs/>
        </w:rPr>
        <w:t>amip</w:t>
      </w:r>
      <w:proofErr w:type="spellEnd"/>
      <w:r>
        <w:rPr>
          <w:b/>
          <w:bCs/>
        </w:rPr>
        <w:t xml:space="preserve"> experiment (1981-2014) based on 15 CMIP6 models and their ensemble mean</w:t>
      </w:r>
      <w:r>
        <w:rPr>
          <w:b/>
          <w:bCs/>
          <w:color w:val="000000" w:themeColor="text1"/>
        </w:rPr>
        <w:t xml:space="preserve">. </w:t>
      </w:r>
      <w:r w:rsidRPr="00A669ED">
        <w:rPr>
          <w:color w:val="000000" w:themeColor="text1"/>
        </w:rPr>
        <w:t xml:space="preserve">The </w:t>
      </w:r>
      <w:r>
        <w:rPr>
          <w:color w:val="000000" w:themeColor="text1"/>
        </w:rPr>
        <w:t xml:space="preserve">solid-colored </w:t>
      </w:r>
      <w:r w:rsidRPr="00A669ED">
        <w:rPr>
          <w:color w:val="000000" w:themeColor="text1"/>
        </w:rPr>
        <w:t>bar</w:t>
      </w:r>
      <w:r>
        <w:rPr>
          <w:color w:val="000000" w:themeColor="text1"/>
        </w:rPr>
        <w:t xml:space="preserve">s show </w:t>
      </w:r>
      <w:r w:rsidRPr="00A669ED">
        <w:rPr>
          <w:color w:val="000000" w:themeColor="text1"/>
        </w:rPr>
        <w:t>correlation coefficients</w:t>
      </w:r>
      <w:r>
        <w:rPr>
          <w:color w:val="000000" w:themeColor="text1"/>
        </w:rPr>
        <w:t xml:space="preserve"> at</w:t>
      </w:r>
      <w:r w:rsidRPr="00A669ED">
        <w:rPr>
          <w:color w:val="000000" w:themeColor="text1"/>
        </w:rPr>
        <w:t xml:space="preserve"> the 0.05 significance level</w:t>
      </w:r>
      <w:r>
        <w:rPr>
          <w:color w:val="000000" w:themeColor="text1"/>
        </w:rPr>
        <w:t xml:space="preserve"> of two-sided t-test.</w:t>
      </w:r>
    </w:p>
    <w:p w14:paraId="14010CB4" w14:textId="77777777" w:rsidR="00FF557B" w:rsidRDefault="00FF557B" w:rsidP="00FF557B">
      <w:pPr>
        <w:spacing w:line="480" w:lineRule="auto"/>
        <w:rPr>
          <w:b/>
          <w:bCs/>
          <w:color w:val="000000" w:themeColor="text1"/>
        </w:rPr>
      </w:pPr>
      <w:r>
        <w:rPr>
          <w:b/>
          <w:bCs/>
          <w:color w:val="000000" w:themeColor="text1"/>
        </w:rPr>
        <w:br w:type="page"/>
      </w:r>
    </w:p>
    <w:p w14:paraId="07510067" w14:textId="77777777" w:rsidR="00FF557B" w:rsidRPr="00B90C35" w:rsidRDefault="00FF557B" w:rsidP="00FF557B">
      <w:pPr>
        <w:pStyle w:val="Caption"/>
        <w:spacing w:after="120" w:line="480" w:lineRule="auto"/>
        <w:rPr>
          <w:b/>
          <w:bCs/>
          <w:i w:val="0"/>
          <w:iCs w:val="0"/>
          <w:color w:val="000000" w:themeColor="text1"/>
          <w:sz w:val="24"/>
          <w:szCs w:val="24"/>
        </w:rPr>
      </w:pPr>
      <w:bookmarkStart w:id="1" w:name="_Ref492561248"/>
      <w:bookmarkStart w:id="2" w:name="_Ref493000362"/>
      <w:r w:rsidRPr="00A20901">
        <w:rPr>
          <w:b/>
          <w:bCs/>
          <w:i w:val="0"/>
          <w:iCs w:val="0"/>
          <w:color w:val="000000" w:themeColor="text1"/>
          <w:sz w:val="24"/>
          <w:szCs w:val="24"/>
        </w:rPr>
        <w:lastRenderedPageBreak/>
        <w:t xml:space="preserve">Supplementary </w:t>
      </w:r>
      <w:r w:rsidRPr="00B90C35">
        <w:rPr>
          <w:b/>
          <w:bCs/>
          <w:i w:val="0"/>
          <w:iCs w:val="0"/>
          <w:color w:val="000000" w:themeColor="text1"/>
          <w:sz w:val="24"/>
          <w:szCs w:val="24"/>
        </w:rPr>
        <w:t xml:space="preserve">Table </w:t>
      </w:r>
      <w:bookmarkEnd w:id="1"/>
      <w:bookmarkEnd w:id="2"/>
      <w:r w:rsidRPr="00B90C35">
        <w:rPr>
          <w:b/>
          <w:bCs/>
          <w:i w:val="0"/>
          <w:iCs w:val="0"/>
          <w:color w:val="000000" w:themeColor="text1"/>
          <w:sz w:val="24"/>
          <w:szCs w:val="24"/>
        </w:rPr>
        <w:t xml:space="preserve">1. The modeling settings of the CESM-RESFire sensitivity experiments </w:t>
      </w:r>
    </w:p>
    <w:tbl>
      <w:tblPr>
        <w:tblStyle w:val="TableGrid"/>
        <w:tblW w:w="9468"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2160"/>
        <w:gridCol w:w="2610"/>
        <w:gridCol w:w="2628"/>
      </w:tblGrid>
      <w:tr w:rsidR="00FF557B" w:rsidRPr="00B90C35" w14:paraId="15A4AA1A" w14:textId="77777777" w:rsidTr="00CE686F">
        <w:tc>
          <w:tcPr>
            <w:tcW w:w="2070" w:type="dxa"/>
            <w:tcBorders>
              <w:bottom w:val="single" w:sz="4" w:space="0" w:color="auto"/>
            </w:tcBorders>
          </w:tcPr>
          <w:p w14:paraId="49892CEF" w14:textId="77777777" w:rsidR="00FF557B" w:rsidRPr="00B90C35" w:rsidRDefault="00FF557B" w:rsidP="00CE686F">
            <w:pPr>
              <w:spacing w:line="480" w:lineRule="auto"/>
              <w:jc w:val="center"/>
              <w:rPr>
                <w:sz w:val="21"/>
                <w:szCs w:val="21"/>
              </w:rPr>
            </w:pPr>
            <w:r w:rsidRPr="00B90C35">
              <w:rPr>
                <w:sz w:val="21"/>
                <w:szCs w:val="21"/>
              </w:rPr>
              <w:t>Experiment</w:t>
            </w:r>
          </w:p>
        </w:tc>
        <w:tc>
          <w:tcPr>
            <w:tcW w:w="2160" w:type="dxa"/>
            <w:tcBorders>
              <w:bottom w:val="single" w:sz="4" w:space="0" w:color="auto"/>
            </w:tcBorders>
          </w:tcPr>
          <w:p w14:paraId="2E8DAB89" w14:textId="77777777" w:rsidR="00FF557B" w:rsidRPr="00B90C35" w:rsidRDefault="00FF557B" w:rsidP="00CE686F">
            <w:pPr>
              <w:spacing w:line="480" w:lineRule="auto"/>
              <w:jc w:val="center"/>
              <w:rPr>
                <w:sz w:val="21"/>
                <w:szCs w:val="21"/>
              </w:rPr>
            </w:pPr>
            <w:r w:rsidRPr="00B90C35">
              <w:rPr>
                <w:sz w:val="21"/>
                <w:szCs w:val="21"/>
              </w:rPr>
              <w:t>CTRL</w:t>
            </w:r>
          </w:p>
        </w:tc>
        <w:tc>
          <w:tcPr>
            <w:tcW w:w="2610" w:type="dxa"/>
            <w:tcBorders>
              <w:bottom w:val="single" w:sz="4" w:space="0" w:color="auto"/>
            </w:tcBorders>
          </w:tcPr>
          <w:p w14:paraId="0BFA7107" w14:textId="77777777" w:rsidR="00FF557B" w:rsidRPr="00B90C35" w:rsidRDefault="00FF557B" w:rsidP="00CE686F">
            <w:pPr>
              <w:spacing w:line="480" w:lineRule="auto"/>
              <w:jc w:val="center"/>
              <w:rPr>
                <w:sz w:val="21"/>
                <w:szCs w:val="21"/>
              </w:rPr>
            </w:pPr>
            <w:r w:rsidRPr="00B90C35">
              <w:rPr>
                <w:sz w:val="21"/>
                <w:szCs w:val="21"/>
              </w:rPr>
              <w:t>ICE+</w:t>
            </w:r>
          </w:p>
        </w:tc>
        <w:tc>
          <w:tcPr>
            <w:tcW w:w="2628" w:type="dxa"/>
            <w:tcBorders>
              <w:bottom w:val="single" w:sz="4" w:space="0" w:color="auto"/>
            </w:tcBorders>
          </w:tcPr>
          <w:p w14:paraId="21CECD3F" w14:textId="77777777" w:rsidR="00FF557B" w:rsidRPr="00B90C35" w:rsidRDefault="00FF557B" w:rsidP="00CE686F">
            <w:pPr>
              <w:spacing w:line="480" w:lineRule="auto"/>
              <w:jc w:val="center"/>
              <w:rPr>
                <w:sz w:val="21"/>
                <w:szCs w:val="21"/>
              </w:rPr>
            </w:pPr>
            <w:r w:rsidRPr="00B90C35">
              <w:rPr>
                <w:sz w:val="21"/>
                <w:szCs w:val="21"/>
              </w:rPr>
              <w:t>ICE-</w:t>
            </w:r>
          </w:p>
        </w:tc>
      </w:tr>
      <w:tr w:rsidR="00FF557B" w:rsidRPr="00B90C35" w14:paraId="70705E32" w14:textId="77777777" w:rsidTr="00CE686F">
        <w:tc>
          <w:tcPr>
            <w:tcW w:w="2070" w:type="dxa"/>
            <w:tcBorders>
              <w:top w:val="single" w:sz="4" w:space="0" w:color="auto"/>
            </w:tcBorders>
          </w:tcPr>
          <w:p w14:paraId="691E7478" w14:textId="77777777" w:rsidR="00FF557B" w:rsidRPr="00B90C35" w:rsidRDefault="00FF557B" w:rsidP="00CE686F">
            <w:pPr>
              <w:spacing w:line="480" w:lineRule="auto"/>
              <w:jc w:val="center"/>
              <w:rPr>
                <w:sz w:val="21"/>
                <w:szCs w:val="21"/>
              </w:rPr>
            </w:pPr>
            <w:r w:rsidRPr="00B90C35">
              <w:rPr>
                <w:sz w:val="21"/>
                <w:szCs w:val="21"/>
              </w:rPr>
              <w:t>Time period</w:t>
            </w:r>
          </w:p>
        </w:tc>
        <w:tc>
          <w:tcPr>
            <w:tcW w:w="2160" w:type="dxa"/>
            <w:tcBorders>
              <w:top w:val="single" w:sz="4" w:space="0" w:color="auto"/>
            </w:tcBorders>
          </w:tcPr>
          <w:p w14:paraId="5067154E" w14:textId="77777777" w:rsidR="00FF557B" w:rsidRPr="00B90C35" w:rsidRDefault="00FF557B" w:rsidP="00CE686F">
            <w:pPr>
              <w:spacing w:line="480" w:lineRule="auto"/>
              <w:jc w:val="center"/>
              <w:rPr>
                <w:sz w:val="21"/>
                <w:szCs w:val="21"/>
              </w:rPr>
            </w:pPr>
            <w:r w:rsidRPr="00B90C35">
              <w:rPr>
                <w:sz w:val="21"/>
                <w:szCs w:val="21"/>
              </w:rPr>
              <w:t>40 years</w:t>
            </w:r>
          </w:p>
        </w:tc>
        <w:tc>
          <w:tcPr>
            <w:tcW w:w="2610" w:type="dxa"/>
            <w:tcBorders>
              <w:top w:val="single" w:sz="4" w:space="0" w:color="auto"/>
            </w:tcBorders>
          </w:tcPr>
          <w:p w14:paraId="1DA938E4" w14:textId="77777777" w:rsidR="00FF557B" w:rsidRPr="00B90C35" w:rsidRDefault="00FF557B" w:rsidP="00CE686F">
            <w:pPr>
              <w:spacing w:line="480" w:lineRule="auto"/>
              <w:jc w:val="center"/>
              <w:rPr>
                <w:sz w:val="21"/>
                <w:szCs w:val="21"/>
              </w:rPr>
            </w:pPr>
            <w:r w:rsidRPr="00B90C35">
              <w:rPr>
                <w:sz w:val="21"/>
                <w:szCs w:val="21"/>
              </w:rPr>
              <w:t>40 years</w:t>
            </w:r>
          </w:p>
        </w:tc>
        <w:tc>
          <w:tcPr>
            <w:tcW w:w="2628" w:type="dxa"/>
            <w:tcBorders>
              <w:top w:val="single" w:sz="4" w:space="0" w:color="auto"/>
            </w:tcBorders>
          </w:tcPr>
          <w:p w14:paraId="7FF83759" w14:textId="77777777" w:rsidR="00FF557B" w:rsidRPr="00B90C35" w:rsidRDefault="00FF557B" w:rsidP="00CE686F">
            <w:pPr>
              <w:spacing w:line="480" w:lineRule="auto"/>
              <w:jc w:val="center"/>
              <w:rPr>
                <w:sz w:val="21"/>
                <w:szCs w:val="21"/>
              </w:rPr>
            </w:pPr>
            <w:r w:rsidRPr="00B90C35">
              <w:rPr>
                <w:sz w:val="21"/>
                <w:szCs w:val="21"/>
              </w:rPr>
              <w:t>40 years</w:t>
            </w:r>
          </w:p>
        </w:tc>
      </w:tr>
      <w:tr w:rsidR="00FF557B" w:rsidRPr="00B90C35" w14:paraId="7424883A" w14:textId="77777777" w:rsidTr="00CE686F">
        <w:tc>
          <w:tcPr>
            <w:tcW w:w="2070" w:type="dxa"/>
          </w:tcPr>
          <w:p w14:paraId="21DA9096" w14:textId="77777777" w:rsidR="00FF557B" w:rsidRPr="00B90C35" w:rsidRDefault="00FF557B" w:rsidP="00CE686F">
            <w:pPr>
              <w:spacing w:line="480" w:lineRule="auto"/>
              <w:jc w:val="center"/>
              <w:rPr>
                <w:sz w:val="21"/>
                <w:szCs w:val="21"/>
              </w:rPr>
            </w:pPr>
            <w:r w:rsidRPr="00B90C35">
              <w:rPr>
                <w:sz w:val="21"/>
                <w:szCs w:val="21"/>
              </w:rPr>
              <w:t>Horizontal resolution</w:t>
            </w:r>
          </w:p>
        </w:tc>
        <w:tc>
          <w:tcPr>
            <w:tcW w:w="2160" w:type="dxa"/>
          </w:tcPr>
          <w:p w14:paraId="58E99E09" w14:textId="77777777" w:rsidR="00FF557B" w:rsidRPr="00B90C35" w:rsidRDefault="00FF557B" w:rsidP="00CE686F">
            <w:pPr>
              <w:spacing w:line="480" w:lineRule="auto"/>
              <w:jc w:val="center"/>
              <w:rPr>
                <w:sz w:val="21"/>
                <w:szCs w:val="21"/>
              </w:rPr>
            </w:pPr>
            <w:r w:rsidRPr="00B90C35">
              <w:rPr>
                <w:sz w:val="21"/>
                <w:szCs w:val="21"/>
              </w:rPr>
              <w:t>1.9°×2.5°</w:t>
            </w:r>
          </w:p>
        </w:tc>
        <w:tc>
          <w:tcPr>
            <w:tcW w:w="2610" w:type="dxa"/>
          </w:tcPr>
          <w:p w14:paraId="1560AD6B" w14:textId="77777777" w:rsidR="00FF557B" w:rsidRPr="00B90C35" w:rsidRDefault="00FF557B" w:rsidP="00CE686F">
            <w:pPr>
              <w:spacing w:line="480" w:lineRule="auto"/>
              <w:jc w:val="center"/>
              <w:rPr>
                <w:sz w:val="21"/>
                <w:szCs w:val="21"/>
              </w:rPr>
            </w:pPr>
            <w:r w:rsidRPr="00B90C35">
              <w:rPr>
                <w:sz w:val="21"/>
                <w:szCs w:val="21"/>
              </w:rPr>
              <w:t>1.9°×2.5°</w:t>
            </w:r>
          </w:p>
        </w:tc>
        <w:tc>
          <w:tcPr>
            <w:tcW w:w="2628" w:type="dxa"/>
          </w:tcPr>
          <w:p w14:paraId="38E995CC" w14:textId="77777777" w:rsidR="00FF557B" w:rsidRPr="00B90C35" w:rsidRDefault="00FF557B" w:rsidP="00CE686F">
            <w:pPr>
              <w:spacing w:line="480" w:lineRule="auto"/>
              <w:jc w:val="center"/>
              <w:rPr>
                <w:sz w:val="21"/>
                <w:szCs w:val="21"/>
              </w:rPr>
            </w:pPr>
            <w:r w:rsidRPr="00B90C35">
              <w:rPr>
                <w:sz w:val="21"/>
                <w:szCs w:val="21"/>
              </w:rPr>
              <w:t>1.9°×2.5°</w:t>
            </w:r>
          </w:p>
        </w:tc>
      </w:tr>
      <w:tr w:rsidR="00FF557B" w:rsidRPr="00B90C35" w14:paraId="6D00BF10" w14:textId="77777777" w:rsidTr="00CE686F">
        <w:tc>
          <w:tcPr>
            <w:tcW w:w="2070" w:type="dxa"/>
          </w:tcPr>
          <w:p w14:paraId="388B0019" w14:textId="77777777" w:rsidR="00FF557B" w:rsidRPr="00B90C35" w:rsidRDefault="00FF557B" w:rsidP="00CE686F">
            <w:pPr>
              <w:spacing w:line="480" w:lineRule="auto"/>
              <w:jc w:val="center"/>
              <w:rPr>
                <w:sz w:val="21"/>
                <w:szCs w:val="21"/>
              </w:rPr>
            </w:pPr>
            <w:r w:rsidRPr="00B90C35">
              <w:rPr>
                <w:sz w:val="21"/>
                <w:szCs w:val="21"/>
              </w:rPr>
              <w:t>Vertical level</w:t>
            </w:r>
          </w:p>
        </w:tc>
        <w:tc>
          <w:tcPr>
            <w:tcW w:w="2160" w:type="dxa"/>
          </w:tcPr>
          <w:p w14:paraId="478F8FA1" w14:textId="77777777" w:rsidR="00FF557B" w:rsidRPr="00B90C35" w:rsidRDefault="00FF557B" w:rsidP="00CE686F">
            <w:pPr>
              <w:spacing w:line="480" w:lineRule="auto"/>
              <w:jc w:val="center"/>
              <w:rPr>
                <w:sz w:val="21"/>
                <w:szCs w:val="21"/>
              </w:rPr>
            </w:pPr>
            <w:r w:rsidRPr="00B90C35">
              <w:rPr>
                <w:sz w:val="21"/>
                <w:szCs w:val="21"/>
              </w:rPr>
              <w:t xml:space="preserve">70 </w:t>
            </w:r>
          </w:p>
        </w:tc>
        <w:tc>
          <w:tcPr>
            <w:tcW w:w="2610" w:type="dxa"/>
          </w:tcPr>
          <w:p w14:paraId="6985F771" w14:textId="77777777" w:rsidR="00FF557B" w:rsidRPr="00B90C35" w:rsidRDefault="00FF557B" w:rsidP="00CE686F">
            <w:pPr>
              <w:spacing w:line="480" w:lineRule="auto"/>
              <w:jc w:val="center"/>
              <w:rPr>
                <w:sz w:val="21"/>
                <w:szCs w:val="21"/>
              </w:rPr>
            </w:pPr>
            <w:r w:rsidRPr="00B90C35">
              <w:rPr>
                <w:sz w:val="21"/>
                <w:szCs w:val="21"/>
              </w:rPr>
              <w:t>70</w:t>
            </w:r>
          </w:p>
        </w:tc>
        <w:tc>
          <w:tcPr>
            <w:tcW w:w="2628" w:type="dxa"/>
          </w:tcPr>
          <w:p w14:paraId="53728FBA" w14:textId="77777777" w:rsidR="00FF557B" w:rsidRPr="00B90C35" w:rsidRDefault="00FF557B" w:rsidP="00CE686F">
            <w:pPr>
              <w:spacing w:line="480" w:lineRule="auto"/>
              <w:jc w:val="center"/>
              <w:rPr>
                <w:sz w:val="21"/>
                <w:szCs w:val="21"/>
              </w:rPr>
            </w:pPr>
            <w:r w:rsidRPr="00B90C35">
              <w:rPr>
                <w:sz w:val="21"/>
                <w:szCs w:val="21"/>
              </w:rPr>
              <w:t>70</w:t>
            </w:r>
          </w:p>
        </w:tc>
      </w:tr>
      <w:tr w:rsidR="00FF557B" w:rsidRPr="00B90C35" w14:paraId="0CBA121F" w14:textId="77777777" w:rsidTr="00CE686F">
        <w:tc>
          <w:tcPr>
            <w:tcW w:w="2070" w:type="dxa"/>
          </w:tcPr>
          <w:p w14:paraId="50AEC99D" w14:textId="77777777" w:rsidR="00FF557B" w:rsidRPr="00B90C35" w:rsidRDefault="00FF557B" w:rsidP="00CE686F">
            <w:pPr>
              <w:spacing w:line="480" w:lineRule="auto"/>
              <w:jc w:val="center"/>
              <w:rPr>
                <w:sz w:val="21"/>
                <w:szCs w:val="21"/>
              </w:rPr>
            </w:pPr>
            <w:r w:rsidRPr="00B90C35">
              <w:rPr>
                <w:sz w:val="21"/>
                <w:szCs w:val="21"/>
              </w:rPr>
              <w:t>Atmosphere</w:t>
            </w:r>
          </w:p>
        </w:tc>
        <w:tc>
          <w:tcPr>
            <w:tcW w:w="2160" w:type="dxa"/>
          </w:tcPr>
          <w:p w14:paraId="5C796F2A" w14:textId="77777777" w:rsidR="00FF557B" w:rsidRPr="00B90C35" w:rsidRDefault="00FF557B" w:rsidP="00CE686F">
            <w:pPr>
              <w:spacing w:line="480" w:lineRule="auto"/>
              <w:jc w:val="center"/>
              <w:rPr>
                <w:sz w:val="21"/>
                <w:szCs w:val="21"/>
              </w:rPr>
            </w:pPr>
            <w:r w:rsidRPr="00B90C35">
              <w:rPr>
                <w:sz w:val="21"/>
                <w:szCs w:val="21"/>
              </w:rPr>
              <w:t>WACCM</w:t>
            </w:r>
            <w:r w:rsidRPr="00B90C35">
              <w:rPr>
                <w:sz w:val="21"/>
                <w:szCs w:val="21"/>
                <w:vertAlign w:val="superscript"/>
              </w:rPr>
              <w:t>(a)</w:t>
            </w:r>
          </w:p>
        </w:tc>
        <w:tc>
          <w:tcPr>
            <w:tcW w:w="2610" w:type="dxa"/>
          </w:tcPr>
          <w:p w14:paraId="39AA8403" w14:textId="77777777" w:rsidR="00FF557B" w:rsidRPr="00B90C35" w:rsidRDefault="00FF557B" w:rsidP="00CE686F">
            <w:pPr>
              <w:spacing w:line="480" w:lineRule="auto"/>
              <w:jc w:val="center"/>
              <w:rPr>
                <w:sz w:val="21"/>
                <w:szCs w:val="21"/>
              </w:rPr>
            </w:pPr>
            <w:r w:rsidRPr="00B90C35">
              <w:rPr>
                <w:sz w:val="21"/>
                <w:szCs w:val="21"/>
              </w:rPr>
              <w:t>WACCM</w:t>
            </w:r>
          </w:p>
        </w:tc>
        <w:tc>
          <w:tcPr>
            <w:tcW w:w="2628" w:type="dxa"/>
          </w:tcPr>
          <w:p w14:paraId="5D973431" w14:textId="77777777" w:rsidR="00FF557B" w:rsidRPr="00B90C35" w:rsidRDefault="00FF557B" w:rsidP="00CE686F">
            <w:pPr>
              <w:spacing w:line="480" w:lineRule="auto"/>
              <w:jc w:val="center"/>
              <w:rPr>
                <w:sz w:val="21"/>
                <w:szCs w:val="21"/>
              </w:rPr>
            </w:pPr>
            <w:r w:rsidRPr="00B90C35">
              <w:rPr>
                <w:sz w:val="21"/>
                <w:szCs w:val="21"/>
              </w:rPr>
              <w:t>WACCM</w:t>
            </w:r>
          </w:p>
        </w:tc>
      </w:tr>
      <w:tr w:rsidR="00FF557B" w:rsidRPr="00B90C35" w14:paraId="5C38253B" w14:textId="77777777" w:rsidTr="00CE686F">
        <w:tc>
          <w:tcPr>
            <w:tcW w:w="2070" w:type="dxa"/>
          </w:tcPr>
          <w:p w14:paraId="5955EC54" w14:textId="77777777" w:rsidR="00FF557B" w:rsidRPr="00B90C35" w:rsidRDefault="00FF557B" w:rsidP="00CE686F">
            <w:pPr>
              <w:spacing w:line="480" w:lineRule="auto"/>
              <w:jc w:val="center"/>
              <w:rPr>
                <w:sz w:val="21"/>
                <w:szCs w:val="21"/>
              </w:rPr>
            </w:pPr>
            <w:r w:rsidRPr="00B90C35">
              <w:rPr>
                <w:sz w:val="21"/>
                <w:szCs w:val="21"/>
              </w:rPr>
              <w:t>Land</w:t>
            </w:r>
          </w:p>
        </w:tc>
        <w:tc>
          <w:tcPr>
            <w:tcW w:w="2160" w:type="dxa"/>
          </w:tcPr>
          <w:p w14:paraId="50582DC7" w14:textId="77777777" w:rsidR="00FF557B" w:rsidRPr="00B90C35" w:rsidRDefault="00FF557B" w:rsidP="00CE686F">
            <w:pPr>
              <w:spacing w:line="480" w:lineRule="auto"/>
              <w:jc w:val="center"/>
              <w:rPr>
                <w:sz w:val="21"/>
                <w:szCs w:val="21"/>
              </w:rPr>
            </w:pPr>
            <w:r w:rsidRPr="00B90C35">
              <w:rPr>
                <w:sz w:val="21"/>
                <w:szCs w:val="21"/>
              </w:rPr>
              <w:t>CLM4.5</w:t>
            </w:r>
            <w:r>
              <w:rPr>
                <w:sz w:val="21"/>
                <w:szCs w:val="21"/>
              </w:rPr>
              <w:t xml:space="preserve"> with RESFire</w:t>
            </w:r>
          </w:p>
        </w:tc>
        <w:tc>
          <w:tcPr>
            <w:tcW w:w="2610" w:type="dxa"/>
          </w:tcPr>
          <w:p w14:paraId="61E10E46" w14:textId="77777777" w:rsidR="00FF557B" w:rsidRPr="00B90C35" w:rsidRDefault="00FF557B" w:rsidP="00CE686F">
            <w:pPr>
              <w:spacing w:line="480" w:lineRule="auto"/>
              <w:jc w:val="center"/>
              <w:rPr>
                <w:sz w:val="21"/>
                <w:szCs w:val="21"/>
              </w:rPr>
            </w:pPr>
            <w:r w:rsidRPr="00B90C35">
              <w:rPr>
                <w:sz w:val="21"/>
                <w:szCs w:val="21"/>
              </w:rPr>
              <w:t>CLM4.5</w:t>
            </w:r>
            <w:r>
              <w:rPr>
                <w:sz w:val="21"/>
                <w:szCs w:val="21"/>
              </w:rPr>
              <w:t xml:space="preserve"> with RESFire</w:t>
            </w:r>
          </w:p>
        </w:tc>
        <w:tc>
          <w:tcPr>
            <w:tcW w:w="2628" w:type="dxa"/>
          </w:tcPr>
          <w:p w14:paraId="11ED6B40" w14:textId="77777777" w:rsidR="00FF557B" w:rsidRPr="00B90C35" w:rsidRDefault="00FF557B" w:rsidP="00CE686F">
            <w:pPr>
              <w:spacing w:line="480" w:lineRule="auto"/>
              <w:jc w:val="center"/>
              <w:rPr>
                <w:sz w:val="21"/>
                <w:szCs w:val="21"/>
              </w:rPr>
            </w:pPr>
            <w:r w:rsidRPr="00B90C35">
              <w:rPr>
                <w:sz w:val="21"/>
                <w:szCs w:val="21"/>
              </w:rPr>
              <w:t>CLM4.5</w:t>
            </w:r>
            <w:r>
              <w:rPr>
                <w:sz w:val="21"/>
                <w:szCs w:val="21"/>
              </w:rPr>
              <w:t xml:space="preserve"> with RESFire</w:t>
            </w:r>
          </w:p>
        </w:tc>
      </w:tr>
      <w:tr w:rsidR="00FF557B" w:rsidRPr="00B90C35" w14:paraId="08B9E9B5" w14:textId="77777777" w:rsidTr="00CE686F">
        <w:tc>
          <w:tcPr>
            <w:tcW w:w="2070" w:type="dxa"/>
          </w:tcPr>
          <w:p w14:paraId="70F91E00" w14:textId="77777777" w:rsidR="00FF557B" w:rsidRPr="00B90C35" w:rsidRDefault="00FF557B" w:rsidP="00CE686F">
            <w:pPr>
              <w:spacing w:line="480" w:lineRule="auto"/>
              <w:jc w:val="center"/>
              <w:rPr>
                <w:sz w:val="21"/>
                <w:szCs w:val="21"/>
              </w:rPr>
            </w:pPr>
            <w:r w:rsidRPr="00B90C35">
              <w:rPr>
                <w:sz w:val="21"/>
                <w:szCs w:val="21"/>
              </w:rPr>
              <w:t>Ocean</w:t>
            </w:r>
          </w:p>
        </w:tc>
        <w:tc>
          <w:tcPr>
            <w:tcW w:w="2160" w:type="dxa"/>
          </w:tcPr>
          <w:p w14:paraId="2000D07A" w14:textId="77777777" w:rsidR="00FF557B" w:rsidRPr="00B90C35" w:rsidRDefault="00FF557B" w:rsidP="00CE686F">
            <w:pPr>
              <w:spacing w:line="480" w:lineRule="auto"/>
              <w:jc w:val="center"/>
              <w:rPr>
                <w:sz w:val="21"/>
                <w:szCs w:val="21"/>
              </w:rPr>
            </w:pPr>
            <w:r w:rsidRPr="00B90C35">
              <w:rPr>
                <w:sz w:val="21"/>
                <w:szCs w:val="21"/>
              </w:rPr>
              <w:t>Climatology</w:t>
            </w:r>
            <w:r w:rsidRPr="00B90C35">
              <w:rPr>
                <w:sz w:val="21"/>
                <w:szCs w:val="21"/>
                <w:vertAlign w:val="superscript"/>
              </w:rPr>
              <w:t>(b)</w:t>
            </w:r>
          </w:p>
        </w:tc>
        <w:tc>
          <w:tcPr>
            <w:tcW w:w="2610" w:type="dxa"/>
          </w:tcPr>
          <w:p w14:paraId="5A4A9024" w14:textId="77777777" w:rsidR="00FF557B" w:rsidRPr="00B90C35" w:rsidRDefault="00FF557B" w:rsidP="00CE686F">
            <w:pPr>
              <w:spacing w:line="480" w:lineRule="auto"/>
              <w:jc w:val="center"/>
              <w:rPr>
                <w:sz w:val="21"/>
                <w:szCs w:val="21"/>
              </w:rPr>
            </w:pPr>
            <w:r w:rsidRPr="00B90C35">
              <w:rPr>
                <w:sz w:val="21"/>
                <w:szCs w:val="21"/>
              </w:rPr>
              <w:t>ICE+ year-average regional SST for the Pacific sector of the Arctic</w:t>
            </w:r>
            <w:r w:rsidRPr="00B90C35">
              <w:rPr>
                <w:sz w:val="21"/>
                <w:szCs w:val="21"/>
                <w:vertAlign w:val="superscript"/>
              </w:rPr>
              <w:t>(c)</w:t>
            </w:r>
          </w:p>
        </w:tc>
        <w:tc>
          <w:tcPr>
            <w:tcW w:w="2628" w:type="dxa"/>
          </w:tcPr>
          <w:p w14:paraId="79889B47" w14:textId="77777777" w:rsidR="00FF557B" w:rsidRPr="00B90C35" w:rsidRDefault="00FF557B" w:rsidP="00CE686F">
            <w:pPr>
              <w:spacing w:line="480" w:lineRule="auto"/>
              <w:jc w:val="center"/>
              <w:rPr>
                <w:sz w:val="21"/>
                <w:szCs w:val="21"/>
              </w:rPr>
            </w:pPr>
            <w:r w:rsidRPr="00B90C35">
              <w:rPr>
                <w:sz w:val="21"/>
                <w:szCs w:val="21"/>
              </w:rPr>
              <w:t>ICE- year-average regional SST for the Pacific sector of the Arctic</w:t>
            </w:r>
            <w:r w:rsidRPr="00B90C35">
              <w:rPr>
                <w:sz w:val="21"/>
                <w:szCs w:val="21"/>
                <w:vertAlign w:val="superscript"/>
              </w:rPr>
              <w:t>(c)</w:t>
            </w:r>
          </w:p>
        </w:tc>
      </w:tr>
      <w:tr w:rsidR="00FF557B" w:rsidRPr="00B90C35" w14:paraId="5D5F9E0C" w14:textId="77777777" w:rsidTr="00CE686F">
        <w:tc>
          <w:tcPr>
            <w:tcW w:w="2070" w:type="dxa"/>
          </w:tcPr>
          <w:p w14:paraId="5F47826B" w14:textId="77777777" w:rsidR="00FF557B" w:rsidRPr="00B90C35" w:rsidRDefault="00FF557B" w:rsidP="00CE686F">
            <w:pPr>
              <w:spacing w:line="480" w:lineRule="auto"/>
              <w:jc w:val="center"/>
              <w:rPr>
                <w:sz w:val="21"/>
                <w:szCs w:val="21"/>
              </w:rPr>
            </w:pPr>
            <w:r w:rsidRPr="00B90C35">
              <w:rPr>
                <w:sz w:val="21"/>
                <w:szCs w:val="21"/>
              </w:rPr>
              <w:t>Sea ice</w:t>
            </w:r>
          </w:p>
        </w:tc>
        <w:tc>
          <w:tcPr>
            <w:tcW w:w="2160" w:type="dxa"/>
          </w:tcPr>
          <w:p w14:paraId="55632F84" w14:textId="77777777" w:rsidR="00FF557B" w:rsidRPr="00B90C35" w:rsidRDefault="00FF557B" w:rsidP="00CE686F">
            <w:pPr>
              <w:spacing w:line="480" w:lineRule="auto"/>
              <w:jc w:val="center"/>
              <w:rPr>
                <w:sz w:val="21"/>
                <w:szCs w:val="21"/>
              </w:rPr>
            </w:pPr>
            <w:r w:rsidRPr="00B90C35">
              <w:rPr>
                <w:sz w:val="21"/>
                <w:szCs w:val="21"/>
              </w:rPr>
              <w:t>Climatology</w:t>
            </w:r>
            <w:r w:rsidRPr="00B90C35">
              <w:rPr>
                <w:sz w:val="21"/>
                <w:szCs w:val="21"/>
                <w:vertAlign w:val="superscript"/>
              </w:rPr>
              <w:t>(b)</w:t>
            </w:r>
          </w:p>
        </w:tc>
        <w:tc>
          <w:tcPr>
            <w:tcW w:w="2610" w:type="dxa"/>
          </w:tcPr>
          <w:p w14:paraId="5922C354" w14:textId="77777777" w:rsidR="00FF557B" w:rsidRPr="00B90C35" w:rsidRDefault="00FF557B" w:rsidP="00CE686F">
            <w:pPr>
              <w:spacing w:line="480" w:lineRule="auto"/>
              <w:jc w:val="center"/>
              <w:rPr>
                <w:sz w:val="21"/>
                <w:szCs w:val="21"/>
              </w:rPr>
            </w:pPr>
            <w:r w:rsidRPr="00B90C35">
              <w:rPr>
                <w:sz w:val="21"/>
                <w:szCs w:val="21"/>
              </w:rPr>
              <w:t>ICE+ year-average regional SIC</w:t>
            </w:r>
            <w:r w:rsidRPr="00B90C35">
              <w:rPr>
                <w:sz w:val="21"/>
                <w:szCs w:val="21"/>
                <w:vertAlign w:val="superscript"/>
              </w:rPr>
              <w:t>(c)</w:t>
            </w:r>
          </w:p>
        </w:tc>
        <w:tc>
          <w:tcPr>
            <w:tcW w:w="2628" w:type="dxa"/>
          </w:tcPr>
          <w:p w14:paraId="25AC4855" w14:textId="77777777" w:rsidR="00FF557B" w:rsidRPr="00B90C35" w:rsidRDefault="00FF557B" w:rsidP="00CE686F">
            <w:pPr>
              <w:spacing w:line="480" w:lineRule="auto"/>
              <w:jc w:val="center"/>
              <w:rPr>
                <w:sz w:val="21"/>
                <w:szCs w:val="21"/>
              </w:rPr>
            </w:pPr>
            <w:r w:rsidRPr="00B90C35">
              <w:rPr>
                <w:sz w:val="21"/>
                <w:szCs w:val="21"/>
              </w:rPr>
              <w:t>ICE- year-average regional SIC</w:t>
            </w:r>
            <w:r w:rsidRPr="00B90C35">
              <w:rPr>
                <w:sz w:val="21"/>
                <w:szCs w:val="21"/>
                <w:vertAlign w:val="superscript"/>
              </w:rPr>
              <w:t>(c)</w:t>
            </w:r>
          </w:p>
        </w:tc>
      </w:tr>
    </w:tbl>
    <w:p w14:paraId="383F22E7" w14:textId="77777777" w:rsidR="00FF557B" w:rsidRPr="00B90C35" w:rsidRDefault="00FF557B" w:rsidP="00FF557B">
      <w:pPr>
        <w:spacing w:line="480" w:lineRule="auto"/>
        <w:rPr>
          <w:noProof/>
        </w:rPr>
      </w:pPr>
      <w:r w:rsidRPr="00B90C35">
        <w:rPr>
          <w:noProof/>
          <w:vertAlign w:val="superscript"/>
        </w:rPr>
        <w:t>(a)</w:t>
      </w:r>
      <w:r w:rsidRPr="00B90C35">
        <w:rPr>
          <w:noProof/>
        </w:rPr>
        <w:t>: using CAM5 physics package and WACCM_MOZART_MAM3 chemistry package;</w:t>
      </w:r>
    </w:p>
    <w:p w14:paraId="692ACB03" w14:textId="77777777" w:rsidR="00FF557B" w:rsidRPr="00B90C35" w:rsidRDefault="00FF557B" w:rsidP="00FF557B">
      <w:pPr>
        <w:spacing w:line="480" w:lineRule="auto"/>
      </w:pPr>
      <w:r w:rsidRPr="00B90C35">
        <w:rPr>
          <w:noProof/>
          <w:vertAlign w:val="superscript"/>
        </w:rPr>
        <w:t>(b)</w:t>
      </w:r>
      <w:r w:rsidRPr="00B90C35">
        <w:rPr>
          <w:noProof/>
        </w:rPr>
        <w:t>: 1981-2010 average based on the HadISST SST and SIC data</w:t>
      </w:r>
      <w:r w:rsidRPr="00F84989">
        <w:rPr>
          <w:noProof/>
          <w:vertAlign w:val="superscript"/>
        </w:rPr>
        <w:t>45</w:t>
      </w:r>
      <w:r w:rsidRPr="00B90C35">
        <w:t>;</w:t>
      </w:r>
    </w:p>
    <w:p w14:paraId="29BB1CCA" w14:textId="77777777" w:rsidR="00FF557B" w:rsidRPr="00B90C35" w:rsidRDefault="00FF557B" w:rsidP="00FF557B">
      <w:pPr>
        <w:spacing w:line="480" w:lineRule="auto"/>
      </w:pPr>
      <w:r w:rsidRPr="00B90C35">
        <w:rPr>
          <w:noProof/>
          <w:vertAlign w:val="superscript"/>
        </w:rPr>
        <w:t>(c)</w:t>
      </w:r>
      <w:r w:rsidRPr="00B90C35">
        <w:rPr>
          <w:noProof/>
        </w:rPr>
        <w:t>: see the main text and Fig. 2</w:t>
      </w:r>
      <w:r>
        <w:rPr>
          <w:noProof/>
        </w:rPr>
        <w:t>a</w:t>
      </w:r>
      <w:r w:rsidRPr="00B90C35">
        <w:rPr>
          <w:noProof/>
        </w:rPr>
        <w:t xml:space="preserve"> for the region definition;</w:t>
      </w:r>
    </w:p>
    <w:p w14:paraId="0A4C3E0A" w14:textId="77777777" w:rsidR="00FF557B" w:rsidRDefault="00FF557B" w:rsidP="00FF557B">
      <w:pPr>
        <w:spacing w:line="480" w:lineRule="auto"/>
      </w:pPr>
      <w:r>
        <w:br w:type="page"/>
      </w:r>
    </w:p>
    <w:p w14:paraId="29F4B224" w14:textId="77777777" w:rsidR="00FF557B" w:rsidRPr="00B90C35" w:rsidRDefault="00FF557B" w:rsidP="00FF557B">
      <w:pPr>
        <w:spacing w:after="120" w:line="480" w:lineRule="auto"/>
        <w:rPr>
          <w:b/>
          <w:bCs/>
          <w:sz w:val="24"/>
          <w:szCs w:val="24"/>
        </w:rPr>
      </w:pPr>
      <w:r w:rsidRPr="00A20901">
        <w:rPr>
          <w:b/>
          <w:bCs/>
          <w:sz w:val="24"/>
          <w:szCs w:val="24"/>
        </w:rPr>
        <w:lastRenderedPageBreak/>
        <w:t xml:space="preserve">Supplementary </w:t>
      </w:r>
      <w:r w:rsidRPr="00B90C35">
        <w:rPr>
          <w:b/>
          <w:bCs/>
          <w:sz w:val="24"/>
          <w:szCs w:val="24"/>
        </w:rPr>
        <w:t xml:space="preserve">Table 2. The CMIP6 models in the </w:t>
      </w:r>
      <w:proofErr w:type="spellStart"/>
      <w:r w:rsidRPr="00B90C35">
        <w:rPr>
          <w:b/>
          <w:bCs/>
          <w:sz w:val="24"/>
          <w:szCs w:val="24"/>
        </w:rPr>
        <w:t>amip</w:t>
      </w:r>
      <w:proofErr w:type="spellEnd"/>
      <w:r w:rsidRPr="00B90C35">
        <w:rPr>
          <w:b/>
          <w:bCs/>
          <w:sz w:val="24"/>
          <w:szCs w:val="24"/>
        </w:rPr>
        <w:t xml:space="preserve"> experiment</w:t>
      </w:r>
      <w:r>
        <w:rPr>
          <w:b/>
          <w:bCs/>
          <w:sz w:val="24"/>
          <w:szCs w:val="24"/>
        </w:rPr>
        <w:t xml:space="preserve"> used in this study</w:t>
      </w:r>
    </w:p>
    <w:tbl>
      <w:tblPr>
        <w:tblStyle w:val="TableGrid2"/>
        <w:tblW w:w="4923"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2610"/>
        <w:gridCol w:w="1692"/>
        <w:gridCol w:w="2304"/>
      </w:tblGrid>
      <w:tr w:rsidR="00FF557B" w:rsidRPr="003B0762" w14:paraId="0CBD95A2" w14:textId="77777777" w:rsidTr="00CE686F">
        <w:tc>
          <w:tcPr>
            <w:tcW w:w="1416" w:type="pct"/>
            <w:tcBorders>
              <w:top w:val="single" w:sz="12" w:space="0" w:color="auto"/>
              <w:bottom w:val="single" w:sz="12" w:space="0" w:color="auto"/>
            </w:tcBorders>
          </w:tcPr>
          <w:p w14:paraId="2B62E4DF"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Model Name</w:t>
            </w:r>
          </w:p>
        </w:tc>
        <w:tc>
          <w:tcPr>
            <w:tcW w:w="1416" w:type="pct"/>
            <w:tcBorders>
              <w:top w:val="single" w:sz="12" w:space="0" w:color="auto"/>
              <w:bottom w:val="single" w:sz="12" w:space="0" w:color="auto"/>
            </w:tcBorders>
          </w:tcPr>
          <w:p w14:paraId="0BF31808"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Institute ID</w:t>
            </w:r>
          </w:p>
        </w:tc>
        <w:tc>
          <w:tcPr>
            <w:tcW w:w="918" w:type="pct"/>
            <w:tcBorders>
              <w:top w:val="single" w:sz="12" w:space="0" w:color="auto"/>
              <w:bottom w:val="single" w:sz="12" w:space="0" w:color="auto"/>
            </w:tcBorders>
          </w:tcPr>
          <w:p w14:paraId="07ED964B"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Experiment ID</w:t>
            </w:r>
          </w:p>
        </w:tc>
        <w:tc>
          <w:tcPr>
            <w:tcW w:w="1250" w:type="pct"/>
            <w:tcBorders>
              <w:top w:val="single" w:sz="12" w:space="0" w:color="auto"/>
              <w:bottom w:val="single" w:sz="12" w:space="0" w:color="auto"/>
            </w:tcBorders>
          </w:tcPr>
          <w:p w14:paraId="40AB753E"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Ensemble Member</w:t>
            </w:r>
          </w:p>
        </w:tc>
      </w:tr>
      <w:tr w:rsidR="00FF557B" w:rsidRPr="003B0762" w14:paraId="0CB175C1" w14:textId="77777777" w:rsidTr="00CE686F">
        <w:tc>
          <w:tcPr>
            <w:tcW w:w="1416" w:type="pct"/>
          </w:tcPr>
          <w:p w14:paraId="60220D9D" w14:textId="77777777" w:rsidR="00FF557B" w:rsidRPr="003B0762" w:rsidRDefault="00FF557B" w:rsidP="00CE686F">
            <w:pPr>
              <w:spacing w:line="480" w:lineRule="auto"/>
              <w:jc w:val="center"/>
              <w:rPr>
                <w:rFonts w:ascii="Times" w:hAnsi="Times" w:cstheme="minorHAnsi"/>
              </w:rPr>
            </w:pPr>
            <w:r>
              <w:rPr>
                <w:rFonts w:ascii="Times" w:hAnsi="Times" w:cstheme="minorHAnsi"/>
              </w:rPr>
              <w:t>ACCESS-CM2</w:t>
            </w:r>
            <w:r w:rsidRPr="00F84989">
              <w:rPr>
                <w:rFonts w:ascii="Times" w:hAnsi="Times" w:cstheme="minorHAnsi"/>
                <w:noProof/>
                <w:vertAlign w:val="superscript"/>
              </w:rPr>
              <w:t>65</w:t>
            </w:r>
          </w:p>
        </w:tc>
        <w:tc>
          <w:tcPr>
            <w:tcW w:w="1416" w:type="pct"/>
          </w:tcPr>
          <w:p w14:paraId="15712EDB" w14:textId="77777777" w:rsidR="00FF557B" w:rsidRPr="003B0762" w:rsidRDefault="00FF557B" w:rsidP="00CE686F">
            <w:pPr>
              <w:spacing w:line="480" w:lineRule="auto"/>
              <w:jc w:val="center"/>
              <w:rPr>
                <w:rFonts w:ascii="Times" w:hAnsi="Times" w:cstheme="minorHAnsi"/>
              </w:rPr>
            </w:pPr>
            <w:r>
              <w:rPr>
                <w:rFonts w:ascii="Times" w:hAnsi="Times" w:cstheme="minorHAnsi"/>
              </w:rPr>
              <w:t>CSIRO-ARCCSS</w:t>
            </w:r>
          </w:p>
        </w:tc>
        <w:tc>
          <w:tcPr>
            <w:tcW w:w="918" w:type="pct"/>
          </w:tcPr>
          <w:p w14:paraId="321F53D6"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76E00F22"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1C7F4191" w14:textId="77777777" w:rsidTr="00CE686F">
        <w:tc>
          <w:tcPr>
            <w:tcW w:w="1416" w:type="pct"/>
          </w:tcPr>
          <w:p w14:paraId="0EFF1DE5"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CanESM5</w:t>
            </w:r>
            <w:r w:rsidRPr="00F84989">
              <w:rPr>
                <w:rFonts w:ascii="Times" w:hAnsi="Times" w:cstheme="minorHAnsi"/>
                <w:noProof/>
                <w:vertAlign w:val="superscript"/>
              </w:rPr>
              <w:t>66</w:t>
            </w:r>
          </w:p>
        </w:tc>
        <w:tc>
          <w:tcPr>
            <w:tcW w:w="1416" w:type="pct"/>
          </w:tcPr>
          <w:p w14:paraId="6C2A972E" w14:textId="77777777" w:rsidR="00FF557B" w:rsidRPr="003B0762" w:rsidRDefault="00FF557B" w:rsidP="00CE686F">
            <w:pPr>
              <w:spacing w:line="480" w:lineRule="auto"/>
              <w:jc w:val="center"/>
              <w:rPr>
                <w:rFonts w:ascii="Times" w:hAnsi="Times" w:cstheme="minorHAnsi"/>
              </w:rPr>
            </w:pPr>
            <w:proofErr w:type="spellStart"/>
            <w:r w:rsidRPr="003B0762">
              <w:rPr>
                <w:rFonts w:ascii="Times" w:hAnsi="Times" w:cstheme="minorHAnsi"/>
              </w:rPr>
              <w:t>CCCma</w:t>
            </w:r>
            <w:proofErr w:type="spellEnd"/>
          </w:p>
        </w:tc>
        <w:tc>
          <w:tcPr>
            <w:tcW w:w="918" w:type="pct"/>
          </w:tcPr>
          <w:p w14:paraId="38F6BA5F" w14:textId="77777777" w:rsidR="00FF557B"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6C588F5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62F3E572" w14:textId="77777777" w:rsidTr="00CE686F">
        <w:tc>
          <w:tcPr>
            <w:tcW w:w="1416" w:type="pct"/>
          </w:tcPr>
          <w:p w14:paraId="5903060E"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CESM2</w:t>
            </w:r>
            <w:r w:rsidRPr="00F84989">
              <w:rPr>
                <w:rFonts w:ascii="Times" w:hAnsi="Times" w:cstheme="minorHAnsi"/>
                <w:noProof/>
                <w:vertAlign w:val="superscript"/>
              </w:rPr>
              <w:t>67</w:t>
            </w:r>
          </w:p>
        </w:tc>
        <w:tc>
          <w:tcPr>
            <w:tcW w:w="1416" w:type="pct"/>
          </w:tcPr>
          <w:p w14:paraId="640C31A2"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NCAR</w:t>
            </w:r>
          </w:p>
        </w:tc>
        <w:tc>
          <w:tcPr>
            <w:tcW w:w="918" w:type="pct"/>
          </w:tcPr>
          <w:p w14:paraId="42D8F8EE"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18D29D94"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73C49E77" w14:textId="77777777" w:rsidTr="00CE686F">
        <w:tc>
          <w:tcPr>
            <w:tcW w:w="1416" w:type="pct"/>
          </w:tcPr>
          <w:p w14:paraId="41B62679"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CESM2-WACCM</w:t>
            </w:r>
            <w:r w:rsidRPr="00F84989">
              <w:rPr>
                <w:rFonts w:ascii="Times" w:hAnsi="Times" w:cstheme="minorHAnsi"/>
                <w:noProof/>
                <w:vertAlign w:val="superscript"/>
              </w:rPr>
              <w:t>68</w:t>
            </w:r>
          </w:p>
        </w:tc>
        <w:tc>
          <w:tcPr>
            <w:tcW w:w="1416" w:type="pct"/>
          </w:tcPr>
          <w:p w14:paraId="03EEC48E"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NCAR</w:t>
            </w:r>
          </w:p>
        </w:tc>
        <w:tc>
          <w:tcPr>
            <w:tcW w:w="918" w:type="pct"/>
          </w:tcPr>
          <w:p w14:paraId="79F731D5"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1B3FA5B4"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63059AED" w14:textId="77777777" w:rsidTr="00CE686F">
        <w:tc>
          <w:tcPr>
            <w:tcW w:w="1416" w:type="pct"/>
          </w:tcPr>
          <w:p w14:paraId="59001E49" w14:textId="77777777" w:rsidR="00FF557B" w:rsidRPr="003B0762" w:rsidRDefault="00FF557B" w:rsidP="00CE686F">
            <w:pPr>
              <w:spacing w:line="480" w:lineRule="auto"/>
              <w:jc w:val="center"/>
              <w:rPr>
                <w:rFonts w:ascii="Times" w:hAnsi="Times" w:cstheme="minorHAnsi"/>
              </w:rPr>
            </w:pPr>
            <w:r>
              <w:rPr>
                <w:rFonts w:ascii="Times" w:hAnsi="Times" w:cstheme="minorHAnsi"/>
              </w:rPr>
              <w:t>CNRM-ESM2-1</w:t>
            </w:r>
            <w:r w:rsidRPr="00F84989">
              <w:rPr>
                <w:rFonts w:ascii="Times" w:hAnsi="Times" w:cstheme="minorHAnsi"/>
                <w:noProof/>
                <w:vertAlign w:val="superscript"/>
              </w:rPr>
              <w:t>69</w:t>
            </w:r>
          </w:p>
        </w:tc>
        <w:tc>
          <w:tcPr>
            <w:tcW w:w="1416" w:type="pct"/>
          </w:tcPr>
          <w:p w14:paraId="7496B573" w14:textId="77777777" w:rsidR="00FF557B" w:rsidRPr="003B0762" w:rsidRDefault="00FF557B" w:rsidP="00CE686F">
            <w:pPr>
              <w:spacing w:line="480" w:lineRule="auto"/>
              <w:jc w:val="center"/>
              <w:rPr>
                <w:rFonts w:ascii="Times" w:hAnsi="Times" w:cstheme="minorHAnsi"/>
              </w:rPr>
            </w:pPr>
            <w:r>
              <w:rPr>
                <w:rFonts w:ascii="Times" w:hAnsi="Times" w:cstheme="minorHAnsi"/>
              </w:rPr>
              <w:t>CNRM-CERFACS</w:t>
            </w:r>
          </w:p>
        </w:tc>
        <w:tc>
          <w:tcPr>
            <w:tcW w:w="918" w:type="pct"/>
          </w:tcPr>
          <w:p w14:paraId="54BC024C" w14:textId="77777777" w:rsidR="00FF557B"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4BB111D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w:t>
            </w:r>
            <w:r>
              <w:rPr>
                <w:rFonts w:ascii="Times" w:hAnsi="Times" w:cstheme="minorHAnsi"/>
              </w:rPr>
              <w:t>2</w:t>
            </w:r>
          </w:p>
        </w:tc>
      </w:tr>
      <w:tr w:rsidR="00FF557B" w:rsidRPr="003B0762" w14:paraId="4872B8B7" w14:textId="77777777" w:rsidTr="00CE686F">
        <w:tc>
          <w:tcPr>
            <w:tcW w:w="1416" w:type="pct"/>
          </w:tcPr>
          <w:p w14:paraId="691556AE"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EC-Earth3</w:t>
            </w:r>
            <w:r w:rsidRPr="00F84989">
              <w:rPr>
                <w:rFonts w:ascii="Times" w:hAnsi="Times" w:cstheme="minorHAnsi"/>
                <w:noProof/>
                <w:vertAlign w:val="superscript"/>
              </w:rPr>
              <w:t>70</w:t>
            </w:r>
          </w:p>
        </w:tc>
        <w:tc>
          <w:tcPr>
            <w:tcW w:w="1416" w:type="pct"/>
          </w:tcPr>
          <w:p w14:paraId="72AB3038"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EC-Earth-Consortium</w:t>
            </w:r>
          </w:p>
        </w:tc>
        <w:tc>
          <w:tcPr>
            <w:tcW w:w="918" w:type="pct"/>
          </w:tcPr>
          <w:p w14:paraId="2C65BA79"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55AF7D9C"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0EA77FCF" w14:textId="77777777" w:rsidTr="00CE686F">
        <w:tc>
          <w:tcPr>
            <w:tcW w:w="1416" w:type="pct"/>
          </w:tcPr>
          <w:p w14:paraId="742525A9" w14:textId="77777777" w:rsidR="00FF557B" w:rsidRPr="003B0762" w:rsidRDefault="00FF557B" w:rsidP="00CE686F">
            <w:pPr>
              <w:spacing w:line="480" w:lineRule="auto"/>
              <w:jc w:val="center"/>
              <w:rPr>
                <w:rFonts w:ascii="Times" w:hAnsi="Times" w:cstheme="minorHAnsi"/>
              </w:rPr>
            </w:pPr>
            <w:r>
              <w:rPr>
                <w:rFonts w:ascii="Times" w:hAnsi="Times" w:cstheme="minorHAnsi"/>
              </w:rPr>
              <w:t>FGOALS-g3</w:t>
            </w:r>
            <w:r w:rsidRPr="00F84989">
              <w:rPr>
                <w:rFonts w:ascii="Times" w:hAnsi="Times" w:cstheme="minorHAnsi"/>
                <w:noProof/>
                <w:vertAlign w:val="superscript"/>
              </w:rPr>
              <w:t>71</w:t>
            </w:r>
          </w:p>
        </w:tc>
        <w:tc>
          <w:tcPr>
            <w:tcW w:w="1416" w:type="pct"/>
          </w:tcPr>
          <w:p w14:paraId="5022B4C9" w14:textId="77777777" w:rsidR="00FF557B" w:rsidRPr="003B0762" w:rsidRDefault="00FF557B" w:rsidP="00CE686F">
            <w:pPr>
              <w:spacing w:line="480" w:lineRule="auto"/>
              <w:jc w:val="center"/>
              <w:rPr>
                <w:rFonts w:ascii="Times" w:hAnsi="Times" w:cstheme="minorHAnsi"/>
              </w:rPr>
            </w:pPr>
            <w:r>
              <w:rPr>
                <w:rFonts w:ascii="Times" w:hAnsi="Times" w:cstheme="minorHAnsi"/>
              </w:rPr>
              <w:t>CAS</w:t>
            </w:r>
          </w:p>
        </w:tc>
        <w:tc>
          <w:tcPr>
            <w:tcW w:w="918" w:type="pct"/>
          </w:tcPr>
          <w:p w14:paraId="5E7E6E8A"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3363971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7569194D" w14:textId="77777777" w:rsidTr="00CE686F">
        <w:tc>
          <w:tcPr>
            <w:tcW w:w="1416" w:type="pct"/>
          </w:tcPr>
          <w:p w14:paraId="4ADEDBC0"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GFDL-CM4</w:t>
            </w:r>
            <w:r w:rsidRPr="00F84989">
              <w:rPr>
                <w:rFonts w:ascii="Times" w:hAnsi="Times" w:cstheme="minorHAnsi"/>
                <w:noProof/>
                <w:vertAlign w:val="superscript"/>
              </w:rPr>
              <w:t>72</w:t>
            </w:r>
          </w:p>
        </w:tc>
        <w:tc>
          <w:tcPr>
            <w:tcW w:w="1416" w:type="pct"/>
          </w:tcPr>
          <w:p w14:paraId="62A12D6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NOAA-GFDL</w:t>
            </w:r>
          </w:p>
        </w:tc>
        <w:tc>
          <w:tcPr>
            <w:tcW w:w="918" w:type="pct"/>
          </w:tcPr>
          <w:p w14:paraId="5C572A98"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1709FE2F"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6DB56CD3" w14:textId="77777777" w:rsidTr="00CE686F">
        <w:tc>
          <w:tcPr>
            <w:tcW w:w="1416" w:type="pct"/>
          </w:tcPr>
          <w:p w14:paraId="5BFCA312" w14:textId="77777777" w:rsidR="00FF557B" w:rsidRPr="003B0762" w:rsidRDefault="00FF557B" w:rsidP="00CE686F">
            <w:pPr>
              <w:spacing w:line="480" w:lineRule="auto"/>
              <w:jc w:val="center"/>
              <w:rPr>
                <w:rFonts w:ascii="Times" w:hAnsi="Times" w:cstheme="minorHAnsi"/>
              </w:rPr>
            </w:pPr>
            <w:r>
              <w:rPr>
                <w:rFonts w:ascii="Times" w:hAnsi="Times" w:cstheme="minorHAnsi"/>
              </w:rPr>
              <w:t>INM-CM4-8</w:t>
            </w:r>
            <w:r w:rsidRPr="00F84989">
              <w:rPr>
                <w:rFonts w:ascii="Times" w:hAnsi="Times" w:cstheme="minorHAnsi"/>
                <w:noProof/>
                <w:vertAlign w:val="superscript"/>
              </w:rPr>
              <w:t>73</w:t>
            </w:r>
          </w:p>
        </w:tc>
        <w:tc>
          <w:tcPr>
            <w:tcW w:w="1416" w:type="pct"/>
          </w:tcPr>
          <w:p w14:paraId="0608CC60" w14:textId="77777777" w:rsidR="00FF557B" w:rsidRPr="003B0762" w:rsidRDefault="00FF557B" w:rsidP="00CE686F">
            <w:pPr>
              <w:spacing w:line="480" w:lineRule="auto"/>
              <w:jc w:val="center"/>
              <w:rPr>
                <w:rFonts w:ascii="Times" w:hAnsi="Times" w:cstheme="minorHAnsi"/>
              </w:rPr>
            </w:pPr>
            <w:r>
              <w:rPr>
                <w:rFonts w:ascii="Times" w:hAnsi="Times" w:cstheme="minorHAnsi"/>
              </w:rPr>
              <w:t>INM</w:t>
            </w:r>
          </w:p>
        </w:tc>
        <w:tc>
          <w:tcPr>
            <w:tcW w:w="918" w:type="pct"/>
          </w:tcPr>
          <w:p w14:paraId="1A952265"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665533E9"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38F8845F" w14:textId="77777777" w:rsidTr="00CE686F">
        <w:tc>
          <w:tcPr>
            <w:tcW w:w="1416" w:type="pct"/>
          </w:tcPr>
          <w:p w14:paraId="641CCC2B"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IPSL-CM6A-LR</w:t>
            </w:r>
            <w:r w:rsidRPr="00F84989">
              <w:rPr>
                <w:rFonts w:ascii="Times" w:hAnsi="Times" w:cstheme="minorHAnsi"/>
                <w:noProof/>
                <w:vertAlign w:val="superscript"/>
              </w:rPr>
              <w:t>74</w:t>
            </w:r>
          </w:p>
        </w:tc>
        <w:tc>
          <w:tcPr>
            <w:tcW w:w="1416" w:type="pct"/>
          </w:tcPr>
          <w:p w14:paraId="3FD16EA7"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IPSL</w:t>
            </w:r>
          </w:p>
        </w:tc>
        <w:tc>
          <w:tcPr>
            <w:tcW w:w="918" w:type="pct"/>
          </w:tcPr>
          <w:p w14:paraId="608EDF1F"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sidRPr="003B0762">
              <w:rPr>
                <w:rFonts w:ascii="Times" w:hAnsi="Times" w:cstheme="minorHAnsi"/>
              </w:rPr>
              <w:t xml:space="preserve"> </w:t>
            </w:r>
          </w:p>
        </w:tc>
        <w:tc>
          <w:tcPr>
            <w:tcW w:w="1250" w:type="pct"/>
          </w:tcPr>
          <w:p w14:paraId="64129C06"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24E4923B" w14:textId="77777777" w:rsidTr="00CE686F">
        <w:tc>
          <w:tcPr>
            <w:tcW w:w="1416" w:type="pct"/>
          </w:tcPr>
          <w:p w14:paraId="30FB0375" w14:textId="77777777" w:rsidR="00FF557B" w:rsidRPr="003B0762" w:rsidRDefault="00FF557B" w:rsidP="00CE686F">
            <w:pPr>
              <w:spacing w:line="480" w:lineRule="auto"/>
              <w:jc w:val="center"/>
              <w:rPr>
                <w:rFonts w:ascii="Times" w:hAnsi="Times" w:cstheme="minorHAnsi"/>
              </w:rPr>
            </w:pPr>
            <w:r>
              <w:rPr>
                <w:rFonts w:ascii="Times" w:hAnsi="Times" w:cstheme="minorHAnsi"/>
              </w:rPr>
              <w:t>MPI-ESM1-2-HR</w:t>
            </w:r>
            <w:r w:rsidRPr="00F84989">
              <w:rPr>
                <w:rFonts w:ascii="Times" w:hAnsi="Times" w:cstheme="minorHAnsi"/>
                <w:noProof/>
                <w:vertAlign w:val="superscript"/>
              </w:rPr>
              <w:t>75</w:t>
            </w:r>
          </w:p>
        </w:tc>
        <w:tc>
          <w:tcPr>
            <w:tcW w:w="1416" w:type="pct"/>
          </w:tcPr>
          <w:p w14:paraId="28C07C44" w14:textId="77777777" w:rsidR="00FF557B" w:rsidRPr="003B0762" w:rsidRDefault="00FF557B" w:rsidP="00CE686F">
            <w:pPr>
              <w:spacing w:line="480" w:lineRule="auto"/>
              <w:jc w:val="center"/>
              <w:rPr>
                <w:rFonts w:ascii="Times" w:hAnsi="Times" w:cstheme="minorHAnsi"/>
              </w:rPr>
            </w:pPr>
            <w:r>
              <w:rPr>
                <w:rFonts w:ascii="Times" w:hAnsi="Times" w:cstheme="minorHAnsi"/>
              </w:rPr>
              <w:t>MPI-M</w:t>
            </w:r>
          </w:p>
        </w:tc>
        <w:tc>
          <w:tcPr>
            <w:tcW w:w="918" w:type="pct"/>
          </w:tcPr>
          <w:p w14:paraId="7B6C1198"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7BEBECB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66660208" w14:textId="77777777" w:rsidTr="00CE686F">
        <w:tc>
          <w:tcPr>
            <w:tcW w:w="1416" w:type="pct"/>
          </w:tcPr>
          <w:p w14:paraId="6FCA9701" w14:textId="77777777" w:rsidR="00FF557B" w:rsidRDefault="00FF557B" w:rsidP="00CE686F">
            <w:pPr>
              <w:spacing w:line="480" w:lineRule="auto"/>
              <w:jc w:val="center"/>
              <w:rPr>
                <w:rFonts w:ascii="Times" w:hAnsi="Times" w:cstheme="minorHAnsi"/>
              </w:rPr>
            </w:pPr>
            <w:r>
              <w:rPr>
                <w:rFonts w:ascii="Times" w:hAnsi="Times" w:cstheme="minorHAnsi"/>
              </w:rPr>
              <w:t>MRI-ESM2-0</w:t>
            </w:r>
            <w:r w:rsidRPr="00F84989">
              <w:rPr>
                <w:rFonts w:ascii="Times" w:hAnsi="Times" w:cstheme="minorHAnsi"/>
                <w:noProof/>
                <w:vertAlign w:val="superscript"/>
              </w:rPr>
              <w:t>76</w:t>
            </w:r>
          </w:p>
        </w:tc>
        <w:tc>
          <w:tcPr>
            <w:tcW w:w="1416" w:type="pct"/>
          </w:tcPr>
          <w:p w14:paraId="4A0FFCB2" w14:textId="77777777" w:rsidR="00FF557B" w:rsidRPr="003B0762" w:rsidRDefault="00FF557B" w:rsidP="00CE686F">
            <w:pPr>
              <w:spacing w:line="480" w:lineRule="auto"/>
              <w:jc w:val="center"/>
              <w:rPr>
                <w:rFonts w:ascii="Times" w:hAnsi="Times" w:cstheme="minorHAnsi"/>
              </w:rPr>
            </w:pPr>
            <w:r>
              <w:rPr>
                <w:rFonts w:ascii="Times" w:hAnsi="Times" w:cstheme="minorHAnsi"/>
              </w:rPr>
              <w:t>MRI</w:t>
            </w:r>
          </w:p>
        </w:tc>
        <w:tc>
          <w:tcPr>
            <w:tcW w:w="918" w:type="pct"/>
          </w:tcPr>
          <w:p w14:paraId="625E11E7"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4DE1B192"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72A6837E" w14:textId="77777777" w:rsidTr="00CE686F">
        <w:tc>
          <w:tcPr>
            <w:tcW w:w="1416" w:type="pct"/>
          </w:tcPr>
          <w:p w14:paraId="7268DE7F" w14:textId="77777777" w:rsidR="00FF557B" w:rsidRDefault="00FF557B" w:rsidP="00CE686F">
            <w:pPr>
              <w:spacing w:line="480" w:lineRule="auto"/>
              <w:jc w:val="center"/>
              <w:rPr>
                <w:rFonts w:ascii="Times" w:hAnsi="Times" w:cstheme="minorHAnsi"/>
              </w:rPr>
            </w:pPr>
            <w:r>
              <w:rPr>
                <w:rFonts w:ascii="Times" w:hAnsi="Times" w:cstheme="minorHAnsi"/>
              </w:rPr>
              <w:t>NorESM2-LM</w:t>
            </w:r>
            <w:r w:rsidRPr="00F84989">
              <w:rPr>
                <w:rFonts w:ascii="Times" w:hAnsi="Times" w:cstheme="minorHAnsi"/>
                <w:noProof/>
                <w:vertAlign w:val="superscript"/>
              </w:rPr>
              <w:t>77</w:t>
            </w:r>
          </w:p>
        </w:tc>
        <w:tc>
          <w:tcPr>
            <w:tcW w:w="1416" w:type="pct"/>
          </w:tcPr>
          <w:p w14:paraId="3C2C9610" w14:textId="77777777" w:rsidR="00FF557B" w:rsidRPr="003B0762" w:rsidRDefault="00FF557B" w:rsidP="00CE686F">
            <w:pPr>
              <w:spacing w:line="480" w:lineRule="auto"/>
              <w:jc w:val="center"/>
              <w:rPr>
                <w:rFonts w:ascii="Times" w:hAnsi="Times" w:cstheme="minorHAnsi"/>
              </w:rPr>
            </w:pPr>
            <w:r>
              <w:rPr>
                <w:rFonts w:ascii="Times" w:hAnsi="Times" w:cstheme="minorHAnsi"/>
              </w:rPr>
              <w:t>NCC</w:t>
            </w:r>
          </w:p>
        </w:tc>
        <w:tc>
          <w:tcPr>
            <w:tcW w:w="918" w:type="pct"/>
          </w:tcPr>
          <w:p w14:paraId="1585BB42"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466D857A"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02401176" w14:textId="77777777" w:rsidTr="00CE686F">
        <w:tc>
          <w:tcPr>
            <w:tcW w:w="1416" w:type="pct"/>
          </w:tcPr>
          <w:p w14:paraId="790F615F" w14:textId="77777777" w:rsidR="00FF557B" w:rsidRDefault="00FF557B" w:rsidP="00CE686F">
            <w:pPr>
              <w:spacing w:line="480" w:lineRule="auto"/>
              <w:jc w:val="center"/>
              <w:rPr>
                <w:rFonts w:ascii="Times" w:hAnsi="Times" w:cstheme="minorHAnsi"/>
              </w:rPr>
            </w:pPr>
            <w:r>
              <w:rPr>
                <w:rFonts w:ascii="Times" w:hAnsi="Times" w:cstheme="minorHAnsi"/>
              </w:rPr>
              <w:t>SAM0-UNICON</w:t>
            </w:r>
            <w:r w:rsidRPr="00F84989">
              <w:rPr>
                <w:rFonts w:ascii="Times" w:hAnsi="Times" w:cstheme="minorHAnsi"/>
                <w:noProof/>
                <w:vertAlign w:val="superscript"/>
              </w:rPr>
              <w:t>78</w:t>
            </w:r>
          </w:p>
        </w:tc>
        <w:tc>
          <w:tcPr>
            <w:tcW w:w="1416" w:type="pct"/>
          </w:tcPr>
          <w:p w14:paraId="5E17693A" w14:textId="77777777" w:rsidR="00FF557B" w:rsidRDefault="00FF557B" w:rsidP="00CE686F">
            <w:pPr>
              <w:spacing w:line="480" w:lineRule="auto"/>
              <w:jc w:val="center"/>
              <w:rPr>
                <w:rFonts w:ascii="Times" w:hAnsi="Times" w:cstheme="minorHAnsi"/>
              </w:rPr>
            </w:pPr>
            <w:r>
              <w:rPr>
                <w:rFonts w:ascii="Times" w:hAnsi="Times" w:cstheme="minorHAnsi"/>
              </w:rPr>
              <w:t>SNU</w:t>
            </w:r>
          </w:p>
        </w:tc>
        <w:tc>
          <w:tcPr>
            <w:tcW w:w="918" w:type="pct"/>
          </w:tcPr>
          <w:p w14:paraId="432CCFAE" w14:textId="77777777" w:rsidR="00FF557B"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Pr>
          <w:p w14:paraId="2928187C"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7CCAE659" w14:textId="77777777" w:rsidTr="00CE686F">
        <w:tc>
          <w:tcPr>
            <w:tcW w:w="1416" w:type="pct"/>
            <w:tcBorders>
              <w:bottom w:val="single" w:sz="12" w:space="0" w:color="auto"/>
            </w:tcBorders>
          </w:tcPr>
          <w:p w14:paraId="6EEA891F" w14:textId="77777777" w:rsidR="00FF557B" w:rsidRPr="003B0762" w:rsidRDefault="00FF557B" w:rsidP="00CE686F">
            <w:pPr>
              <w:spacing w:line="480" w:lineRule="auto"/>
              <w:jc w:val="center"/>
              <w:rPr>
                <w:rFonts w:ascii="Times" w:hAnsi="Times" w:cstheme="minorHAnsi"/>
              </w:rPr>
            </w:pPr>
            <w:r>
              <w:rPr>
                <w:rFonts w:ascii="Times" w:hAnsi="Times" w:cstheme="minorHAnsi"/>
              </w:rPr>
              <w:t>UKESM1-0-LL</w:t>
            </w:r>
            <w:r w:rsidRPr="00F84989">
              <w:rPr>
                <w:rFonts w:ascii="Times" w:hAnsi="Times" w:cstheme="minorHAnsi"/>
                <w:noProof/>
                <w:vertAlign w:val="superscript"/>
              </w:rPr>
              <w:t>79</w:t>
            </w:r>
          </w:p>
        </w:tc>
        <w:tc>
          <w:tcPr>
            <w:tcW w:w="1416" w:type="pct"/>
            <w:tcBorders>
              <w:bottom w:val="single" w:sz="12" w:space="0" w:color="auto"/>
            </w:tcBorders>
          </w:tcPr>
          <w:p w14:paraId="369B5F61" w14:textId="77777777" w:rsidR="00FF557B" w:rsidRPr="003B0762" w:rsidRDefault="00FF557B" w:rsidP="00CE686F">
            <w:pPr>
              <w:spacing w:line="480" w:lineRule="auto"/>
              <w:jc w:val="center"/>
              <w:rPr>
                <w:rFonts w:ascii="Times" w:hAnsi="Times" w:cstheme="minorHAnsi"/>
              </w:rPr>
            </w:pPr>
            <w:r>
              <w:rPr>
                <w:rFonts w:ascii="Times" w:hAnsi="Times" w:cstheme="minorHAnsi"/>
              </w:rPr>
              <w:t>MOHC</w:t>
            </w:r>
          </w:p>
        </w:tc>
        <w:tc>
          <w:tcPr>
            <w:tcW w:w="918" w:type="pct"/>
            <w:tcBorders>
              <w:bottom w:val="single" w:sz="12" w:space="0" w:color="auto"/>
            </w:tcBorders>
          </w:tcPr>
          <w:p w14:paraId="01A6D30D"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w:t>
            </w:r>
            <w:proofErr w:type="spellEnd"/>
            <w:r>
              <w:rPr>
                <w:rFonts w:ascii="Times" w:hAnsi="Times" w:cstheme="minorHAnsi"/>
              </w:rPr>
              <w:t xml:space="preserve"> </w:t>
            </w:r>
          </w:p>
        </w:tc>
        <w:tc>
          <w:tcPr>
            <w:tcW w:w="1250" w:type="pct"/>
            <w:tcBorders>
              <w:bottom w:val="single" w:sz="12" w:space="0" w:color="auto"/>
            </w:tcBorders>
          </w:tcPr>
          <w:p w14:paraId="77FB3FC8"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w:t>
            </w:r>
            <w:r>
              <w:rPr>
                <w:rFonts w:ascii="Times" w:hAnsi="Times" w:cstheme="minorHAnsi"/>
              </w:rPr>
              <w:t>2</w:t>
            </w:r>
          </w:p>
        </w:tc>
      </w:tr>
    </w:tbl>
    <w:p w14:paraId="0EF3D21B" w14:textId="77777777" w:rsidR="00FF557B" w:rsidRPr="005641FB" w:rsidRDefault="00FF557B" w:rsidP="00FF557B">
      <w:pPr>
        <w:spacing w:line="480" w:lineRule="auto"/>
        <w:rPr>
          <w:rFonts w:ascii="Times" w:hAnsi="Times"/>
        </w:rPr>
      </w:pPr>
      <w:r>
        <w:br w:type="page"/>
      </w:r>
    </w:p>
    <w:p w14:paraId="3AD00D55" w14:textId="77777777" w:rsidR="00FF557B" w:rsidRPr="00B90C35" w:rsidRDefault="00FF557B" w:rsidP="00FF557B">
      <w:pPr>
        <w:spacing w:after="120" w:line="480" w:lineRule="auto"/>
        <w:rPr>
          <w:b/>
          <w:bCs/>
          <w:sz w:val="24"/>
          <w:szCs w:val="24"/>
        </w:rPr>
      </w:pPr>
      <w:r w:rsidRPr="00A20901">
        <w:rPr>
          <w:b/>
          <w:bCs/>
          <w:sz w:val="24"/>
          <w:szCs w:val="24"/>
        </w:rPr>
        <w:lastRenderedPageBreak/>
        <w:t xml:space="preserve">Supplementary </w:t>
      </w:r>
      <w:r w:rsidRPr="00B90C35">
        <w:rPr>
          <w:b/>
          <w:bCs/>
          <w:sz w:val="24"/>
          <w:szCs w:val="24"/>
        </w:rPr>
        <w:t xml:space="preserve">Table 3. The CMIP6 models in the </w:t>
      </w:r>
      <w:proofErr w:type="spellStart"/>
      <w:r w:rsidRPr="00B90C35">
        <w:rPr>
          <w:b/>
          <w:bCs/>
          <w:sz w:val="24"/>
          <w:szCs w:val="24"/>
        </w:rPr>
        <w:t>amip-piForcing</w:t>
      </w:r>
      <w:proofErr w:type="spellEnd"/>
      <w:r w:rsidRPr="00B90C35">
        <w:rPr>
          <w:b/>
          <w:bCs/>
          <w:sz w:val="24"/>
          <w:szCs w:val="24"/>
        </w:rPr>
        <w:t xml:space="preserve"> experiment</w:t>
      </w:r>
      <w:r>
        <w:rPr>
          <w:b/>
          <w:bCs/>
          <w:sz w:val="24"/>
          <w:szCs w:val="24"/>
        </w:rPr>
        <w:t xml:space="preserve"> used in this study</w:t>
      </w:r>
    </w:p>
    <w:tbl>
      <w:tblPr>
        <w:tblStyle w:val="TableGrid2"/>
        <w:tblW w:w="4923"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1"/>
        <w:gridCol w:w="2160"/>
        <w:gridCol w:w="1961"/>
        <w:gridCol w:w="2304"/>
      </w:tblGrid>
      <w:tr w:rsidR="00FF557B" w:rsidRPr="003B0762" w14:paraId="34F64689" w14:textId="77777777" w:rsidTr="00CE686F">
        <w:tc>
          <w:tcPr>
            <w:tcW w:w="1514" w:type="pct"/>
            <w:tcBorders>
              <w:top w:val="single" w:sz="12" w:space="0" w:color="auto"/>
              <w:bottom w:val="single" w:sz="12" w:space="0" w:color="auto"/>
            </w:tcBorders>
          </w:tcPr>
          <w:p w14:paraId="5A9C4035"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Model Name</w:t>
            </w:r>
          </w:p>
        </w:tc>
        <w:tc>
          <w:tcPr>
            <w:tcW w:w="1172" w:type="pct"/>
            <w:tcBorders>
              <w:top w:val="single" w:sz="12" w:space="0" w:color="auto"/>
              <w:bottom w:val="single" w:sz="12" w:space="0" w:color="auto"/>
            </w:tcBorders>
          </w:tcPr>
          <w:p w14:paraId="37581249"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Institute ID</w:t>
            </w:r>
          </w:p>
        </w:tc>
        <w:tc>
          <w:tcPr>
            <w:tcW w:w="1064" w:type="pct"/>
            <w:tcBorders>
              <w:top w:val="single" w:sz="12" w:space="0" w:color="auto"/>
              <w:bottom w:val="single" w:sz="12" w:space="0" w:color="auto"/>
            </w:tcBorders>
          </w:tcPr>
          <w:p w14:paraId="48C25CFA"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Experiment ID</w:t>
            </w:r>
          </w:p>
        </w:tc>
        <w:tc>
          <w:tcPr>
            <w:tcW w:w="1250" w:type="pct"/>
            <w:tcBorders>
              <w:top w:val="single" w:sz="12" w:space="0" w:color="auto"/>
              <w:bottom w:val="single" w:sz="12" w:space="0" w:color="auto"/>
            </w:tcBorders>
          </w:tcPr>
          <w:p w14:paraId="6375B038"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Ensemble Member</w:t>
            </w:r>
          </w:p>
        </w:tc>
      </w:tr>
      <w:tr w:rsidR="00FF557B" w:rsidRPr="003B0762" w14:paraId="6BF42B1B" w14:textId="77777777" w:rsidTr="00CE686F">
        <w:tc>
          <w:tcPr>
            <w:tcW w:w="1514" w:type="pct"/>
          </w:tcPr>
          <w:p w14:paraId="66FCC8B7"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CanESM5</w:t>
            </w:r>
            <w:r w:rsidRPr="00F84989">
              <w:rPr>
                <w:rFonts w:ascii="Times" w:hAnsi="Times" w:cstheme="minorHAnsi"/>
                <w:noProof/>
                <w:vertAlign w:val="superscript"/>
              </w:rPr>
              <w:t>80</w:t>
            </w:r>
          </w:p>
        </w:tc>
        <w:tc>
          <w:tcPr>
            <w:tcW w:w="1172" w:type="pct"/>
          </w:tcPr>
          <w:p w14:paraId="0AACF13F" w14:textId="77777777" w:rsidR="00FF557B" w:rsidRPr="003B0762" w:rsidRDefault="00FF557B" w:rsidP="00CE686F">
            <w:pPr>
              <w:spacing w:line="480" w:lineRule="auto"/>
              <w:jc w:val="center"/>
              <w:rPr>
                <w:rFonts w:ascii="Times" w:hAnsi="Times" w:cstheme="minorHAnsi"/>
              </w:rPr>
            </w:pPr>
            <w:proofErr w:type="spellStart"/>
            <w:r w:rsidRPr="003B0762">
              <w:rPr>
                <w:rFonts w:ascii="Times" w:hAnsi="Times" w:cstheme="minorHAnsi"/>
              </w:rPr>
              <w:t>CCCma</w:t>
            </w:r>
            <w:proofErr w:type="spellEnd"/>
          </w:p>
        </w:tc>
        <w:tc>
          <w:tcPr>
            <w:tcW w:w="1064" w:type="pct"/>
          </w:tcPr>
          <w:p w14:paraId="27AFAC6B"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amip-piForcing</w:t>
            </w:r>
            <w:proofErr w:type="spellEnd"/>
          </w:p>
        </w:tc>
        <w:tc>
          <w:tcPr>
            <w:tcW w:w="1250" w:type="pct"/>
          </w:tcPr>
          <w:p w14:paraId="197656FF"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w:t>
            </w:r>
            <w:r>
              <w:rPr>
                <w:rFonts w:ascii="Times" w:hAnsi="Times" w:cstheme="minorHAnsi"/>
              </w:rPr>
              <w:t>2</w:t>
            </w:r>
            <w:r w:rsidRPr="003B0762">
              <w:rPr>
                <w:rFonts w:ascii="Times" w:hAnsi="Times" w:cstheme="minorHAnsi"/>
              </w:rPr>
              <w:t>f1</w:t>
            </w:r>
          </w:p>
        </w:tc>
      </w:tr>
      <w:tr w:rsidR="00FF557B" w:rsidRPr="003B0762" w14:paraId="13237885" w14:textId="77777777" w:rsidTr="00CE686F">
        <w:tc>
          <w:tcPr>
            <w:tcW w:w="1514" w:type="pct"/>
          </w:tcPr>
          <w:p w14:paraId="1126AD0A" w14:textId="77777777" w:rsidR="00FF557B" w:rsidRPr="003B0762" w:rsidRDefault="00FF557B" w:rsidP="00CE686F">
            <w:pPr>
              <w:spacing w:line="480" w:lineRule="auto"/>
              <w:jc w:val="center"/>
              <w:rPr>
                <w:rFonts w:ascii="Times" w:hAnsi="Times" w:cstheme="minorHAnsi"/>
              </w:rPr>
            </w:pPr>
            <w:r w:rsidRPr="000B36E5">
              <w:rPr>
                <w:rFonts w:ascii="Times" w:hAnsi="Times" w:cstheme="minorHAnsi"/>
              </w:rPr>
              <w:t>HadGEM3-GC31-LL</w:t>
            </w:r>
            <w:r w:rsidRPr="00F84989">
              <w:rPr>
                <w:rFonts w:ascii="Times" w:hAnsi="Times" w:cstheme="minorHAnsi"/>
                <w:noProof/>
                <w:vertAlign w:val="superscript"/>
              </w:rPr>
              <w:t>81</w:t>
            </w:r>
          </w:p>
        </w:tc>
        <w:tc>
          <w:tcPr>
            <w:tcW w:w="1172" w:type="pct"/>
          </w:tcPr>
          <w:p w14:paraId="13C9006C" w14:textId="77777777" w:rsidR="00FF557B" w:rsidRPr="003B0762" w:rsidRDefault="00FF557B" w:rsidP="00CE686F">
            <w:pPr>
              <w:spacing w:line="480" w:lineRule="auto"/>
              <w:jc w:val="center"/>
              <w:rPr>
                <w:rFonts w:ascii="Times" w:hAnsi="Times" w:cstheme="minorHAnsi"/>
              </w:rPr>
            </w:pPr>
            <w:r>
              <w:rPr>
                <w:rFonts w:ascii="Times" w:hAnsi="Times" w:cstheme="minorHAnsi"/>
              </w:rPr>
              <w:t>MOHC</w:t>
            </w:r>
          </w:p>
        </w:tc>
        <w:tc>
          <w:tcPr>
            <w:tcW w:w="1064" w:type="pct"/>
          </w:tcPr>
          <w:p w14:paraId="2121F405"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amip-piForcing</w:t>
            </w:r>
            <w:proofErr w:type="spellEnd"/>
          </w:p>
        </w:tc>
        <w:tc>
          <w:tcPr>
            <w:tcW w:w="1250" w:type="pct"/>
          </w:tcPr>
          <w:p w14:paraId="2E9B33EB"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w:t>
            </w:r>
            <w:r>
              <w:rPr>
                <w:rFonts w:ascii="Times" w:hAnsi="Times" w:cstheme="minorHAnsi"/>
              </w:rPr>
              <w:t>3</w:t>
            </w:r>
          </w:p>
        </w:tc>
      </w:tr>
      <w:tr w:rsidR="00FF557B" w:rsidRPr="003B0762" w14:paraId="42D2F993" w14:textId="77777777" w:rsidTr="00CE686F">
        <w:tc>
          <w:tcPr>
            <w:tcW w:w="1514" w:type="pct"/>
          </w:tcPr>
          <w:p w14:paraId="52D337FE" w14:textId="77777777" w:rsidR="00FF557B" w:rsidRDefault="00FF557B" w:rsidP="00CE686F">
            <w:pPr>
              <w:spacing w:line="480" w:lineRule="auto"/>
              <w:jc w:val="center"/>
              <w:rPr>
                <w:rFonts w:ascii="Times" w:hAnsi="Times" w:cstheme="minorHAnsi"/>
              </w:rPr>
            </w:pPr>
            <w:r w:rsidRPr="003B0762">
              <w:rPr>
                <w:rFonts w:ascii="Times" w:hAnsi="Times" w:cstheme="minorHAnsi"/>
              </w:rPr>
              <w:t>IPSL-CM6A-LR</w:t>
            </w:r>
            <w:r w:rsidRPr="00F84989">
              <w:rPr>
                <w:rFonts w:ascii="Times" w:hAnsi="Times" w:cstheme="minorHAnsi"/>
                <w:noProof/>
                <w:vertAlign w:val="superscript"/>
              </w:rPr>
              <w:t>82</w:t>
            </w:r>
          </w:p>
        </w:tc>
        <w:tc>
          <w:tcPr>
            <w:tcW w:w="1172" w:type="pct"/>
          </w:tcPr>
          <w:p w14:paraId="0C17F586" w14:textId="77777777" w:rsidR="00FF557B" w:rsidRDefault="00FF557B" w:rsidP="00CE686F">
            <w:pPr>
              <w:spacing w:line="480" w:lineRule="auto"/>
              <w:jc w:val="center"/>
              <w:rPr>
                <w:rFonts w:ascii="Times" w:hAnsi="Times" w:cstheme="minorHAnsi"/>
              </w:rPr>
            </w:pPr>
            <w:r w:rsidRPr="003B0762">
              <w:rPr>
                <w:rFonts w:ascii="Times" w:hAnsi="Times" w:cstheme="minorHAnsi"/>
              </w:rPr>
              <w:t>IPSL</w:t>
            </w:r>
          </w:p>
        </w:tc>
        <w:tc>
          <w:tcPr>
            <w:tcW w:w="1064" w:type="pct"/>
          </w:tcPr>
          <w:p w14:paraId="0E32DEE3" w14:textId="77777777" w:rsidR="00FF557B" w:rsidRDefault="00FF557B" w:rsidP="00CE686F">
            <w:pPr>
              <w:spacing w:line="480" w:lineRule="auto"/>
              <w:jc w:val="center"/>
              <w:rPr>
                <w:rFonts w:ascii="Times" w:hAnsi="Times" w:cstheme="minorHAnsi"/>
              </w:rPr>
            </w:pPr>
            <w:proofErr w:type="spellStart"/>
            <w:r>
              <w:rPr>
                <w:rFonts w:ascii="Times" w:hAnsi="Times" w:cstheme="minorHAnsi"/>
              </w:rPr>
              <w:t>amip-piForcing</w:t>
            </w:r>
            <w:proofErr w:type="spellEnd"/>
          </w:p>
        </w:tc>
        <w:tc>
          <w:tcPr>
            <w:tcW w:w="1250" w:type="pct"/>
          </w:tcPr>
          <w:p w14:paraId="509D6FB3"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r w:rsidR="00FF557B" w:rsidRPr="003B0762" w14:paraId="33EFE963" w14:textId="77777777" w:rsidTr="00CE686F">
        <w:tc>
          <w:tcPr>
            <w:tcW w:w="1514" w:type="pct"/>
            <w:tcBorders>
              <w:bottom w:val="single" w:sz="12" w:space="0" w:color="auto"/>
            </w:tcBorders>
          </w:tcPr>
          <w:p w14:paraId="32BD442F" w14:textId="77777777" w:rsidR="00FF557B" w:rsidRPr="003B0762" w:rsidRDefault="00FF557B" w:rsidP="00CE686F">
            <w:pPr>
              <w:spacing w:line="480" w:lineRule="auto"/>
              <w:jc w:val="center"/>
              <w:rPr>
                <w:rFonts w:ascii="Times" w:hAnsi="Times" w:cstheme="minorHAnsi"/>
              </w:rPr>
            </w:pPr>
            <w:r>
              <w:rPr>
                <w:rFonts w:ascii="Times" w:hAnsi="Times" w:cstheme="minorHAnsi"/>
              </w:rPr>
              <w:t>MRI-ESM2-0</w:t>
            </w:r>
            <w:r w:rsidRPr="00F84989">
              <w:rPr>
                <w:rFonts w:ascii="Times" w:hAnsi="Times" w:cstheme="minorHAnsi"/>
                <w:noProof/>
                <w:vertAlign w:val="superscript"/>
              </w:rPr>
              <w:t>83</w:t>
            </w:r>
          </w:p>
        </w:tc>
        <w:tc>
          <w:tcPr>
            <w:tcW w:w="1172" w:type="pct"/>
            <w:tcBorders>
              <w:bottom w:val="single" w:sz="12" w:space="0" w:color="auto"/>
            </w:tcBorders>
          </w:tcPr>
          <w:p w14:paraId="21ED995D" w14:textId="77777777" w:rsidR="00FF557B" w:rsidRPr="003B0762" w:rsidRDefault="00FF557B" w:rsidP="00CE686F">
            <w:pPr>
              <w:spacing w:line="480" w:lineRule="auto"/>
              <w:jc w:val="center"/>
              <w:rPr>
                <w:rFonts w:ascii="Times" w:hAnsi="Times" w:cstheme="minorHAnsi"/>
              </w:rPr>
            </w:pPr>
            <w:r>
              <w:rPr>
                <w:rFonts w:ascii="Times" w:hAnsi="Times" w:cstheme="minorHAnsi"/>
              </w:rPr>
              <w:t>MRI</w:t>
            </w:r>
          </w:p>
        </w:tc>
        <w:tc>
          <w:tcPr>
            <w:tcW w:w="1064" w:type="pct"/>
            <w:tcBorders>
              <w:bottom w:val="single" w:sz="12" w:space="0" w:color="auto"/>
            </w:tcBorders>
          </w:tcPr>
          <w:p w14:paraId="332159E8" w14:textId="77777777" w:rsidR="00FF557B" w:rsidRPr="003B0762" w:rsidRDefault="00FF557B" w:rsidP="00CE686F">
            <w:pPr>
              <w:spacing w:line="480" w:lineRule="auto"/>
              <w:jc w:val="center"/>
              <w:rPr>
                <w:rFonts w:ascii="Times" w:hAnsi="Times" w:cstheme="minorHAnsi"/>
              </w:rPr>
            </w:pPr>
            <w:proofErr w:type="spellStart"/>
            <w:r>
              <w:rPr>
                <w:rFonts w:ascii="Times" w:hAnsi="Times" w:cstheme="minorHAnsi"/>
              </w:rPr>
              <w:t>amip-piForcing</w:t>
            </w:r>
            <w:proofErr w:type="spellEnd"/>
          </w:p>
        </w:tc>
        <w:tc>
          <w:tcPr>
            <w:tcW w:w="1250" w:type="pct"/>
            <w:tcBorders>
              <w:bottom w:val="single" w:sz="12" w:space="0" w:color="auto"/>
            </w:tcBorders>
          </w:tcPr>
          <w:p w14:paraId="2182D9F2" w14:textId="77777777" w:rsidR="00FF557B" w:rsidRPr="003B0762" w:rsidRDefault="00FF557B" w:rsidP="00CE686F">
            <w:pPr>
              <w:spacing w:line="480" w:lineRule="auto"/>
              <w:jc w:val="center"/>
              <w:rPr>
                <w:rFonts w:ascii="Times" w:hAnsi="Times" w:cstheme="minorHAnsi"/>
              </w:rPr>
            </w:pPr>
            <w:r w:rsidRPr="003B0762">
              <w:rPr>
                <w:rFonts w:ascii="Times" w:hAnsi="Times" w:cstheme="minorHAnsi"/>
              </w:rPr>
              <w:t>r1i1p1f1</w:t>
            </w:r>
          </w:p>
        </w:tc>
      </w:tr>
    </w:tbl>
    <w:p w14:paraId="15D957F4" w14:textId="77777777" w:rsidR="00FF557B" w:rsidRDefault="00FF557B" w:rsidP="00FF557B">
      <w:pPr>
        <w:pStyle w:val="SMcaption"/>
        <w:spacing w:line="480" w:lineRule="auto"/>
      </w:pPr>
    </w:p>
    <w:p w14:paraId="4E0FEF13" w14:textId="12FC370E" w:rsidR="00296F6B" w:rsidRDefault="00296F6B">
      <w:pPr>
        <w:rPr>
          <w:sz w:val="24"/>
        </w:rPr>
      </w:pPr>
      <w:r>
        <w:br w:type="page"/>
      </w:r>
    </w:p>
    <w:p w14:paraId="62B71407" w14:textId="77777777" w:rsidR="00296F6B" w:rsidRDefault="00296F6B" w:rsidP="00296F6B">
      <w:pPr>
        <w:pStyle w:val="Refhead"/>
        <w:spacing w:line="480" w:lineRule="auto"/>
      </w:pPr>
      <w:r>
        <w:lastRenderedPageBreak/>
        <w:t>References:</w:t>
      </w:r>
    </w:p>
    <w:p w14:paraId="672FA5E1" w14:textId="77777777" w:rsidR="00296F6B" w:rsidRPr="00D6404A" w:rsidRDefault="00296F6B" w:rsidP="00296F6B">
      <w:pPr>
        <w:pStyle w:val="EndNoteBibliography"/>
        <w:spacing w:before="240" w:line="480" w:lineRule="auto"/>
        <w:ind w:left="720" w:hanging="720"/>
        <w:rPr>
          <w:noProof/>
        </w:rPr>
      </w:pPr>
      <w:r w:rsidRPr="00D6404A">
        <w:rPr>
          <w:noProof/>
        </w:rPr>
        <w:t>65</w:t>
      </w:r>
      <w:r w:rsidRPr="00D6404A">
        <w:rPr>
          <w:noProof/>
        </w:rPr>
        <w:tab/>
        <w:t>Dix, M.</w:t>
      </w:r>
      <w:r w:rsidRPr="00D6404A">
        <w:rPr>
          <w:i/>
          <w:noProof/>
        </w:rPr>
        <w:t xml:space="preserve"> et al.</w:t>
      </w:r>
      <w:r w:rsidRPr="00D6404A">
        <w:rPr>
          <w:noProof/>
        </w:rPr>
        <w:t xml:space="preserve">     (Earth System Grid Federation, 2019).</w:t>
      </w:r>
    </w:p>
    <w:p w14:paraId="29FBA665" w14:textId="77777777" w:rsidR="00296F6B" w:rsidRPr="00D6404A" w:rsidRDefault="00296F6B" w:rsidP="00296F6B">
      <w:pPr>
        <w:pStyle w:val="EndNoteBibliography"/>
        <w:spacing w:before="240" w:line="480" w:lineRule="auto"/>
        <w:ind w:left="720" w:hanging="720"/>
        <w:rPr>
          <w:noProof/>
        </w:rPr>
      </w:pPr>
      <w:r w:rsidRPr="00D6404A">
        <w:rPr>
          <w:noProof/>
        </w:rPr>
        <w:t>66</w:t>
      </w:r>
      <w:r w:rsidRPr="00D6404A">
        <w:rPr>
          <w:noProof/>
        </w:rPr>
        <w:tab/>
        <w:t>Swart, N. C.</w:t>
      </w:r>
      <w:r w:rsidRPr="00D6404A">
        <w:rPr>
          <w:i/>
          <w:noProof/>
        </w:rPr>
        <w:t xml:space="preserve"> et al.</w:t>
      </w:r>
      <w:r w:rsidRPr="00D6404A">
        <w:rPr>
          <w:noProof/>
        </w:rPr>
        <w:t xml:space="preserve">     (Earth System Grid Federation, 2019).</w:t>
      </w:r>
    </w:p>
    <w:p w14:paraId="362B3B9F" w14:textId="77777777" w:rsidR="00296F6B" w:rsidRPr="00D6404A" w:rsidRDefault="00296F6B" w:rsidP="00296F6B">
      <w:pPr>
        <w:pStyle w:val="EndNoteBibliography"/>
        <w:spacing w:before="240" w:line="480" w:lineRule="auto"/>
        <w:ind w:left="720" w:hanging="720"/>
        <w:rPr>
          <w:noProof/>
        </w:rPr>
      </w:pPr>
      <w:r w:rsidRPr="00D6404A">
        <w:rPr>
          <w:noProof/>
        </w:rPr>
        <w:t>67</w:t>
      </w:r>
      <w:r w:rsidRPr="00D6404A">
        <w:rPr>
          <w:noProof/>
        </w:rPr>
        <w:tab/>
        <w:t>Danabasoglu, G.     (Earth System Grid Federation, 2019).</w:t>
      </w:r>
    </w:p>
    <w:p w14:paraId="339B0ED1" w14:textId="77777777" w:rsidR="00296F6B" w:rsidRPr="00D6404A" w:rsidRDefault="00296F6B" w:rsidP="00296F6B">
      <w:pPr>
        <w:pStyle w:val="EndNoteBibliography"/>
        <w:spacing w:before="240" w:line="480" w:lineRule="auto"/>
        <w:ind w:left="720" w:hanging="720"/>
        <w:rPr>
          <w:noProof/>
        </w:rPr>
      </w:pPr>
      <w:r w:rsidRPr="00D6404A">
        <w:rPr>
          <w:noProof/>
        </w:rPr>
        <w:t>68</w:t>
      </w:r>
      <w:r w:rsidRPr="00D6404A">
        <w:rPr>
          <w:noProof/>
        </w:rPr>
        <w:tab/>
        <w:t>Danabasoglu, G.     (Earth System Grid Federation, 2019).</w:t>
      </w:r>
    </w:p>
    <w:p w14:paraId="5E942969" w14:textId="77777777" w:rsidR="00296F6B" w:rsidRPr="00D6404A" w:rsidRDefault="00296F6B" w:rsidP="00296F6B">
      <w:pPr>
        <w:pStyle w:val="EndNoteBibliography"/>
        <w:spacing w:before="240" w:line="480" w:lineRule="auto"/>
        <w:ind w:left="720" w:hanging="720"/>
        <w:rPr>
          <w:noProof/>
        </w:rPr>
      </w:pPr>
      <w:r w:rsidRPr="00D6404A">
        <w:rPr>
          <w:noProof/>
        </w:rPr>
        <w:t>69</w:t>
      </w:r>
      <w:r w:rsidRPr="00D6404A">
        <w:rPr>
          <w:noProof/>
        </w:rPr>
        <w:tab/>
        <w:t>Seferian, R.     (Earth System Grid Federation, 2018).</w:t>
      </w:r>
    </w:p>
    <w:p w14:paraId="750597E7" w14:textId="77777777" w:rsidR="00296F6B" w:rsidRPr="00D6404A" w:rsidRDefault="00296F6B" w:rsidP="00296F6B">
      <w:pPr>
        <w:pStyle w:val="EndNoteBibliography"/>
        <w:spacing w:before="240" w:line="480" w:lineRule="auto"/>
        <w:ind w:left="720" w:hanging="720"/>
        <w:rPr>
          <w:noProof/>
        </w:rPr>
      </w:pPr>
      <w:r w:rsidRPr="00D6404A">
        <w:rPr>
          <w:noProof/>
        </w:rPr>
        <w:t>70</w:t>
      </w:r>
      <w:r w:rsidRPr="00D6404A">
        <w:rPr>
          <w:noProof/>
        </w:rPr>
        <w:tab/>
        <w:t>Consortium, E. C.-E.     (Earth System Grid Federation, 2019).</w:t>
      </w:r>
    </w:p>
    <w:p w14:paraId="72A1754C" w14:textId="77777777" w:rsidR="00296F6B" w:rsidRPr="00D6404A" w:rsidRDefault="00296F6B" w:rsidP="00296F6B">
      <w:pPr>
        <w:pStyle w:val="EndNoteBibliography"/>
        <w:spacing w:before="240" w:line="480" w:lineRule="auto"/>
        <w:ind w:left="720" w:hanging="720"/>
        <w:rPr>
          <w:noProof/>
        </w:rPr>
      </w:pPr>
      <w:r w:rsidRPr="00D6404A">
        <w:rPr>
          <w:noProof/>
        </w:rPr>
        <w:t>71</w:t>
      </w:r>
      <w:r w:rsidRPr="00D6404A">
        <w:rPr>
          <w:noProof/>
        </w:rPr>
        <w:tab/>
        <w:t>Li, L.     (Earth System Grid Federation, 2019).</w:t>
      </w:r>
    </w:p>
    <w:p w14:paraId="371DD288" w14:textId="77777777" w:rsidR="00296F6B" w:rsidRPr="00D6404A" w:rsidRDefault="00296F6B" w:rsidP="00296F6B">
      <w:pPr>
        <w:pStyle w:val="EndNoteBibliography"/>
        <w:spacing w:before="240" w:line="480" w:lineRule="auto"/>
        <w:ind w:left="720" w:hanging="720"/>
        <w:rPr>
          <w:noProof/>
        </w:rPr>
      </w:pPr>
      <w:r w:rsidRPr="00D6404A">
        <w:rPr>
          <w:noProof/>
        </w:rPr>
        <w:t>72</w:t>
      </w:r>
      <w:r w:rsidRPr="00D6404A">
        <w:rPr>
          <w:noProof/>
        </w:rPr>
        <w:tab/>
        <w:t>Guo, H.</w:t>
      </w:r>
      <w:r w:rsidRPr="00D6404A">
        <w:rPr>
          <w:i/>
          <w:noProof/>
        </w:rPr>
        <w:t xml:space="preserve"> et al.</w:t>
      </w:r>
      <w:r w:rsidRPr="00D6404A">
        <w:rPr>
          <w:noProof/>
        </w:rPr>
        <w:t xml:space="preserve">     (Earth System Grid Federation, 2018).</w:t>
      </w:r>
    </w:p>
    <w:p w14:paraId="0E2270DE" w14:textId="77777777" w:rsidR="00296F6B" w:rsidRPr="00D6404A" w:rsidRDefault="00296F6B" w:rsidP="00296F6B">
      <w:pPr>
        <w:pStyle w:val="EndNoteBibliography"/>
        <w:spacing w:before="240" w:line="480" w:lineRule="auto"/>
        <w:ind w:left="720" w:hanging="720"/>
        <w:rPr>
          <w:noProof/>
        </w:rPr>
      </w:pPr>
      <w:r w:rsidRPr="00D6404A">
        <w:rPr>
          <w:noProof/>
        </w:rPr>
        <w:t>73</w:t>
      </w:r>
      <w:r w:rsidRPr="00D6404A">
        <w:rPr>
          <w:noProof/>
        </w:rPr>
        <w:tab/>
        <w:t>Volodin, E.</w:t>
      </w:r>
      <w:r w:rsidRPr="00D6404A">
        <w:rPr>
          <w:i/>
          <w:noProof/>
        </w:rPr>
        <w:t xml:space="preserve"> et al.</w:t>
      </w:r>
      <w:r w:rsidRPr="00D6404A">
        <w:rPr>
          <w:noProof/>
        </w:rPr>
        <w:t xml:space="preserve">     (Earth System Grid Federation, 2019).</w:t>
      </w:r>
    </w:p>
    <w:p w14:paraId="5A50B6BC" w14:textId="77777777" w:rsidR="00296F6B" w:rsidRPr="00D6404A" w:rsidRDefault="00296F6B" w:rsidP="00296F6B">
      <w:pPr>
        <w:pStyle w:val="EndNoteBibliography"/>
        <w:spacing w:before="240" w:line="480" w:lineRule="auto"/>
        <w:ind w:left="720" w:hanging="720"/>
        <w:rPr>
          <w:noProof/>
        </w:rPr>
      </w:pPr>
      <w:r w:rsidRPr="00D6404A">
        <w:rPr>
          <w:noProof/>
        </w:rPr>
        <w:t>74</w:t>
      </w:r>
      <w:r w:rsidRPr="00D6404A">
        <w:rPr>
          <w:noProof/>
        </w:rPr>
        <w:tab/>
        <w:t>Boucher, O., Denvil, S., Caubel, A. &amp; Foujols, M. A.     (Earth System Grid Federation, 2018).</w:t>
      </w:r>
    </w:p>
    <w:p w14:paraId="657F2C14" w14:textId="77777777" w:rsidR="00296F6B" w:rsidRPr="00D6404A" w:rsidRDefault="00296F6B" w:rsidP="00296F6B">
      <w:pPr>
        <w:pStyle w:val="EndNoteBibliography"/>
        <w:spacing w:before="240" w:line="480" w:lineRule="auto"/>
        <w:ind w:left="720" w:hanging="720"/>
        <w:rPr>
          <w:noProof/>
        </w:rPr>
      </w:pPr>
      <w:r w:rsidRPr="00D6404A">
        <w:rPr>
          <w:noProof/>
        </w:rPr>
        <w:t>75</w:t>
      </w:r>
      <w:r w:rsidRPr="00D6404A">
        <w:rPr>
          <w:noProof/>
        </w:rPr>
        <w:tab/>
        <w:t>Jungclaus, J.</w:t>
      </w:r>
      <w:r w:rsidRPr="00D6404A">
        <w:rPr>
          <w:i/>
          <w:noProof/>
        </w:rPr>
        <w:t xml:space="preserve"> et al.</w:t>
      </w:r>
      <w:r w:rsidRPr="00D6404A">
        <w:rPr>
          <w:noProof/>
        </w:rPr>
        <w:t xml:space="preserve">     (Earth System Grid Federation, 2019).</w:t>
      </w:r>
    </w:p>
    <w:p w14:paraId="5ACAD6AD" w14:textId="77777777" w:rsidR="00296F6B" w:rsidRPr="00D6404A" w:rsidRDefault="00296F6B" w:rsidP="00296F6B">
      <w:pPr>
        <w:pStyle w:val="EndNoteBibliography"/>
        <w:spacing w:before="240" w:line="480" w:lineRule="auto"/>
        <w:ind w:left="720" w:hanging="720"/>
        <w:rPr>
          <w:noProof/>
        </w:rPr>
      </w:pPr>
      <w:r w:rsidRPr="00D6404A">
        <w:rPr>
          <w:noProof/>
        </w:rPr>
        <w:t>76</w:t>
      </w:r>
      <w:r w:rsidRPr="00D6404A">
        <w:rPr>
          <w:noProof/>
        </w:rPr>
        <w:tab/>
        <w:t>Yukimoto, S.</w:t>
      </w:r>
      <w:r w:rsidRPr="00D6404A">
        <w:rPr>
          <w:i/>
          <w:noProof/>
        </w:rPr>
        <w:t xml:space="preserve"> et al.</w:t>
      </w:r>
      <w:r w:rsidRPr="00D6404A">
        <w:rPr>
          <w:noProof/>
        </w:rPr>
        <w:t xml:space="preserve">     (Earth System Grid Federation, 2019).</w:t>
      </w:r>
    </w:p>
    <w:p w14:paraId="329A9BC4" w14:textId="77777777" w:rsidR="00296F6B" w:rsidRPr="00D6404A" w:rsidRDefault="00296F6B" w:rsidP="00296F6B">
      <w:pPr>
        <w:pStyle w:val="EndNoteBibliography"/>
        <w:spacing w:before="240" w:line="480" w:lineRule="auto"/>
        <w:ind w:left="720" w:hanging="720"/>
        <w:rPr>
          <w:noProof/>
        </w:rPr>
      </w:pPr>
      <w:r w:rsidRPr="00D6404A">
        <w:rPr>
          <w:noProof/>
        </w:rPr>
        <w:t>77</w:t>
      </w:r>
      <w:r w:rsidRPr="00D6404A">
        <w:rPr>
          <w:noProof/>
        </w:rPr>
        <w:tab/>
        <w:t>Seland, Ø.</w:t>
      </w:r>
      <w:r w:rsidRPr="00D6404A">
        <w:rPr>
          <w:i/>
          <w:noProof/>
        </w:rPr>
        <w:t xml:space="preserve"> et al.</w:t>
      </w:r>
      <w:r w:rsidRPr="00D6404A">
        <w:rPr>
          <w:noProof/>
        </w:rPr>
        <w:t xml:space="preserve">     (Earth System Grid Federation, 2019).</w:t>
      </w:r>
    </w:p>
    <w:p w14:paraId="70567DC6" w14:textId="77777777" w:rsidR="00296F6B" w:rsidRPr="00D6404A" w:rsidRDefault="00296F6B" w:rsidP="00296F6B">
      <w:pPr>
        <w:pStyle w:val="EndNoteBibliography"/>
        <w:spacing w:before="240" w:line="480" w:lineRule="auto"/>
        <w:ind w:left="720" w:hanging="720"/>
        <w:rPr>
          <w:noProof/>
        </w:rPr>
      </w:pPr>
      <w:r w:rsidRPr="00D6404A">
        <w:rPr>
          <w:noProof/>
        </w:rPr>
        <w:t>78</w:t>
      </w:r>
      <w:r w:rsidRPr="00D6404A">
        <w:rPr>
          <w:noProof/>
        </w:rPr>
        <w:tab/>
        <w:t>Park, S. &amp; Shin, J.     (Earth System Grid Federation, 2019).</w:t>
      </w:r>
    </w:p>
    <w:p w14:paraId="41241163" w14:textId="77777777" w:rsidR="00296F6B" w:rsidRPr="00D6404A" w:rsidRDefault="00296F6B" w:rsidP="00296F6B">
      <w:pPr>
        <w:pStyle w:val="EndNoteBibliography"/>
        <w:spacing w:before="240" w:line="480" w:lineRule="auto"/>
        <w:ind w:left="720" w:hanging="720"/>
        <w:rPr>
          <w:noProof/>
        </w:rPr>
      </w:pPr>
      <w:r w:rsidRPr="00D6404A">
        <w:rPr>
          <w:noProof/>
        </w:rPr>
        <w:t>79</w:t>
      </w:r>
      <w:r w:rsidRPr="00D6404A">
        <w:rPr>
          <w:noProof/>
        </w:rPr>
        <w:tab/>
        <w:t>Tang, Y.</w:t>
      </w:r>
      <w:r w:rsidRPr="00D6404A">
        <w:rPr>
          <w:i/>
          <w:noProof/>
        </w:rPr>
        <w:t xml:space="preserve"> et al.</w:t>
      </w:r>
      <w:r w:rsidRPr="00D6404A">
        <w:rPr>
          <w:noProof/>
        </w:rPr>
        <w:t xml:space="preserve">     (Earth System Grid Federation, 2019).</w:t>
      </w:r>
    </w:p>
    <w:p w14:paraId="1FBBD191" w14:textId="77777777" w:rsidR="00296F6B" w:rsidRPr="00D6404A" w:rsidRDefault="00296F6B" w:rsidP="00296F6B">
      <w:pPr>
        <w:pStyle w:val="EndNoteBibliography"/>
        <w:spacing w:before="240" w:line="480" w:lineRule="auto"/>
        <w:ind w:left="720" w:hanging="720"/>
        <w:rPr>
          <w:noProof/>
        </w:rPr>
      </w:pPr>
      <w:r w:rsidRPr="00D6404A">
        <w:rPr>
          <w:noProof/>
        </w:rPr>
        <w:lastRenderedPageBreak/>
        <w:t>80</w:t>
      </w:r>
      <w:r w:rsidRPr="00D6404A">
        <w:rPr>
          <w:noProof/>
        </w:rPr>
        <w:tab/>
        <w:t>Cole, J. N. S.</w:t>
      </w:r>
      <w:r w:rsidRPr="00D6404A">
        <w:rPr>
          <w:i/>
          <w:noProof/>
        </w:rPr>
        <w:t xml:space="preserve"> et al.</w:t>
      </w:r>
      <w:r w:rsidRPr="00D6404A">
        <w:rPr>
          <w:noProof/>
        </w:rPr>
        <w:t xml:space="preserve">     (Earth System Grid Federation, 2019).</w:t>
      </w:r>
    </w:p>
    <w:p w14:paraId="03636FE9" w14:textId="77777777" w:rsidR="00296F6B" w:rsidRPr="00D6404A" w:rsidRDefault="00296F6B" w:rsidP="00296F6B">
      <w:pPr>
        <w:pStyle w:val="EndNoteBibliography"/>
        <w:spacing w:before="240" w:line="480" w:lineRule="auto"/>
        <w:ind w:left="720" w:hanging="720"/>
        <w:rPr>
          <w:noProof/>
        </w:rPr>
      </w:pPr>
      <w:r w:rsidRPr="00D6404A">
        <w:rPr>
          <w:noProof/>
        </w:rPr>
        <w:t>81</w:t>
      </w:r>
      <w:r w:rsidRPr="00D6404A">
        <w:rPr>
          <w:noProof/>
        </w:rPr>
        <w:tab/>
        <w:t>Webb, M.     (Earth System Grid Federation, 2019).</w:t>
      </w:r>
    </w:p>
    <w:p w14:paraId="18C8F505" w14:textId="77777777" w:rsidR="00296F6B" w:rsidRPr="00D6404A" w:rsidRDefault="00296F6B" w:rsidP="00296F6B">
      <w:pPr>
        <w:pStyle w:val="EndNoteBibliography"/>
        <w:spacing w:before="240" w:line="480" w:lineRule="auto"/>
        <w:ind w:left="720" w:hanging="720"/>
        <w:rPr>
          <w:noProof/>
        </w:rPr>
      </w:pPr>
      <w:r w:rsidRPr="00D6404A">
        <w:rPr>
          <w:noProof/>
        </w:rPr>
        <w:t>82</w:t>
      </w:r>
      <w:r w:rsidRPr="00D6404A">
        <w:rPr>
          <w:noProof/>
        </w:rPr>
        <w:tab/>
        <w:t>Boucher, O., Denvil, S., Caubel, A. &amp; Foujols, M. A.     (Earth System Grid Federation, 2019).</w:t>
      </w:r>
    </w:p>
    <w:p w14:paraId="706C7D35" w14:textId="77777777" w:rsidR="00296F6B" w:rsidRPr="00D6404A" w:rsidRDefault="00296F6B" w:rsidP="00296F6B">
      <w:pPr>
        <w:pStyle w:val="EndNoteBibliography"/>
        <w:spacing w:before="240" w:line="480" w:lineRule="auto"/>
        <w:ind w:left="720" w:hanging="720"/>
        <w:rPr>
          <w:noProof/>
        </w:rPr>
      </w:pPr>
      <w:r w:rsidRPr="00D6404A">
        <w:rPr>
          <w:noProof/>
        </w:rPr>
        <w:t>83</w:t>
      </w:r>
      <w:r w:rsidRPr="00D6404A">
        <w:rPr>
          <w:noProof/>
        </w:rPr>
        <w:tab/>
        <w:t>Yukimoto, S.</w:t>
      </w:r>
      <w:r w:rsidRPr="00D6404A">
        <w:rPr>
          <w:i/>
          <w:noProof/>
        </w:rPr>
        <w:t xml:space="preserve"> et al.</w:t>
      </w:r>
      <w:r w:rsidRPr="00D6404A">
        <w:rPr>
          <w:noProof/>
        </w:rPr>
        <w:t xml:space="preserve">     (Earth System Grid Federation, 2019).</w:t>
      </w:r>
    </w:p>
    <w:p w14:paraId="70D8D33F" w14:textId="77777777" w:rsidR="00FF557B" w:rsidRPr="00015F74" w:rsidRDefault="00FF557B" w:rsidP="00FF557B">
      <w:pPr>
        <w:pStyle w:val="SMcaption"/>
        <w:spacing w:line="480" w:lineRule="auto"/>
      </w:pPr>
    </w:p>
    <w:p w14:paraId="1AB9F438" w14:textId="77777777" w:rsidR="0075706D" w:rsidRDefault="0075706D"/>
    <w:sectPr w:rsidR="0075706D" w:rsidSect="005E0F9E">
      <w:footerReference w:type="even"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36B37F" w14:textId="77777777" w:rsidR="00F12605" w:rsidRDefault="00F12605" w:rsidP="00FF557B">
      <w:r>
        <w:separator/>
      </w:r>
    </w:p>
  </w:endnote>
  <w:endnote w:type="continuationSeparator" w:id="0">
    <w:p w14:paraId="46F3B6C6" w14:textId="77777777" w:rsidR="00F12605" w:rsidRDefault="00F12605" w:rsidP="00FF55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Times">
    <w:altName w:val="Times"/>
    <w:panose1 w:val="00000500000000020000"/>
    <w:charset w:val="00"/>
    <w:family w:val="auto"/>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76349799"/>
      <w:docPartObj>
        <w:docPartGallery w:val="Page Numbers (Bottom of Page)"/>
        <w:docPartUnique/>
      </w:docPartObj>
    </w:sdtPr>
    <w:sdtContent>
      <w:p w14:paraId="33A4B207" w14:textId="6F22E6FF" w:rsidR="00FF557B" w:rsidRDefault="00FF557B" w:rsidP="0089708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78CEDD" w14:textId="77777777" w:rsidR="00FF557B" w:rsidRDefault="00FF55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9504147"/>
      <w:docPartObj>
        <w:docPartGallery w:val="Page Numbers (Bottom of Page)"/>
        <w:docPartUnique/>
      </w:docPartObj>
    </w:sdtPr>
    <w:sdtContent>
      <w:p w14:paraId="3166F812" w14:textId="2C902A9C" w:rsidR="00FF557B" w:rsidRDefault="00FF557B" w:rsidP="0089708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E61957" w14:textId="77777777" w:rsidR="00FF557B" w:rsidRDefault="00FF5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E59EF2" w14:textId="77777777" w:rsidR="00F12605" w:rsidRDefault="00F12605" w:rsidP="00FF557B">
      <w:r>
        <w:separator/>
      </w:r>
    </w:p>
  </w:footnote>
  <w:footnote w:type="continuationSeparator" w:id="0">
    <w:p w14:paraId="694FEB07" w14:textId="77777777" w:rsidR="00F12605" w:rsidRDefault="00F12605" w:rsidP="00FF55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57B"/>
    <w:rsid w:val="000127BE"/>
    <w:rsid w:val="00030380"/>
    <w:rsid w:val="001B1558"/>
    <w:rsid w:val="001B2FED"/>
    <w:rsid w:val="0021405B"/>
    <w:rsid w:val="00235604"/>
    <w:rsid w:val="00286EE4"/>
    <w:rsid w:val="00296F6B"/>
    <w:rsid w:val="002C0F9E"/>
    <w:rsid w:val="00317A59"/>
    <w:rsid w:val="00376C72"/>
    <w:rsid w:val="003F77DC"/>
    <w:rsid w:val="00436106"/>
    <w:rsid w:val="00445747"/>
    <w:rsid w:val="004D507A"/>
    <w:rsid w:val="004D61C8"/>
    <w:rsid w:val="00546C92"/>
    <w:rsid w:val="00565066"/>
    <w:rsid w:val="005C449A"/>
    <w:rsid w:val="005E0F9E"/>
    <w:rsid w:val="005E7449"/>
    <w:rsid w:val="00615A7D"/>
    <w:rsid w:val="006429C8"/>
    <w:rsid w:val="007307F3"/>
    <w:rsid w:val="0075706D"/>
    <w:rsid w:val="007A69EF"/>
    <w:rsid w:val="007D513D"/>
    <w:rsid w:val="007F15CC"/>
    <w:rsid w:val="0082235C"/>
    <w:rsid w:val="00857D5F"/>
    <w:rsid w:val="00890E3D"/>
    <w:rsid w:val="008B0949"/>
    <w:rsid w:val="009056C4"/>
    <w:rsid w:val="00997F7B"/>
    <w:rsid w:val="009F220F"/>
    <w:rsid w:val="00A16804"/>
    <w:rsid w:val="00A22849"/>
    <w:rsid w:val="00A2746E"/>
    <w:rsid w:val="00A6090F"/>
    <w:rsid w:val="00A7082C"/>
    <w:rsid w:val="00AB502B"/>
    <w:rsid w:val="00AC33A3"/>
    <w:rsid w:val="00B30D45"/>
    <w:rsid w:val="00B33A68"/>
    <w:rsid w:val="00B34838"/>
    <w:rsid w:val="00B365BE"/>
    <w:rsid w:val="00B41F8D"/>
    <w:rsid w:val="00B4428A"/>
    <w:rsid w:val="00BA7127"/>
    <w:rsid w:val="00C20EF7"/>
    <w:rsid w:val="00C85B7C"/>
    <w:rsid w:val="00D10ABA"/>
    <w:rsid w:val="00D2148F"/>
    <w:rsid w:val="00D67A50"/>
    <w:rsid w:val="00E03DB7"/>
    <w:rsid w:val="00E04EDF"/>
    <w:rsid w:val="00EB0AEC"/>
    <w:rsid w:val="00F12605"/>
    <w:rsid w:val="00F71E6F"/>
    <w:rsid w:val="00F96511"/>
    <w:rsid w:val="00FA1C56"/>
    <w:rsid w:val="00FB5AC3"/>
    <w:rsid w:val="00FE010E"/>
    <w:rsid w:val="00FF5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5E287C2"/>
  <w15:chartTrackingRefBased/>
  <w15:docId w15:val="{1795B6A2-1BC3-3B41-BB78-D3DCC6FE2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57B"/>
    <w:rPr>
      <w:rFonts w:ascii="Times New Roman" w:eastAsia="SimSun" w:hAnsi="Times New Roman" w:cs="Times New Roman"/>
      <w:sz w:val="20"/>
      <w:szCs w:val="20"/>
      <w:lang w:eastAsia="en-US"/>
    </w:rPr>
  </w:style>
  <w:style w:type="paragraph" w:styleId="Heading1">
    <w:name w:val="heading 1"/>
    <w:basedOn w:val="Normal"/>
    <w:next w:val="Normal"/>
    <w:link w:val="Heading1Char"/>
    <w:uiPriority w:val="9"/>
    <w:qFormat/>
    <w:rsid w:val="00FF557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knowledgement">
    <w:name w:val="Acknowledgement"/>
    <w:basedOn w:val="Normal"/>
    <w:rsid w:val="00FF557B"/>
    <w:pPr>
      <w:spacing w:before="120"/>
      <w:ind w:left="720" w:hanging="720"/>
    </w:pPr>
    <w:rPr>
      <w:rFonts w:eastAsia="Times New Roman"/>
      <w:sz w:val="24"/>
      <w:szCs w:val="24"/>
    </w:rPr>
  </w:style>
  <w:style w:type="paragraph" w:customStyle="1" w:styleId="SOMContent">
    <w:name w:val="SOMContent"/>
    <w:basedOn w:val="Normal"/>
    <w:rsid w:val="00FF557B"/>
    <w:pPr>
      <w:spacing w:before="120"/>
    </w:pPr>
    <w:rPr>
      <w:rFonts w:eastAsia="Times New Roman"/>
      <w:sz w:val="24"/>
      <w:szCs w:val="24"/>
    </w:rPr>
  </w:style>
  <w:style w:type="paragraph" w:customStyle="1" w:styleId="SOMHead">
    <w:name w:val="SOMHead"/>
    <w:basedOn w:val="Normal"/>
    <w:rsid w:val="00FF557B"/>
    <w:pPr>
      <w:keepNext/>
      <w:spacing w:before="240"/>
      <w:outlineLvl w:val="0"/>
    </w:pPr>
    <w:rPr>
      <w:rFonts w:eastAsia="Times New Roman"/>
      <w:b/>
      <w:kern w:val="28"/>
      <w:sz w:val="24"/>
      <w:szCs w:val="24"/>
    </w:rPr>
  </w:style>
  <w:style w:type="paragraph" w:styleId="Caption">
    <w:name w:val="caption"/>
    <w:basedOn w:val="Normal"/>
    <w:next w:val="Normal"/>
    <w:unhideWhenUsed/>
    <w:qFormat/>
    <w:rsid w:val="00FF557B"/>
    <w:pPr>
      <w:spacing w:after="200"/>
    </w:pPr>
    <w:rPr>
      <w:rFonts w:eastAsia="Times New Roman"/>
      <w:i/>
      <w:iCs/>
      <w:color w:val="44546A" w:themeColor="text2"/>
      <w:sz w:val="18"/>
      <w:szCs w:val="18"/>
      <w:lang w:eastAsia="zh-CN"/>
    </w:rPr>
  </w:style>
  <w:style w:type="table" w:styleId="TableGrid">
    <w:name w:val="Table Grid"/>
    <w:basedOn w:val="TableNormal"/>
    <w:uiPriority w:val="59"/>
    <w:rsid w:val="00FF557B"/>
    <w:rPr>
      <w:rFonts w:eastAsia="SimSu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F557B"/>
    <w:rPr>
      <w:rFonts w:ascii="Calibri" w:eastAsia="SimSun"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Heading1"/>
    <w:qFormat/>
    <w:rsid w:val="00FF557B"/>
    <w:pPr>
      <w:keepLines w:val="0"/>
      <w:spacing w:after="60"/>
    </w:pPr>
    <w:rPr>
      <w:rFonts w:ascii="Times New Roman" w:eastAsia="SimSun" w:hAnsi="Times New Roman" w:cs="Times New Roman"/>
      <w:b/>
      <w:bCs/>
      <w:color w:val="auto"/>
      <w:kern w:val="32"/>
      <w:sz w:val="24"/>
      <w:szCs w:val="24"/>
    </w:rPr>
  </w:style>
  <w:style w:type="paragraph" w:customStyle="1" w:styleId="SMText">
    <w:name w:val="SM Text"/>
    <w:basedOn w:val="Normal"/>
    <w:qFormat/>
    <w:rsid w:val="00FF557B"/>
    <w:pPr>
      <w:ind w:firstLine="480"/>
    </w:pPr>
    <w:rPr>
      <w:sz w:val="24"/>
    </w:rPr>
  </w:style>
  <w:style w:type="paragraph" w:customStyle="1" w:styleId="SMcaption">
    <w:name w:val="SM caption"/>
    <w:basedOn w:val="SMText"/>
    <w:qFormat/>
    <w:rsid w:val="00FF557B"/>
    <w:pPr>
      <w:ind w:firstLine="0"/>
    </w:pPr>
  </w:style>
  <w:style w:type="character" w:customStyle="1" w:styleId="Heading1Char">
    <w:name w:val="Heading 1 Char"/>
    <w:basedOn w:val="DefaultParagraphFont"/>
    <w:link w:val="Heading1"/>
    <w:uiPriority w:val="9"/>
    <w:rsid w:val="00FF557B"/>
    <w:rPr>
      <w:rFonts w:asciiTheme="majorHAnsi" w:eastAsiaTheme="majorEastAsia" w:hAnsiTheme="majorHAnsi" w:cstheme="majorBidi"/>
      <w:color w:val="2F5496" w:themeColor="accent1" w:themeShade="BF"/>
      <w:sz w:val="32"/>
      <w:szCs w:val="32"/>
      <w:lang w:eastAsia="en-US"/>
    </w:rPr>
  </w:style>
  <w:style w:type="paragraph" w:styleId="Footer">
    <w:name w:val="footer"/>
    <w:basedOn w:val="Normal"/>
    <w:link w:val="FooterChar"/>
    <w:uiPriority w:val="99"/>
    <w:unhideWhenUsed/>
    <w:rsid w:val="00FF557B"/>
    <w:pPr>
      <w:tabs>
        <w:tab w:val="center" w:pos="4680"/>
        <w:tab w:val="right" w:pos="9360"/>
      </w:tabs>
    </w:pPr>
  </w:style>
  <w:style w:type="character" w:customStyle="1" w:styleId="FooterChar">
    <w:name w:val="Footer Char"/>
    <w:basedOn w:val="DefaultParagraphFont"/>
    <w:link w:val="Footer"/>
    <w:uiPriority w:val="99"/>
    <w:rsid w:val="00FF557B"/>
    <w:rPr>
      <w:rFonts w:ascii="Times New Roman" w:eastAsia="SimSun" w:hAnsi="Times New Roman" w:cs="Times New Roman"/>
      <w:sz w:val="20"/>
      <w:szCs w:val="20"/>
      <w:lang w:eastAsia="en-US"/>
    </w:rPr>
  </w:style>
  <w:style w:type="character" w:styleId="PageNumber">
    <w:name w:val="page number"/>
    <w:basedOn w:val="DefaultParagraphFont"/>
    <w:uiPriority w:val="99"/>
    <w:semiHidden/>
    <w:unhideWhenUsed/>
    <w:rsid w:val="00FF557B"/>
  </w:style>
  <w:style w:type="paragraph" w:customStyle="1" w:styleId="Refhead">
    <w:name w:val="Ref head"/>
    <w:basedOn w:val="Normal"/>
    <w:rsid w:val="00296F6B"/>
    <w:pPr>
      <w:keepNext/>
      <w:spacing w:before="120" w:after="120"/>
      <w:outlineLvl w:val="0"/>
    </w:pPr>
    <w:rPr>
      <w:rFonts w:eastAsia="Times New Roman"/>
      <w:b/>
      <w:bCs/>
      <w:kern w:val="28"/>
      <w:sz w:val="24"/>
      <w:szCs w:val="24"/>
    </w:rPr>
  </w:style>
  <w:style w:type="paragraph" w:customStyle="1" w:styleId="EndNoteBibliography">
    <w:name w:val="EndNote Bibliography"/>
    <w:basedOn w:val="Normal"/>
    <w:link w:val="EndNoteBibliographyChar"/>
    <w:rsid w:val="00296F6B"/>
    <w:rPr>
      <w:rFonts w:eastAsia="Times New Roman"/>
      <w:sz w:val="24"/>
      <w:szCs w:val="24"/>
    </w:rPr>
  </w:style>
  <w:style w:type="character" w:customStyle="1" w:styleId="EndNoteBibliographyChar">
    <w:name w:val="EndNote Bibliography Char"/>
    <w:basedOn w:val="DefaultParagraphFont"/>
    <w:link w:val="EndNoteBibliography"/>
    <w:rsid w:val="00296F6B"/>
    <w:rPr>
      <w:rFonts w:ascii="Times New Roman" w:eastAsia="Times New Roman" w:hAnsi="Times New Roman" w:cs="Times New Roman"/>
      <w:lang w:eastAsia="en-US"/>
    </w:rPr>
  </w:style>
  <w:style w:type="paragraph" w:customStyle="1" w:styleId="Authors">
    <w:name w:val="Authors"/>
    <w:basedOn w:val="Normal"/>
    <w:rsid w:val="00EB0AEC"/>
    <w:pPr>
      <w:spacing w:before="120" w:after="360"/>
      <w:jc w:val="center"/>
    </w:pPr>
    <w:rPr>
      <w:rFonts w:eastAsia="Times New Roman"/>
      <w:sz w:val="24"/>
      <w:szCs w:val="24"/>
    </w:rPr>
  </w:style>
  <w:style w:type="paragraph" w:customStyle="1" w:styleId="Paragraph">
    <w:name w:val="Paragraph"/>
    <w:basedOn w:val="Normal"/>
    <w:rsid w:val="00EB0AEC"/>
    <w:pPr>
      <w:spacing w:before="120"/>
      <w:ind w:firstLine="720"/>
    </w:pPr>
    <w:rPr>
      <w:rFonts w:eastAsia="Times New Roman"/>
      <w:sz w:val="24"/>
      <w:szCs w:val="24"/>
    </w:rPr>
  </w:style>
  <w:style w:type="paragraph" w:customStyle="1" w:styleId="Head">
    <w:name w:val="Head"/>
    <w:basedOn w:val="Normal"/>
    <w:rsid w:val="00EB0AEC"/>
    <w:pPr>
      <w:keepNext/>
      <w:spacing w:before="120" w:after="120"/>
      <w:jc w:val="center"/>
      <w:outlineLvl w:val="0"/>
    </w:pPr>
    <w:rPr>
      <w:rFonts w:eastAsia="Times New Roman"/>
      <w:b/>
      <w:bCs/>
      <w:kern w:val="28"/>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29</Pages>
  <Words>2834</Words>
  <Characters>15704</Characters>
  <Application>Microsoft Office Word</Application>
  <DocSecurity>0</DocSecurity>
  <Lines>253</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 Yufei</dc:creator>
  <cp:keywords/>
  <dc:description/>
  <cp:lastModifiedBy>Zou, Yufei</cp:lastModifiedBy>
  <cp:revision>15</cp:revision>
  <dcterms:created xsi:type="dcterms:W3CDTF">2021-01-28T22:55:00Z</dcterms:created>
  <dcterms:modified xsi:type="dcterms:W3CDTF">2021-01-29T01:13:00Z</dcterms:modified>
</cp:coreProperties>
</file>