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FE369" w14:textId="77777777" w:rsidR="00614D5A" w:rsidRPr="00D34CEC" w:rsidRDefault="00614D5A" w:rsidP="00614D5A">
      <w:pPr>
        <w:rPr>
          <w:rFonts w:cstheme="minorHAnsi"/>
          <w:b/>
          <w:bCs/>
          <w:sz w:val="22"/>
          <w:szCs w:val="22"/>
        </w:rPr>
      </w:pPr>
      <w:r w:rsidRPr="00D34CEC">
        <w:rPr>
          <w:rFonts w:cstheme="minorHAnsi"/>
          <w:b/>
          <w:bCs/>
          <w:sz w:val="22"/>
          <w:szCs w:val="22"/>
        </w:rPr>
        <w:t xml:space="preserve">Assessing the impact of one million COVID-19 Deaths in </w:t>
      </w:r>
      <w:r>
        <w:rPr>
          <w:rFonts w:cstheme="minorHAnsi"/>
          <w:b/>
          <w:bCs/>
          <w:sz w:val="22"/>
          <w:szCs w:val="22"/>
        </w:rPr>
        <w:t>America</w:t>
      </w:r>
      <w:r w:rsidRPr="00D34CEC">
        <w:rPr>
          <w:rFonts w:cstheme="minorHAnsi"/>
          <w:b/>
          <w:bCs/>
          <w:sz w:val="22"/>
          <w:szCs w:val="22"/>
        </w:rPr>
        <w:t xml:space="preserve"> – Economic and Life Expectancy Losses</w:t>
      </w:r>
    </w:p>
    <w:p w14:paraId="6B0CC7EA" w14:textId="6A68216B" w:rsidR="00450A9F" w:rsidRDefault="00450A9F" w:rsidP="00450A9F">
      <w:pPr>
        <w:rPr>
          <w:rFonts w:ascii="Arial" w:hAnsi="Arial" w:cs="Arial"/>
          <w:sz w:val="22"/>
          <w:szCs w:val="22"/>
        </w:rPr>
      </w:pPr>
    </w:p>
    <w:p w14:paraId="37D6E5B5" w14:textId="1C527926" w:rsidR="00450A9F" w:rsidRPr="00450A9F" w:rsidRDefault="00450A9F" w:rsidP="00450A9F">
      <w:pPr>
        <w:rPr>
          <w:rFonts w:ascii="Arial" w:hAnsi="Arial" w:cs="Arial"/>
          <w:b/>
          <w:bCs/>
          <w:sz w:val="22"/>
          <w:szCs w:val="22"/>
        </w:rPr>
      </w:pPr>
      <w:r w:rsidRPr="00450A9F">
        <w:rPr>
          <w:rFonts w:ascii="Arial" w:hAnsi="Arial" w:cs="Arial"/>
          <w:b/>
          <w:bCs/>
          <w:sz w:val="22"/>
          <w:szCs w:val="22"/>
        </w:rPr>
        <w:t>Supplementary Appendix</w:t>
      </w:r>
    </w:p>
    <w:p w14:paraId="22FE769B" w14:textId="77777777" w:rsidR="00450A9F" w:rsidRPr="00D15CFB" w:rsidRDefault="00450A9F" w:rsidP="00450A9F">
      <w:pPr>
        <w:rPr>
          <w:rFonts w:ascii="Arial" w:hAnsi="Arial" w:cs="Arial"/>
          <w:sz w:val="22"/>
          <w:szCs w:val="22"/>
        </w:rPr>
      </w:pPr>
    </w:p>
    <w:p w14:paraId="645E3DB6" w14:textId="77777777" w:rsidR="00450A9F" w:rsidRPr="00D15CFB" w:rsidRDefault="00450A9F" w:rsidP="00450A9F">
      <w:pPr>
        <w:spacing w:line="276" w:lineRule="auto"/>
        <w:rPr>
          <w:rFonts w:ascii="Arial" w:hAnsi="Arial" w:cs="Arial"/>
          <w:color w:val="000000" w:themeColor="text1"/>
          <w:sz w:val="22"/>
          <w:szCs w:val="22"/>
        </w:rPr>
      </w:pPr>
      <w:r w:rsidRPr="00D15CFB">
        <w:rPr>
          <w:rFonts w:ascii="Arial" w:hAnsi="Arial" w:cs="Arial"/>
          <w:color w:val="000000" w:themeColor="text1"/>
          <w:sz w:val="22"/>
          <w:szCs w:val="22"/>
        </w:rPr>
        <w:t>Sachin Silva</w:t>
      </w:r>
      <w:r w:rsidRPr="00D15CFB">
        <w:rPr>
          <w:rFonts w:ascii="Arial" w:hAnsi="Arial" w:cs="Arial"/>
          <w:color w:val="000000" w:themeColor="text1"/>
          <w:sz w:val="22"/>
          <w:szCs w:val="22"/>
          <w:vertAlign w:val="superscript"/>
        </w:rPr>
        <w:t>1,2</w:t>
      </w:r>
      <w:r w:rsidRPr="00D15CFB">
        <w:rPr>
          <w:rFonts w:ascii="Arial" w:hAnsi="Arial" w:cs="Arial"/>
          <w:color w:val="000000" w:themeColor="text1"/>
          <w:sz w:val="22"/>
          <w:szCs w:val="22"/>
        </w:rPr>
        <w:t xml:space="preserve"> Eric Goosby</w:t>
      </w:r>
      <w:r w:rsidRPr="00D15CFB">
        <w:rPr>
          <w:rFonts w:ascii="Arial" w:hAnsi="Arial" w:cs="Arial"/>
          <w:color w:val="000000" w:themeColor="text1"/>
          <w:sz w:val="22"/>
          <w:szCs w:val="22"/>
          <w:vertAlign w:val="superscript"/>
        </w:rPr>
        <w:t>2,3</w:t>
      </w:r>
      <w:r w:rsidRPr="00D15CFB">
        <w:rPr>
          <w:rFonts w:ascii="Arial" w:hAnsi="Arial" w:cs="Arial"/>
          <w:color w:val="000000" w:themeColor="text1"/>
          <w:sz w:val="22"/>
          <w:szCs w:val="22"/>
        </w:rPr>
        <w:t>, *Michael JA Reid</w:t>
      </w:r>
      <w:r w:rsidRPr="00D15CFB">
        <w:rPr>
          <w:rFonts w:ascii="Arial" w:hAnsi="Arial" w:cs="Arial"/>
          <w:color w:val="000000" w:themeColor="text1"/>
          <w:sz w:val="22"/>
          <w:szCs w:val="22"/>
          <w:vertAlign w:val="superscript"/>
        </w:rPr>
        <w:t>2,3</w:t>
      </w:r>
    </w:p>
    <w:p w14:paraId="0E7269EE" w14:textId="77777777" w:rsidR="00450A9F" w:rsidRPr="00D15CFB" w:rsidRDefault="00450A9F" w:rsidP="00450A9F">
      <w:pPr>
        <w:spacing w:line="276" w:lineRule="auto"/>
        <w:rPr>
          <w:rFonts w:ascii="Arial" w:hAnsi="Arial" w:cs="Arial"/>
          <w:color w:val="000000" w:themeColor="text1"/>
          <w:sz w:val="22"/>
          <w:szCs w:val="22"/>
        </w:rPr>
      </w:pPr>
    </w:p>
    <w:p w14:paraId="565677C5" w14:textId="77777777" w:rsidR="00450A9F" w:rsidRPr="00D15CFB" w:rsidRDefault="00450A9F" w:rsidP="00450A9F">
      <w:pPr>
        <w:pStyle w:val="ListParagraph"/>
        <w:numPr>
          <w:ilvl w:val="0"/>
          <w:numId w:val="1"/>
        </w:numPr>
        <w:spacing w:line="276" w:lineRule="auto"/>
        <w:ind w:left="360"/>
        <w:rPr>
          <w:rFonts w:ascii="Arial" w:hAnsi="Arial" w:cs="Arial"/>
          <w:color w:val="000000" w:themeColor="text1"/>
          <w:szCs w:val="22"/>
        </w:rPr>
      </w:pPr>
      <w:r w:rsidRPr="00D15CFB">
        <w:rPr>
          <w:rFonts w:ascii="Arial" w:hAnsi="Arial" w:cs="Arial"/>
          <w:color w:val="000000" w:themeColor="text1"/>
          <w:szCs w:val="22"/>
        </w:rPr>
        <w:t>Harvard TH Chan School of Public Health, Harvard University</w:t>
      </w:r>
    </w:p>
    <w:p w14:paraId="4E3DB621" w14:textId="77777777" w:rsidR="00450A9F" w:rsidRPr="00D15CFB" w:rsidRDefault="00450A9F" w:rsidP="00450A9F">
      <w:pPr>
        <w:spacing w:line="276" w:lineRule="auto"/>
        <w:ind w:left="360"/>
        <w:rPr>
          <w:rFonts w:ascii="Arial" w:hAnsi="Arial" w:cs="Arial"/>
          <w:color w:val="000000" w:themeColor="text1"/>
          <w:sz w:val="22"/>
          <w:szCs w:val="22"/>
        </w:rPr>
      </w:pPr>
      <w:r w:rsidRPr="00D15CFB">
        <w:rPr>
          <w:rFonts w:ascii="Arial" w:hAnsi="Arial" w:cs="Arial"/>
          <w:color w:val="000000" w:themeColor="text1"/>
          <w:sz w:val="22"/>
          <w:szCs w:val="22"/>
        </w:rPr>
        <w:t>677 Huntington Avenue, Boston, MA 02115, USA.</w:t>
      </w:r>
    </w:p>
    <w:p w14:paraId="3080E99B" w14:textId="77777777" w:rsidR="00450A9F" w:rsidRPr="00D15CFB" w:rsidRDefault="00450A9F" w:rsidP="00450A9F">
      <w:pPr>
        <w:pStyle w:val="ListParagraph"/>
        <w:ind w:left="360"/>
        <w:rPr>
          <w:rFonts w:ascii="Arial" w:hAnsi="Arial" w:cs="Arial"/>
          <w:color w:val="000000" w:themeColor="text1"/>
          <w:szCs w:val="22"/>
        </w:rPr>
      </w:pPr>
    </w:p>
    <w:p w14:paraId="5C8E9C13" w14:textId="77777777" w:rsidR="00450A9F" w:rsidRPr="00D15CFB" w:rsidRDefault="00450A9F" w:rsidP="00450A9F">
      <w:pPr>
        <w:pStyle w:val="ListParagraph"/>
        <w:numPr>
          <w:ilvl w:val="0"/>
          <w:numId w:val="1"/>
        </w:numPr>
        <w:ind w:left="360"/>
        <w:rPr>
          <w:rFonts w:ascii="Arial" w:hAnsi="Arial" w:cs="Arial"/>
          <w:color w:val="000000" w:themeColor="text1"/>
          <w:szCs w:val="22"/>
        </w:rPr>
      </w:pPr>
      <w:r w:rsidRPr="00D15CFB">
        <w:rPr>
          <w:rFonts w:ascii="Arial" w:hAnsi="Arial" w:cs="Arial"/>
          <w:color w:val="000000" w:themeColor="text1"/>
          <w:szCs w:val="22"/>
        </w:rPr>
        <w:t>University of California, San Francisco, Institute for Global Health Sciences</w:t>
      </w:r>
    </w:p>
    <w:p w14:paraId="66066AA7" w14:textId="77777777" w:rsidR="00450A9F" w:rsidRPr="00D15CFB" w:rsidRDefault="00450A9F" w:rsidP="00450A9F">
      <w:pPr>
        <w:pStyle w:val="ListParagraph"/>
        <w:ind w:left="360"/>
        <w:rPr>
          <w:rFonts w:ascii="Arial" w:hAnsi="Arial" w:cs="Arial"/>
          <w:color w:val="000000" w:themeColor="text1"/>
          <w:szCs w:val="22"/>
        </w:rPr>
      </w:pPr>
      <w:r w:rsidRPr="00D15CFB">
        <w:rPr>
          <w:rFonts w:ascii="Arial" w:hAnsi="Arial" w:cs="Arial"/>
          <w:color w:val="000000" w:themeColor="text1"/>
          <w:szCs w:val="22"/>
        </w:rPr>
        <w:t>550 16th Street, Third Floor, San Francisco, CA 94158, USA</w:t>
      </w:r>
    </w:p>
    <w:p w14:paraId="1F367C23" w14:textId="77777777" w:rsidR="00450A9F" w:rsidRPr="00D15CFB" w:rsidRDefault="00450A9F" w:rsidP="00450A9F">
      <w:pPr>
        <w:pStyle w:val="ListParagraph"/>
        <w:spacing w:line="276" w:lineRule="auto"/>
        <w:ind w:left="360"/>
        <w:rPr>
          <w:rFonts w:ascii="Arial" w:hAnsi="Arial" w:cs="Arial"/>
          <w:color w:val="000000" w:themeColor="text1"/>
          <w:szCs w:val="22"/>
        </w:rPr>
      </w:pPr>
    </w:p>
    <w:p w14:paraId="0844FAAC" w14:textId="77777777" w:rsidR="00450A9F" w:rsidRPr="00D15CFB" w:rsidRDefault="00450A9F" w:rsidP="00450A9F">
      <w:pPr>
        <w:pStyle w:val="ListParagraph"/>
        <w:numPr>
          <w:ilvl w:val="0"/>
          <w:numId w:val="1"/>
        </w:numPr>
        <w:spacing w:line="276" w:lineRule="auto"/>
        <w:ind w:left="360"/>
        <w:rPr>
          <w:rFonts w:ascii="Arial" w:hAnsi="Arial" w:cs="Arial"/>
          <w:color w:val="000000" w:themeColor="text1"/>
          <w:szCs w:val="22"/>
        </w:rPr>
      </w:pPr>
      <w:r w:rsidRPr="00D15CFB">
        <w:rPr>
          <w:rFonts w:ascii="Arial" w:hAnsi="Arial" w:cs="Arial"/>
          <w:color w:val="000000" w:themeColor="text1"/>
          <w:szCs w:val="22"/>
        </w:rPr>
        <w:t>University of California, San Francisco, School of Medicine</w:t>
      </w:r>
    </w:p>
    <w:p w14:paraId="5951558D" w14:textId="77777777" w:rsidR="00450A9F" w:rsidRPr="00D15CFB" w:rsidRDefault="00450A9F" w:rsidP="00450A9F">
      <w:pPr>
        <w:spacing w:line="276" w:lineRule="auto"/>
        <w:ind w:left="360"/>
        <w:rPr>
          <w:rFonts w:ascii="Arial" w:hAnsi="Arial" w:cs="Arial"/>
          <w:color w:val="000000" w:themeColor="text1"/>
          <w:sz w:val="22"/>
          <w:szCs w:val="22"/>
        </w:rPr>
      </w:pPr>
      <w:r w:rsidRPr="00D15CFB">
        <w:rPr>
          <w:rFonts w:ascii="Arial" w:hAnsi="Arial" w:cs="Arial"/>
          <w:color w:val="000000" w:themeColor="text1"/>
          <w:sz w:val="22"/>
          <w:szCs w:val="22"/>
        </w:rPr>
        <w:t>513 Parnassus Avenue, San Francisco, CA 94143-0410, USA</w:t>
      </w:r>
    </w:p>
    <w:p w14:paraId="204BDD7D" w14:textId="77777777" w:rsidR="00450A9F" w:rsidRPr="00D15CFB" w:rsidRDefault="00450A9F" w:rsidP="00450A9F">
      <w:pPr>
        <w:pStyle w:val="ListParagraph"/>
        <w:spacing w:line="276" w:lineRule="auto"/>
        <w:jc w:val="both"/>
        <w:outlineLvl w:val="0"/>
        <w:rPr>
          <w:rFonts w:ascii="Arial" w:hAnsi="Arial" w:cs="Arial"/>
          <w:szCs w:val="22"/>
        </w:rPr>
      </w:pPr>
    </w:p>
    <w:p w14:paraId="197CC108" w14:textId="77777777" w:rsidR="00450A9F" w:rsidRPr="00D15CFB" w:rsidRDefault="00450A9F" w:rsidP="00450A9F">
      <w:pPr>
        <w:pStyle w:val="ListParagraph"/>
        <w:spacing w:line="276" w:lineRule="auto"/>
        <w:ind w:left="0"/>
        <w:jc w:val="both"/>
        <w:outlineLvl w:val="0"/>
        <w:rPr>
          <w:rFonts w:ascii="Arial" w:hAnsi="Arial" w:cs="Arial"/>
          <w:szCs w:val="22"/>
        </w:rPr>
      </w:pPr>
      <w:r w:rsidRPr="00D15CFB">
        <w:rPr>
          <w:rFonts w:ascii="Arial" w:hAnsi="Arial" w:cs="Arial"/>
          <w:b/>
          <w:szCs w:val="22"/>
        </w:rPr>
        <w:t>*Corresponding author:</w:t>
      </w:r>
      <w:r w:rsidRPr="00D15CFB">
        <w:rPr>
          <w:rFonts w:ascii="Arial" w:hAnsi="Arial" w:cs="Arial"/>
          <w:szCs w:val="22"/>
        </w:rPr>
        <w:t xml:space="preserve"> </w:t>
      </w:r>
    </w:p>
    <w:p w14:paraId="6206015B" w14:textId="77777777" w:rsidR="00450A9F" w:rsidRPr="00D15CFB" w:rsidRDefault="00450A9F" w:rsidP="00450A9F">
      <w:pPr>
        <w:pStyle w:val="ListParagraph"/>
        <w:spacing w:line="276" w:lineRule="auto"/>
        <w:ind w:left="0"/>
        <w:jc w:val="both"/>
        <w:outlineLvl w:val="0"/>
        <w:rPr>
          <w:rFonts w:ascii="Arial" w:hAnsi="Arial" w:cs="Arial"/>
          <w:szCs w:val="22"/>
        </w:rPr>
      </w:pPr>
      <w:r w:rsidRPr="00D15CFB">
        <w:rPr>
          <w:rFonts w:ascii="Arial" w:hAnsi="Arial" w:cs="Arial"/>
          <w:szCs w:val="22"/>
        </w:rPr>
        <w:t>Michael JA Reid</w:t>
      </w:r>
    </w:p>
    <w:p w14:paraId="1B6EFBC5" w14:textId="77777777" w:rsidR="00450A9F" w:rsidRPr="00D15CFB" w:rsidRDefault="00450A9F" w:rsidP="00450A9F">
      <w:pPr>
        <w:pStyle w:val="ListParagraph"/>
        <w:ind w:left="0"/>
        <w:rPr>
          <w:rFonts w:ascii="Arial" w:hAnsi="Arial" w:cs="Arial"/>
          <w:color w:val="000000" w:themeColor="text1"/>
          <w:szCs w:val="22"/>
        </w:rPr>
      </w:pPr>
      <w:r w:rsidRPr="00D15CFB">
        <w:rPr>
          <w:rFonts w:ascii="Arial" w:hAnsi="Arial" w:cs="Arial"/>
          <w:color w:val="000000" w:themeColor="text1"/>
          <w:szCs w:val="22"/>
        </w:rPr>
        <w:t>University of California, San Francisco, Institute for Global Health Sciences</w:t>
      </w:r>
    </w:p>
    <w:p w14:paraId="0BBD63C6" w14:textId="77777777" w:rsidR="00450A9F" w:rsidRPr="00D15CFB" w:rsidRDefault="00450A9F" w:rsidP="00450A9F">
      <w:pPr>
        <w:pStyle w:val="ListParagraph"/>
        <w:ind w:left="0"/>
        <w:rPr>
          <w:rFonts w:ascii="Arial" w:hAnsi="Arial" w:cs="Arial"/>
          <w:color w:val="000000" w:themeColor="text1"/>
          <w:szCs w:val="22"/>
        </w:rPr>
      </w:pPr>
      <w:r w:rsidRPr="00D15CFB">
        <w:rPr>
          <w:rFonts w:ascii="Arial" w:hAnsi="Arial" w:cs="Arial"/>
          <w:color w:val="000000" w:themeColor="text1"/>
          <w:szCs w:val="22"/>
        </w:rPr>
        <w:t>550 16th Street, Third Floor, San Francisco, CA 94158, USA</w:t>
      </w:r>
    </w:p>
    <w:p w14:paraId="7BA96709" w14:textId="77777777" w:rsidR="00450A9F" w:rsidRPr="00D15CFB" w:rsidRDefault="00450A9F" w:rsidP="00450A9F">
      <w:pPr>
        <w:pStyle w:val="ListParagraph"/>
        <w:spacing w:line="276" w:lineRule="auto"/>
        <w:ind w:left="0"/>
        <w:rPr>
          <w:rFonts w:ascii="Arial" w:hAnsi="Arial" w:cs="Arial"/>
          <w:color w:val="000000" w:themeColor="text1"/>
          <w:szCs w:val="22"/>
        </w:rPr>
      </w:pPr>
      <w:r w:rsidRPr="00D15CFB">
        <w:rPr>
          <w:rFonts w:ascii="Arial" w:hAnsi="Arial" w:cs="Arial"/>
          <w:color w:val="000000" w:themeColor="text1"/>
          <w:szCs w:val="22"/>
        </w:rPr>
        <w:t>Telephone: +(1) 415-638-7332; Fax: +(1) 415-476-6953</w:t>
      </w:r>
    </w:p>
    <w:p w14:paraId="2CE2C8BF" w14:textId="77777777" w:rsidR="00450A9F" w:rsidRPr="00D15CFB" w:rsidRDefault="00450A9F" w:rsidP="00450A9F">
      <w:pPr>
        <w:pStyle w:val="ListParagraph"/>
        <w:spacing w:line="276" w:lineRule="auto"/>
        <w:ind w:left="0"/>
        <w:rPr>
          <w:rFonts w:ascii="Arial" w:hAnsi="Arial" w:cs="Arial"/>
          <w:szCs w:val="22"/>
          <w:lang w:val="fr-FR"/>
        </w:rPr>
      </w:pPr>
      <w:r w:rsidRPr="00D15CFB">
        <w:rPr>
          <w:rFonts w:ascii="Arial" w:hAnsi="Arial" w:cs="Arial"/>
          <w:color w:val="000000" w:themeColor="text1"/>
          <w:szCs w:val="22"/>
        </w:rPr>
        <w:t>E-mail: Michael.Reid@ucsf.edu</w:t>
      </w:r>
      <w:r w:rsidRPr="00D15CFB" w:rsidDel="00817AE2">
        <w:rPr>
          <w:rFonts w:ascii="Arial" w:hAnsi="Arial" w:cs="Arial"/>
          <w:color w:val="000000" w:themeColor="text1"/>
          <w:szCs w:val="22"/>
        </w:rPr>
        <w:t xml:space="preserve"> </w:t>
      </w:r>
    </w:p>
    <w:p w14:paraId="05F35D84" w14:textId="77777777" w:rsidR="009A0364" w:rsidRPr="00B1138B" w:rsidRDefault="009A0364" w:rsidP="009A0364">
      <w:pPr>
        <w:rPr>
          <w:rFonts w:ascii="Arial" w:hAnsi="Arial" w:cs="Arial"/>
          <w:b/>
          <w:sz w:val="22"/>
          <w:szCs w:val="22"/>
        </w:rPr>
      </w:pPr>
    </w:p>
    <w:p w14:paraId="64574AF2" w14:textId="7322E2A8" w:rsidR="009A0364" w:rsidRPr="00B1138B" w:rsidRDefault="009A0364">
      <w:pPr>
        <w:rPr>
          <w:rFonts w:ascii="Arial" w:hAnsi="Arial" w:cs="Arial"/>
          <w:b/>
          <w:sz w:val="22"/>
          <w:szCs w:val="22"/>
        </w:rPr>
      </w:pPr>
      <w:r w:rsidRPr="00B1138B">
        <w:rPr>
          <w:rFonts w:ascii="Arial" w:hAnsi="Arial" w:cs="Arial"/>
          <w:b/>
          <w:sz w:val="22"/>
          <w:szCs w:val="22"/>
        </w:rPr>
        <w:br w:type="page"/>
      </w:r>
    </w:p>
    <w:p w14:paraId="104730EB" w14:textId="18B39DA3" w:rsidR="00DD6A07" w:rsidRPr="00B1138B" w:rsidRDefault="00DD6A07">
      <w:pPr>
        <w:rPr>
          <w:rFonts w:ascii="Arial" w:hAnsi="Arial" w:cs="Arial"/>
          <w:b/>
          <w:sz w:val="22"/>
          <w:szCs w:val="22"/>
        </w:rPr>
      </w:pPr>
      <w:r w:rsidRPr="00B1138B">
        <w:rPr>
          <w:rFonts w:ascii="Arial" w:hAnsi="Arial" w:cs="Arial"/>
          <w:b/>
          <w:bCs/>
          <w:sz w:val="22"/>
          <w:szCs w:val="22"/>
        </w:rPr>
        <w:lastRenderedPageBreak/>
        <w:t>Methods</w:t>
      </w:r>
    </w:p>
    <w:p w14:paraId="554B1883" w14:textId="723F7687" w:rsidR="00DD6A07" w:rsidRPr="00B1138B" w:rsidRDefault="00DD6A07">
      <w:pPr>
        <w:rPr>
          <w:rFonts w:ascii="Arial" w:hAnsi="Arial" w:cs="Arial"/>
          <w:b/>
          <w:bCs/>
          <w:sz w:val="22"/>
          <w:szCs w:val="22"/>
        </w:rPr>
      </w:pPr>
    </w:p>
    <w:p w14:paraId="07B30385" w14:textId="7BF5D35C" w:rsidR="00DC255B" w:rsidRPr="00B1138B" w:rsidRDefault="00DC255B" w:rsidP="00FC79BD">
      <w:pPr>
        <w:jc w:val="both"/>
        <w:rPr>
          <w:rFonts w:ascii="Arial" w:hAnsi="Arial" w:cs="Arial"/>
          <w:i/>
          <w:iCs/>
          <w:sz w:val="22"/>
          <w:szCs w:val="22"/>
        </w:rPr>
      </w:pPr>
      <w:r w:rsidRPr="00B1138B">
        <w:rPr>
          <w:rFonts w:ascii="Arial" w:hAnsi="Arial" w:cs="Arial"/>
          <w:i/>
          <w:iCs/>
          <w:sz w:val="22"/>
          <w:szCs w:val="22"/>
        </w:rPr>
        <w:t>Calculating Life Expectancies</w:t>
      </w:r>
    </w:p>
    <w:p w14:paraId="10F86661" w14:textId="77777777" w:rsidR="00DC255B" w:rsidRPr="00B1138B" w:rsidRDefault="00DC255B" w:rsidP="00FC79BD">
      <w:pPr>
        <w:jc w:val="both"/>
        <w:rPr>
          <w:rFonts w:ascii="Arial" w:hAnsi="Arial" w:cs="Arial"/>
          <w:b/>
          <w:bCs/>
          <w:sz w:val="22"/>
          <w:szCs w:val="22"/>
        </w:rPr>
      </w:pPr>
    </w:p>
    <w:p w14:paraId="455614A0" w14:textId="77777777" w:rsidR="00F46E65" w:rsidRDefault="005C5E0A" w:rsidP="00FC79BD">
      <w:pPr>
        <w:jc w:val="both"/>
        <w:rPr>
          <w:rFonts w:ascii="Arial" w:hAnsi="Arial" w:cs="Arial"/>
          <w:sz w:val="22"/>
          <w:szCs w:val="22"/>
        </w:rPr>
      </w:pPr>
      <w:r>
        <w:rPr>
          <w:rFonts w:ascii="Arial" w:hAnsi="Arial" w:cs="Arial"/>
          <w:sz w:val="22"/>
          <w:szCs w:val="22"/>
        </w:rPr>
        <w:t>W</w:t>
      </w:r>
      <w:r w:rsidR="00DB273C" w:rsidRPr="00B1138B">
        <w:rPr>
          <w:rFonts w:ascii="Arial" w:hAnsi="Arial" w:cs="Arial"/>
          <w:sz w:val="22"/>
          <w:szCs w:val="22"/>
        </w:rPr>
        <w:t>e calculate</w:t>
      </w:r>
      <w:r w:rsidR="009F692F" w:rsidRPr="00B1138B">
        <w:rPr>
          <w:rFonts w:ascii="Arial" w:hAnsi="Arial" w:cs="Arial"/>
          <w:sz w:val="22"/>
          <w:szCs w:val="22"/>
        </w:rPr>
        <w:t>d</w:t>
      </w:r>
      <w:r w:rsidR="00DB273C" w:rsidRPr="00B1138B">
        <w:rPr>
          <w:rFonts w:ascii="Arial" w:hAnsi="Arial" w:cs="Arial"/>
          <w:sz w:val="22"/>
          <w:szCs w:val="22"/>
        </w:rPr>
        <w:t xml:space="preserve"> life expectanc</w:t>
      </w:r>
      <w:r w:rsidR="00BE2886">
        <w:rPr>
          <w:rFonts w:ascii="Arial" w:hAnsi="Arial" w:cs="Arial"/>
          <w:sz w:val="22"/>
          <w:szCs w:val="22"/>
        </w:rPr>
        <w:t>ies</w:t>
      </w:r>
      <w:r w:rsidR="00DB273C" w:rsidRPr="00B1138B">
        <w:rPr>
          <w:rFonts w:ascii="Arial" w:hAnsi="Arial" w:cs="Arial"/>
          <w:sz w:val="22"/>
          <w:szCs w:val="22"/>
        </w:rPr>
        <w:t xml:space="preserve"> at each </w:t>
      </w:r>
      <w:r w:rsidRPr="00B1138B">
        <w:rPr>
          <w:rFonts w:ascii="Arial" w:hAnsi="Arial" w:cs="Arial"/>
          <w:sz w:val="22"/>
          <w:szCs w:val="22"/>
        </w:rPr>
        <w:t>five-year</w:t>
      </w:r>
      <w:r w:rsidR="00DB273C" w:rsidRPr="00B1138B">
        <w:rPr>
          <w:rFonts w:ascii="Arial" w:hAnsi="Arial" w:cs="Arial"/>
          <w:sz w:val="22"/>
          <w:szCs w:val="22"/>
        </w:rPr>
        <w:t xml:space="preserve"> age interval, with and without the deaths due to COVID-19</w:t>
      </w:r>
      <w:r>
        <w:rPr>
          <w:rFonts w:ascii="Arial" w:hAnsi="Arial" w:cs="Arial"/>
          <w:sz w:val="22"/>
          <w:szCs w:val="22"/>
        </w:rPr>
        <w:t xml:space="preserve">, using US </w:t>
      </w:r>
      <w:r w:rsidRPr="00B1138B">
        <w:rPr>
          <w:rFonts w:ascii="Arial" w:hAnsi="Arial" w:cs="Arial"/>
          <w:sz w:val="22"/>
          <w:szCs w:val="22"/>
        </w:rPr>
        <w:t>national life tables for 2019</w:t>
      </w:r>
      <w:r>
        <w:rPr>
          <w:rFonts w:ascii="Arial" w:hAnsi="Arial" w:cs="Arial"/>
          <w:sz w:val="22"/>
          <w:szCs w:val="22"/>
        </w:rPr>
        <w:t>,</w:t>
      </w:r>
      <w:r w:rsidRPr="00B1138B">
        <w:rPr>
          <w:rFonts w:ascii="Arial" w:hAnsi="Arial" w:cs="Arial"/>
          <w:sz w:val="22"/>
          <w:szCs w:val="22"/>
        </w:rPr>
        <w:t xml:space="preserve"> disaggregated by race and ethnic origin</w:t>
      </w:r>
      <w:r w:rsidRPr="00B1138B">
        <w:rPr>
          <w:rFonts w:ascii="Arial" w:hAnsi="Arial" w:cs="Arial"/>
          <w:sz w:val="22"/>
          <w:szCs w:val="22"/>
        </w:rPr>
        <w:fldChar w:fldCharType="begin"/>
      </w:r>
      <w:r w:rsidRPr="00B1138B">
        <w:rPr>
          <w:rFonts w:ascii="Arial" w:hAnsi="Arial" w:cs="Arial"/>
          <w:sz w:val="22"/>
          <w:szCs w:val="22"/>
        </w:rPr>
        <w:instrText xml:space="preserve"> ADDIN ZOTERO_ITEM CSL_CITATION {"citationID":"unwcqxbJ","properties":{"formattedCitation":"\\super 1\\nosupersub{}","plainCitation":"1","noteIndex":0},"citationItems":[{"id":29375,"uris":["http://zotero.org/users/local/p8g0WsVO/items/NGB6G8UH"],"itemData":{"id":29375,"type":"article-journal","abstract":"This report presents complete period life tables for the United States by Hispanic origin, race, and sex, based on age-specific death rates in 2019. Starting with the 2019 data year, this report adds life tables for the non-Hispanic American Indian or Alaska Native (AIAN) and non-Hispanic Asian populations.","container-title":"National Vital Statistics Reports: From the Centers for Disease Control and Prevention, National Center for Health Statistics, National Vital Statistics System","ISSN":"1551-8930","issue":"19","journalAbbreviation":"Natl Vital Stat Rep","language":"eng","note":"PMID: 35319436","page":"1-59","source":"PubMed","title":"United States Life Tables, 2019","volume":"70","author":[{"family":"Arias","given":"Elizabeth"},{"family":"Xu","given":"Jiaquan"}],"issued":{"date-parts":[["2022",3]]}}}],"schema":"https://github.com/citation-style-language/schema/raw/master/csl-citation.json"} </w:instrText>
      </w:r>
      <w:r w:rsidRPr="00B1138B">
        <w:rPr>
          <w:rFonts w:ascii="Arial" w:hAnsi="Arial" w:cs="Arial"/>
          <w:sz w:val="22"/>
          <w:szCs w:val="22"/>
        </w:rPr>
        <w:fldChar w:fldCharType="separate"/>
      </w:r>
      <w:r w:rsidRPr="00B1138B">
        <w:rPr>
          <w:rFonts w:ascii="Arial" w:hAnsi="Arial" w:cs="Arial"/>
          <w:sz w:val="22"/>
          <w:szCs w:val="22"/>
          <w:vertAlign w:val="superscript"/>
        </w:rPr>
        <w:t>1</w:t>
      </w:r>
      <w:r w:rsidRPr="00B1138B">
        <w:rPr>
          <w:rFonts w:ascii="Arial" w:hAnsi="Arial" w:cs="Arial"/>
          <w:sz w:val="22"/>
          <w:szCs w:val="22"/>
        </w:rPr>
        <w:fldChar w:fldCharType="end"/>
      </w:r>
      <w:r>
        <w:rPr>
          <w:rFonts w:ascii="Arial" w:hAnsi="Arial" w:cs="Arial"/>
          <w:sz w:val="22"/>
          <w:szCs w:val="22"/>
        </w:rPr>
        <w:t>. W</w:t>
      </w:r>
      <w:r w:rsidR="00DB273C" w:rsidRPr="00B1138B">
        <w:rPr>
          <w:rFonts w:ascii="Arial" w:hAnsi="Arial" w:cs="Arial"/>
          <w:sz w:val="22"/>
          <w:szCs w:val="22"/>
        </w:rPr>
        <w:t>e first converted the</w:t>
      </w:r>
      <w:r w:rsidR="009D5910">
        <w:rPr>
          <w:rFonts w:ascii="Arial" w:hAnsi="Arial" w:cs="Arial"/>
          <w:sz w:val="22"/>
          <w:szCs w:val="22"/>
        </w:rPr>
        <w:t>se</w:t>
      </w:r>
      <w:r w:rsidR="00DB273C" w:rsidRPr="00B1138B">
        <w:rPr>
          <w:rFonts w:ascii="Arial" w:hAnsi="Arial" w:cs="Arial"/>
          <w:sz w:val="22"/>
          <w:szCs w:val="22"/>
        </w:rPr>
        <w:t xml:space="preserve"> </w:t>
      </w:r>
      <w:r w:rsidR="00BE2886">
        <w:rPr>
          <w:rFonts w:ascii="Arial" w:hAnsi="Arial" w:cs="Arial"/>
          <w:sz w:val="22"/>
          <w:szCs w:val="22"/>
        </w:rPr>
        <w:t xml:space="preserve">unabridged </w:t>
      </w:r>
      <w:r w:rsidR="00DB273C" w:rsidRPr="00B1138B">
        <w:rPr>
          <w:rFonts w:ascii="Arial" w:hAnsi="Arial" w:cs="Arial"/>
          <w:sz w:val="22"/>
          <w:szCs w:val="22"/>
        </w:rPr>
        <w:t xml:space="preserve">life tables </w:t>
      </w:r>
      <w:r w:rsidR="004E5DD6">
        <w:rPr>
          <w:rFonts w:ascii="Arial" w:hAnsi="Arial" w:cs="Arial"/>
          <w:sz w:val="22"/>
          <w:szCs w:val="22"/>
        </w:rPr>
        <w:t>to match the</w:t>
      </w:r>
      <w:r w:rsidR="00441507" w:rsidRPr="00B1138B">
        <w:rPr>
          <w:rFonts w:ascii="Arial" w:hAnsi="Arial" w:cs="Arial"/>
          <w:sz w:val="22"/>
          <w:szCs w:val="22"/>
        </w:rPr>
        <w:t xml:space="preserve"> age intervals </w:t>
      </w:r>
      <w:r w:rsidR="009F692F" w:rsidRPr="00B1138B">
        <w:rPr>
          <w:rFonts w:ascii="Arial" w:hAnsi="Arial" w:cs="Arial"/>
          <w:sz w:val="22"/>
          <w:szCs w:val="22"/>
        </w:rPr>
        <w:t>at</w:t>
      </w:r>
      <w:r w:rsidR="00441507" w:rsidRPr="00B1138B">
        <w:rPr>
          <w:rFonts w:ascii="Arial" w:hAnsi="Arial" w:cs="Arial"/>
          <w:sz w:val="22"/>
          <w:szCs w:val="22"/>
        </w:rPr>
        <w:t xml:space="preserve"> which provisional </w:t>
      </w:r>
      <w:r w:rsidR="00DD6A07" w:rsidRPr="00B1138B">
        <w:rPr>
          <w:rFonts w:ascii="Arial" w:hAnsi="Arial" w:cs="Arial"/>
          <w:sz w:val="22"/>
          <w:szCs w:val="22"/>
        </w:rPr>
        <w:t>COVID</w:t>
      </w:r>
      <w:r w:rsidR="00441507" w:rsidRPr="00B1138B">
        <w:rPr>
          <w:rFonts w:ascii="Arial" w:hAnsi="Arial" w:cs="Arial"/>
          <w:sz w:val="22"/>
          <w:szCs w:val="22"/>
        </w:rPr>
        <w:t>-19</w:t>
      </w:r>
      <w:r w:rsidR="00DD6A07" w:rsidRPr="00B1138B">
        <w:rPr>
          <w:rFonts w:ascii="Arial" w:hAnsi="Arial" w:cs="Arial"/>
          <w:sz w:val="22"/>
          <w:szCs w:val="22"/>
        </w:rPr>
        <w:t xml:space="preserve"> deaths</w:t>
      </w:r>
      <w:r w:rsidR="00441507" w:rsidRPr="00B1138B">
        <w:rPr>
          <w:rFonts w:ascii="Arial" w:hAnsi="Arial" w:cs="Arial"/>
          <w:sz w:val="22"/>
          <w:szCs w:val="22"/>
        </w:rPr>
        <w:t xml:space="preserve"> by age</w:t>
      </w:r>
      <w:r w:rsidR="00DD6A07" w:rsidRPr="00B1138B">
        <w:rPr>
          <w:rFonts w:ascii="Arial" w:hAnsi="Arial" w:cs="Arial"/>
          <w:sz w:val="22"/>
          <w:szCs w:val="22"/>
        </w:rPr>
        <w:t>, race and Hispanic origin</w:t>
      </w:r>
      <w:r w:rsidR="00441507" w:rsidRPr="00B1138B">
        <w:rPr>
          <w:rFonts w:ascii="Arial" w:hAnsi="Arial" w:cs="Arial"/>
          <w:sz w:val="22"/>
          <w:szCs w:val="22"/>
        </w:rPr>
        <w:t xml:space="preserve"> are reported by </w:t>
      </w:r>
      <w:r w:rsidR="00DD6A07" w:rsidRPr="00B1138B">
        <w:rPr>
          <w:rFonts w:ascii="Arial" w:hAnsi="Arial" w:cs="Arial"/>
          <w:sz w:val="22"/>
          <w:szCs w:val="22"/>
        </w:rPr>
        <w:t>the Center for Disease Control (CDC)</w:t>
      </w:r>
      <w:r w:rsidR="00DC255B" w:rsidRPr="00B1138B">
        <w:rPr>
          <w:rFonts w:ascii="Arial" w:hAnsi="Arial" w:cs="Arial"/>
          <w:sz w:val="22"/>
          <w:szCs w:val="22"/>
        </w:rPr>
        <w:fldChar w:fldCharType="begin"/>
      </w:r>
      <w:r w:rsidR="00935036">
        <w:rPr>
          <w:rFonts w:ascii="Arial" w:hAnsi="Arial" w:cs="Arial"/>
          <w:sz w:val="22"/>
          <w:szCs w:val="22"/>
        </w:rPr>
        <w:instrText xml:space="preserve"> ADDIN ZOTERO_ITEM CSL_CITATION {"citationID":"BeAdsy9t","properties":{"formattedCitation":"\\super 2\\nosupersub{}","plainCitation":"2","noteIndex":0},"citationItems":[{"id":29463,"uris":["http://zotero.org/users/local/p8g0WsVO/items/FUPJRJB5"],"itemData":{"id":29463,"type":"webpage","container-title":"Centers for Disease Control and Prevention. Data: Provisional COVID-19 Deaths by Race and Hispanic Origin, and Age","title":"Provisional COVID-19 Deaths by Race and Hispanic Origin, and Age","URL":"https://data.cdc.gov/NCHS/Provisional-COVID-19-Deaths-by-Race-and-Hispanic-O/ks3g-spdg","author":[{"family":"National Center for Health Statistics.","given":""}],"accessed":{"date-parts":[["2022",4,15]]}}}],"schema":"https://github.com/citation-style-language/schema/raw/master/csl-citation.json"} </w:instrText>
      </w:r>
      <w:r w:rsidR="00DC255B" w:rsidRPr="00B1138B">
        <w:rPr>
          <w:rFonts w:ascii="Arial" w:hAnsi="Arial" w:cs="Arial"/>
          <w:sz w:val="22"/>
          <w:szCs w:val="22"/>
        </w:rPr>
        <w:fldChar w:fldCharType="separate"/>
      </w:r>
      <w:r w:rsidR="00DC255B" w:rsidRPr="00B1138B">
        <w:rPr>
          <w:rFonts w:ascii="Arial" w:hAnsi="Arial" w:cs="Arial"/>
          <w:sz w:val="22"/>
          <w:szCs w:val="22"/>
          <w:vertAlign w:val="superscript"/>
        </w:rPr>
        <w:t>2</w:t>
      </w:r>
      <w:r w:rsidR="00DC255B" w:rsidRPr="00B1138B">
        <w:rPr>
          <w:rFonts w:ascii="Arial" w:hAnsi="Arial" w:cs="Arial"/>
          <w:sz w:val="22"/>
          <w:szCs w:val="22"/>
        </w:rPr>
        <w:fldChar w:fldCharType="end"/>
      </w:r>
      <w:r w:rsidR="00DD6A07" w:rsidRPr="00B1138B">
        <w:rPr>
          <w:rFonts w:ascii="Arial" w:hAnsi="Arial" w:cs="Arial"/>
          <w:sz w:val="22"/>
          <w:szCs w:val="22"/>
        </w:rPr>
        <w:t xml:space="preserve">. </w:t>
      </w:r>
    </w:p>
    <w:p w14:paraId="7EB03EA6" w14:textId="7369FBD5" w:rsidR="00544EB6" w:rsidRDefault="00F46E65" w:rsidP="00FC79BD">
      <w:pPr>
        <w:jc w:val="both"/>
        <w:rPr>
          <w:rFonts w:ascii="Arial" w:hAnsi="Arial" w:cs="Arial"/>
          <w:sz w:val="22"/>
          <w:szCs w:val="22"/>
        </w:rPr>
      </w:pPr>
      <w:r>
        <w:rPr>
          <w:rFonts w:ascii="Arial" w:hAnsi="Arial" w:cs="Arial"/>
          <w:sz w:val="22"/>
          <w:szCs w:val="22"/>
        </w:rPr>
        <w:t xml:space="preserve">To do so, </w:t>
      </w:r>
      <w:r w:rsidR="00127728">
        <w:rPr>
          <w:rFonts w:ascii="Arial" w:hAnsi="Arial" w:cs="Arial"/>
          <w:sz w:val="22"/>
          <w:szCs w:val="22"/>
        </w:rPr>
        <w:t>we converted the single year (</w:t>
      </w:r>
      <w:r w:rsidR="00127728">
        <w:rPr>
          <w:rFonts w:ascii="Arial" w:hAnsi="Arial" w:cs="Arial"/>
          <w:sz w:val="22"/>
          <w:szCs w:val="22"/>
          <w:vertAlign w:val="subscript"/>
        </w:rPr>
        <w:t>1</w:t>
      </w:r>
      <w:r w:rsidR="00127728" w:rsidRPr="00127728">
        <w:rPr>
          <w:rFonts w:ascii="Arial" w:hAnsi="Arial" w:cs="Arial"/>
          <w:sz w:val="22"/>
          <w:szCs w:val="22"/>
        </w:rPr>
        <w:t>L</w:t>
      </w:r>
      <w:r w:rsidR="00127728" w:rsidRPr="00127728">
        <w:rPr>
          <w:rFonts w:ascii="Arial" w:hAnsi="Arial" w:cs="Arial"/>
          <w:sz w:val="22"/>
          <w:szCs w:val="22"/>
          <w:vertAlign w:val="subscript"/>
        </w:rPr>
        <w:t>x</w:t>
      </w:r>
      <w:r w:rsidR="00127728">
        <w:rPr>
          <w:rFonts w:ascii="Arial" w:hAnsi="Arial" w:cs="Arial"/>
          <w:sz w:val="22"/>
          <w:szCs w:val="22"/>
        </w:rPr>
        <w:t xml:space="preserve">) values from the unabridged life tables and </w:t>
      </w:r>
      <w:r w:rsidR="00127728" w:rsidRPr="00127728">
        <w:rPr>
          <w:rFonts w:ascii="Arial" w:hAnsi="Arial" w:cs="Arial"/>
          <w:sz w:val="22"/>
          <w:szCs w:val="22"/>
        </w:rPr>
        <w:t>sum</w:t>
      </w:r>
      <w:r w:rsidR="00127728">
        <w:rPr>
          <w:rFonts w:ascii="Arial" w:hAnsi="Arial" w:cs="Arial"/>
          <w:sz w:val="22"/>
          <w:szCs w:val="22"/>
        </w:rPr>
        <w:t>med</w:t>
      </w:r>
      <w:r w:rsidR="00127728" w:rsidRPr="00127728">
        <w:rPr>
          <w:rFonts w:ascii="Arial" w:hAnsi="Arial" w:cs="Arial"/>
          <w:sz w:val="22"/>
          <w:szCs w:val="22"/>
        </w:rPr>
        <w:t xml:space="preserve"> these values from ages x to x + n to </w:t>
      </w:r>
      <w:r w:rsidR="00127728">
        <w:rPr>
          <w:rFonts w:ascii="Arial" w:hAnsi="Arial" w:cs="Arial"/>
          <w:sz w:val="22"/>
          <w:szCs w:val="22"/>
        </w:rPr>
        <w:t>calculate</w:t>
      </w:r>
      <w:r w:rsidR="00127728" w:rsidRPr="00127728">
        <w:rPr>
          <w:rFonts w:ascii="Arial" w:hAnsi="Arial" w:cs="Arial"/>
          <w:sz w:val="22"/>
          <w:szCs w:val="22"/>
        </w:rPr>
        <w:t xml:space="preserve"> the total period person-years lived between</w:t>
      </w:r>
      <w:r w:rsidR="00127728">
        <w:rPr>
          <w:rFonts w:ascii="Arial" w:hAnsi="Arial" w:cs="Arial"/>
          <w:sz w:val="22"/>
          <w:szCs w:val="22"/>
        </w:rPr>
        <w:t xml:space="preserve"> </w:t>
      </w:r>
      <w:r w:rsidR="00127728" w:rsidRPr="00127728">
        <w:rPr>
          <w:rFonts w:ascii="Arial" w:hAnsi="Arial" w:cs="Arial"/>
          <w:sz w:val="22"/>
          <w:szCs w:val="22"/>
        </w:rPr>
        <w:t xml:space="preserve">ages x and </w:t>
      </w:r>
      <w:proofErr w:type="spellStart"/>
      <w:r w:rsidR="00127728" w:rsidRPr="00127728">
        <w:rPr>
          <w:rFonts w:ascii="Arial" w:hAnsi="Arial" w:cs="Arial"/>
          <w:sz w:val="22"/>
          <w:szCs w:val="22"/>
        </w:rPr>
        <w:t>x+n</w:t>
      </w:r>
      <w:proofErr w:type="spellEnd"/>
      <w:r w:rsidR="00127728" w:rsidRPr="00127728">
        <w:rPr>
          <w:rFonts w:ascii="Arial" w:hAnsi="Arial" w:cs="Arial"/>
          <w:sz w:val="22"/>
          <w:szCs w:val="22"/>
        </w:rPr>
        <w:t xml:space="preserve"> (</w:t>
      </w:r>
      <w:proofErr w:type="spellStart"/>
      <w:r w:rsidR="00127728" w:rsidRPr="00127728">
        <w:rPr>
          <w:rFonts w:ascii="Arial" w:hAnsi="Arial" w:cs="Arial"/>
          <w:sz w:val="22"/>
          <w:szCs w:val="22"/>
          <w:vertAlign w:val="subscript"/>
        </w:rPr>
        <w:t>n</w:t>
      </w:r>
      <w:r w:rsidR="00127728" w:rsidRPr="00127728">
        <w:rPr>
          <w:rFonts w:ascii="Arial" w:hAnsi="Arial" w:cs="Arial"/>
          <w:sz w:val="22"/>
          <w:szCs w:val="22"/>
        </w:rPr>
        <w:t>L</w:t>
      </w:r>
      <w:r w:rsidR="00127728" w:rsidRPr="00127728">
        <w:rPr>
          <w:rFonts w:ascii="Arial" w:hAnsi="Arial" w:cs="Arial"/>
          <w:sz w:val="22"/>
          <w:szCs w:val="22"/>
          <w:vertAlign w:val="subscript"/>
        </w:rPr>
        <w:t>x</w:t>
      </w:r>
      <w:proofErr w:type="spellEnd"/>
      <w:r w:rsidR="00127728" w:rsidRPr="00127728">
        <w:rPr>
          <w:rFonts w:ascii="Arial" w:hAnsi="Arial" w:cs="Arial"/>
          <w:sz w:val="22"/>
          <w:szCs w:val="22"/>
        </w:rPr>
        <w:t>).</w:t>
      </w:r>
      <w:r w:rsidR="00127728">
        <w:rPr>
          <w:rFonts w:ascii="Arial" w:hAnsi="Arial" w:cs="Arial"/>
          <w:sz w:val="22"/>
          <w:szCs w:val="22"/>
        </w:rPr>
        <w:t xml:space="preserve"> We calculated the remaining values using standard life table relationships</w:t>
      </w:r>
      <w:r w:rsidR="00127728">
        <w:rPr>
          <w:rFonts w:ascii="Arial" w:hAnsi="Arial" w:cs="Arial"/>
          <w:sz w:val="22"/>
          <w:szCs w:val="22"/>
        </w:rPr>
        <w:fldChar w:fldCharType="begin"/>
      </w:r>
      <w:r w:rsidR="00127728">
        <w:rPr>
          <w:rFonts w:ascii="Arial" w:hAnsi="Arial" w:cs="Arial"/>
          <w:sz w:val="22"/>
          <w:szCs w:val="22"/>
        </w:rPr>
        <w:instrText xml:space="preserve"> ADDIN ZOTERO_ITEM CSL_CITATION {"citationID":"6P7P2Gse","properties":{"formattedCitation":"\\super 3\\nosupersub{}","plainCitation":"3","noteIndex":0},"citationItems":[{"id":27469,"uris":["http://zotero.org/users/local/p8g0WsVO/items/K4BL4ZI8"],"itemData":{"id":27469,"type":"book","abstract":"This book presents and develops the basic methods and models that are used by demographers to study the behaviour of human populations. The procedures are clearly and concisely developed from first principles and extensive applications are presented.","edition":"1 edition","event-place":"Malden, MA","ISBN":"978-1-55786-451-2","language":"English","number-of-pages":"308","publisher":"Wiley-Blackwell","publisher-place":"Malden, MA","source":"Amazon","title":"Demography: Measuring and Modeling Population Processes","title-short":"Demography","author":[{"family":"Preston","given":"Samuel"},{"family":"Heuveline","given":"Patrick"},{"family":"Guillot","given":"Michel"}],"issued":{"date-parts":[["2000",10,3]]}}}],"schema":"https://github.com/citation-style-language/schema/raw/master/csl-citation.json"} </w:instrText>
      </w:r>
      <w:r w:rsidR="00127728">
        <w:rPr>
          <w:rFonts w:ascii="Arial" w:hAnsi="Arial" w:cs="Arial"/>
          <w:sz w:val="22"/>
          <w:szCs w:val="22"/>
        </w:rPr>
        <w:fldChar w:fldCharType="separate"/>
      </w:r>
      <w:r w:rsidR="00127728" w:rsidRPr="00127728">
        <w:rPr>
          <w:rFonts w:ascii="Arial" w:hAnsi="Arial" w:cs="Arial"/>
          <w:sz w:val="22"/>
          <w:vertAlign w:val="superscript"/>
        </w:rPr>
        <w:t>3</w:t>
      </w:r>
      <w:r w:rsidR="00127728">
        <w:rPr>
          <w:rFonts w:ascii="Arial" w:hAnsi="Arial" w:cs="Arial"/>
          <w:sz w:val="22"/>
          <w:szCs w:val="22"/>
        </w:rPr>
        <w:fldChar w:fldCharType="end"/>
      </w:r>
      <w:r w:rsidR="00127728">
        <w:rPr>
          <w:rFonts w:ascii="Arial" w:hAnsi="Arial" w:cs="Arial"/>
          <w:sz w:val="22"/>
          <w:szCs w:val="22"/>
        </w:rPr>
        <w:t xml:space="preserve">. </w:t>
      </w:r>
      <w:r w:rsidR="00E80ACC" w:rsidRPr="00B1138B">
        <w:rPr>
          <w:rFonts w:ascii="Arial" w:hAnsi="Arial" w:cs="Arial"/>
          <w:sz w:val="22"/>
          <w:szCs w:val="22"/>
        </w:rPr>
        <w:t xml:space="preserve">We </w:t>
      </w:r>
      <w:r w:rsidR="00BE2886">
        <w:rPr>
          <w:rFonts w:ascii="Arial" w:hAnsi="Arial" w:cs="Arial"/>
          <w:sz w:val="22"/>
          <w:szCs w:val="22"/>
        </w:rPr>
        <w:t xml:space="preserve">then </w:t>
      </w:r>
      <w:r w:rsidR="00E80ACC" w:rsidRPr="00B1138B">
        <w:rPr>
          <w:rFonts w:ascii="Arial" w:hAnsi="Arial" w:cs="Arial"/>
          <w:sz w:val="22"/>
          <w:szCs w:val="22"/>
        </w:rPr>
        <w:t xml:space="preserve">extracted COVID-19 deaths from </w:t>
      </w:r>
      <w:r w:rsidR="009D5910">
        <w:rPr>
          <w:rFonts w:ascii="Arial" w:hAnsi="Arial" w:cs="Arial"/>
          <w:sz w:val="22"/>
          <w:szCs w:val="22"/>
        </w:rPr>
        <w:t>February</w:t>
      </w:r>
      <w:r w:rsidR="00E80ACC" w:rsidRPr="00B1138B">
        <w:rPr>
          <w:rFonts w:ascii="Arial" w:hAnsi="Arial" w:cs="Arial"/>
          <w:sz w:val="22"/>
          <w:szCs w:val="22"/>
        </w:rPr>
        <w:t xml:space="preserve"> 1, 2020, to May 7, 2022, which included </w:t>
      </w:r>
      <w:r w:rsidR="00E80ACC" w:rsidRPr="00450A9F">
        <w:rPr>
          <w:rFonts w:ascii="Arial" w:hAnsi="Arial" w:cs="Arial"/>
          <w:sz w:val="22"/>
          <w:szCs w:val="22"/>
        </w:rPr>
        <w:t>998,707 deaths</w:t>
      </w:r>
      <w:r w:rsidR="00E80ACC" w:rsidRPr="00B1138B">
        <w:rPr>
          <w:rFonts w:ascii="Arial" w:hAnsi="Arial" w:cs="Arial"/>
          <w:sz w:val="22"/>
          <w:szCs w:val="22"/>
        </w:rPr>
        <w:t>. U</w:t>
      </w:r>
      <w:r w:rsidR="00544EB6" w:rsidRPr="00B1138B">
        <w:rPr>
          <w:rFonts w:ascii="Arial" w:hAnsi="Arial" w:cs="Arial"/>
          <w:sz w:val="22"/>
          <w:szCs w:val="22"/>
        </w:rPr>
        <w:t xml:space="preserve">sing population </w:t>
      </w:r>
      <w:r w:rsidR="005C5E0A">
        <w:rPr>
          <w:rFonts w:ascii="Arial" w:hAnsi="Arial" w:cs="Arial"/>
          <w:sz w:val="22"/>
          <w:szCs w:val="22"/>
        </w:rPr>
        <w:t>projections</w:t>
      </w:r>
      <w:r w:rsidR="00544EB6" w:rsidRPr="00B1138B">
        <w:rPr>
          <w:rFonts w:ascii="Arial" w:hAnsi="Arial" w:cs="Arial"/>
          <w:sz w:val="22"/>
          <w:szCs w:val="22"/>
        </w:rPr>
        <w:t xml:space="preserve"> by sex, race, and Hispanic origin, through July 2022</w:t>
      </w:r>
      <w:r w:rsidR="00544EB6" w:rsidRPr="00B1138B">
        <w:rPr>
          <w:rFonts w:ascii="Arial" w:hAnsi="Arial" w:cs="Arial"/>
          <w:sz w:val="22"/>
          <w:szCs w:val="22"/>
        </w:rPr>
        <w:fldChar w:fldCharType="begin"/>
      </w:r>
      <w:r w:rsidR="00127728">
        <w:rPr>
          <w:rFonts w:ascii="Arial" w:hAnsi="Arial" w:cs="Arial"/>
          <w:sz w:val="22"/>
          <w:szCs w:val="22"/>
        </w:rPr>
        <w:instrText xml:space="preserve"> ADDIN ZOTERO_ITEM CSL_CITATION {"citationID":"p0zYDpfz","properties":{"formattedCitation":"\\super 4\\nosupersub{}","plainCitation":"4","noteIndex":0},"citationItems":[{"id":29377,"uris":["http://zotero.org/users/local/p8g0WsVO/items/JZ9L6TRX"],"itemData":{"id":29377,"type":"webpage","abstract":"Population estimates by demographic characteristics .","container-title":"Census.gov","note":"section: Government","title":"2019 Population Estimates by Age, Sex, Race and Hispanic Origin","URL":"https://www.census.gov/newsroom/press-kits/2020/population-estimates-detailed.html","author":[{"family":"Bureau","given":"US Census"}],"accessed":{"date-parts":[["2022",3,29]]}}}],"schema":"https://github.com/citation-style-language/schema/raw/master/csl-citation.json"} </w:instrText>
      </w:r>
      <w:r w:rsidR="00544EB6" w:rsidRPr="00B1138B">
        <w:rPr>
          <w:rFonts w:ascii="Arial" w:hAnsi="Arial" w:cs="Arial"/>
          <w:sz w:val="22"/>
          <w:szCs w:val="22"/>
        </w:rPr>
        <w:fldChar w:fldCharType="separate"/>
      </w:r>
      <w:r w:rsidR="00127728" w:rsidRPr="00127728">
        <w:rPr>
          <w:rFonts w:ascii="Arial" w:hAnsi="Arial" w:cs="Arial"/>
          <w:sz w:val="22"/>
          <w:vertAlign w:val="superscript"/>
        </w:rPr>
        <w:t>4</w:t>
      </w:r>
      <w:r w:rsidR="00544EB6" w:rsidRPr="00B1138B">
        <w:rPr>
          <w:rFonts w:ascii="Arial" w:hAnsi="Arial" w:cs="Arial"/>
          <w:sz w:val="22"/>
          <w:szCs w:val="22"/>
        </w:rPr>
        <w:fldChar w:fldCharType="end"/>
      </w:r>
      <w:r w:rsidR="00544EB6" w:rsidRPr="00B1138B">
        <w:rPr>
          <w:rFonts w:ascii="Arial" w:hAnsi="Arial" w:cs="Arial"/>
          <w:sz w:val="22"/>
          <w:szCs w:val="22"/>
        </w:rPr>
        <w:t xml:space="preserve">, we </w:t>
      </w:r>
      <w:r w:rsidR="00BE2886">
        <w:rPr>
          <w:rFonts w:ascii="Arial" w:hAnsi="Arial" w:cs="Arial"/>
          <w:sz w:val="22"/>
          <w:szCs w:val="22"/>
        </w:rPr>
        <w:t xml:space="preserve">thereafter </w:t>
      </w:r>
      <w:r w:rsidR="00544EB6" w:rsidRPr="00B1138B">
        <w:rPr>
          <w:rFonts w:ascii="Arial" w:hAnsi="Arial" w:cs="Arial"/>
          <w:sz w:val="22"/>
          <w:szCs w:val="22"/>
        </w:rPr>
        <w:t xml:space="preserve">calculated </w:t>
      </w:r>
      <w:r w:rsidR="00AE4615" w:rsidRPr="00B1138B">
        <w:rPr>
          <w:rFonts w:ascii="Arial" w:hAnsi="Arial" w:cs="Arial"/>
          <w:sz w:val="22"/>
          <w:szCs w:val="22"/>
        </w:rPr>
        <w:t>life expectancies when eliminating COVID-19 deaths</w:t>
      </w:r>
      <w:r w:rsidR="009D5910" w:rsidRPr="00B1138B">
        <w:rPr>
          <w:rFonts w:ascii="Arial" w:hAnsi="Arial" w:cs="Arial"/>
          <w:sz w:val="22"/>
          <w:szCs w:val="22"/>
        </w:rPr>
        <w:fldChar w:fldCharType="begin"/>
      </w:r>
      <w:r w:rsidR="00127728">
        <w:rPr>
          <w:rFonts w:ascii="Arial" w:hAnsi="Arial" w:cs="Arial"/>
          <w:sz w:val="22"/>
          <w:szCs w:val="22"/>
        </w:rPr>
        <w:instrText xml:space="preserve"> ADDIN ZOTERO_ITEM CSL_CITATION {"citationID":"eeSQmSXy","properties":{"formattedCitation":"\\super 3\\nosupersub{}","plainCitation":"3","noteIndex":0},"citationItems":[{"id":27469,"uris":["http://zotero.org/users/local/p8g0WsVO/items/K4BL4ZI8"],"itemData":{"id":27469,"type":"book","abstract":"This book presents and develops the basic methods and models that are used by demographers to study the behaviour of human populations. The procedures are clearly and concisely developed from first principles and extensive applications are presented.","edition":"1 edition","event-place":"Malden, MA","ISBN":"978-1-55786-451-2","language":"English","number-of-pages":"308","publisher":"Wiley-Blackwell","publisher-place":"Malden, MA","source":"Amazon","title":"Demography: Measuring and Modeling Population Processes","title-short":"Demography","author":[{"family":"Preston","given":"Samuel"},{"family":"Heuveline","given":"Patrick"},{"family":"Guillot","given":"Michel"}],"issued":{"date-parts":[["2000",10,3]]}}}],"schema":"https://github.com/citation-style-language/schema/raw/master/csl-citation.json"} </w:instrText>
      </w:r>
      <w:r w:rsidR="009D5910" w:rsidRPr="00B1138B">
        <w:rPr>
          <w:rFonts w:ascii="Arial" w:hAnsi="Arial" w:cs="Arial"/>
          <w:sz w:val="22"/>
          <w:szCs w:val="22"/>
        </w:rPr>
        <w:fldChar w:fldCharType="separate"/>
      </w:r>
      <w:r w:rsidR="00127728" w:rsidRPr="00127728">
        <w:rPr>
          <w:rFonts w:ascii="Arial" w:hAnsi="Arial" w:cs="Arial"/>
          <w:sz w:val="22"/>
          <w:vertAlign w:val="superscript"/>
        </w:rPr>
        <w:t>3</w:t>
      </w:r>
      <w:r w:rsidR="009D5910" w:rsidRPr="00B1138B">
        <w:rPr>
          <w:rFonts w:ascii="Arial" w:hAnsi="Arial" w:cs="Arial"/>
          <w:sz w:val="22"/>
          <w:szCs w:val="22"/>
        </w:rPr>
        <w:fldChar w:fldCharType="end"/>
      </w:r>
      <w:r w:rsidR="00AE4615" w:rsidRPr="00B1138B">
        <w:rPr>
          <w:rFonts w:ascii="Arial" w:hAnsi="Arial" w:cs="Arial"/>
          <w:sz w:val="22"/>
          <w:szCs w:val="22"/>
        </w:rPr>
        <w:t>, for each race and ethnic group as well as the total population.</w:t>
      </w:r>
    </w:p>
    <w:p w14:paraId="173C77F7" w14:textId="77777777" w:rsidR="003C1889" w:rsidRPr="00B1138B" w:rsidRDefault="003C1889" w:rsidP="00FC79BD">
      <w:pPr>
        <w:jc w:val="both"/>
        <w:rPr>
          <w:rFonts w:ascii="Arial" w:hAnsi="Arial" w:cs="Arial"/>
          <w:sz w:val="22"/>
          <w:szCs w:val="22"/>
        </w:rPr>
      </w:pPr>
    </w:p>
    <w:p w14:paraId="4FBE1AFB" w14:textId="0A9CC715" w:rsidR="00DC255B" w:rsidRPr="00B1138B" w:rsidRDefault="00DC255B" w:rsidP="00FC79BD">
      <w:pPr>
        <w:jc w:val="both"/>
        <w:rPr>
          <w:rFonts w:ascii="Arial" w:hAnsi="Arial" w:cs="Arial"/>
          <w:i/>
          <w:iCs/>
          <w:sz w:val="22"/>
          <w:szCs w:val="22"/>
        </w:rPr>
      </w:pPr>
      <w:r w:rsidRPr="00B1138B">
        <w:rPr>
          <w:rFonts w:ascii="Arial" w:hAnsi="Arial" w:cs="Arial"/>
          <w:i/>
          <w:iCs/>
          <w:sz w:val="22"/>
          <w:szCs w:val="22"/>
        </w:rPr>
        <w:t xml:space="preserve">Calculating Economic </w:t>
      </w:r>
      <w:r w:rsidR="002B0D6D" w:rsidRPr="00B1138B">
        <w:rPr>
          <w:rFonts w:ascii="Arial" w:hAnsi="Arial" w:cs="Arial"/>
          <w:i/>
          <w:iCs/>
          <w:sz w:val="22"/>
          <w:szCs w:val="22"/>
        </w:rPr>
        <w:t xml:space="preserve">Welfare </w:t>
      </w:r>
      <w:r w:rsidRPr="00B1138B">
        <w:rPr>
          <w:rFonts w:ascii="Arial" w:hAnsi="Arial" w:cs="Arial"/>
          <w:i/>
          <w:iCs/>
          <w:sz w:val="22"/>
          <w:szCs w:val="22"/>
        </w:rPr>
        <w:t>Losses</w:t>
      </w:r>
    </w:p>
    <w:p w14:paraId="2021AB3D" w14:textId="77777777" w:rsidR="00DC255B" w:rsidRPr="00B1138B" w:rsidRDefault="00DC255B" w:rsidP="00FC79BD">
      <w:pPr>
        <w:jc w:val="both"/>
        <w:rPr>
          <w:rFonts w:ascii="Arial" w:hAnsi="Arial" w:cs="Arial"/>
          <w:sz w:val="22"/>
          <w:szCs w:val="22"/>
        </w:rPr>
      </w:pPr>
    </w:p>
    <w:p w14:paraId="32DF26FB" w14:textId="5DC5A6A7" w:rsidR="00B46FED" w:rsidRPr="00B1138B" w:rsidRDefault="00410498" w:rsidP="00FC79BD">
      <w:pPr>
        <w:jc w:val="both"/>
        <w:rPr>
          <w:rFonts w:ascii="Arial" w:hAnsi="Arial" w:cs="Arial"/>
          <w:sz w:val="22"/>
          <w:szCs w:val="22"/>
        </w:rPr>
      </w:pPr>
      <w:r w:rsidRPr="00B1138B">
        <w:rPr>
          <w:rFonts w:ascii="Arial" w:hAnsi="Arial" w:cs="Arial"/>
          <w:sz w:val="22"/>
          <w:szCs w:val="22"/>
        </w:rPr>
        <w:t xml:space="preserve">We </w:t>
      </w:r>
      <w:r w:rsidR="00DC255B" w:rsidRPr="00B1138B">
        <w:rPr>
          <w:rFonts w:ascii="Arial" w:hAnsi="Arial" w:cs="Arial"/>
          <w:sz w:val="22"/>
          <w:szCs w:val="22"/>
        </w:rPr>
        <w:t>calculated</w:t>
      </w:r>
      <w:r w:rsidR="00331E90" w:rsidRPr="00B1138B">
        <w:rPr>
          <w:rFonts w:ascii="Arial" w:hAnsi="Arial" w:cs="Arial"/>
          <w:sz w:val="22"/>
          <w:szCs w:val="22"/>
        </w:rPr>
        <w:t xml:space="preserve"> full-income </w:t>
      </w:r>
      <w:r w:rsidR="00DC255B" w:rsidRPr="00B1138B">
        <w:rPr>
          <w:rFonts w:ascii="Arial" w:hAnsi="Arial" w:cs="Arial"/>
          <w:sz w:val="22"/>
          <w:szCs w:val="22"/>
        </w:rPr>
        <w:t>losses</w:t>
      </w:r>
      <w:r w:rsidR="00331E90" w:rsidRPr="00B1138B">
        <w:rPr>
          <w:rFonts w:ascii="Arial" w:hAnsi="Arial" w:cs="Arial"/>
          <w:sz w:val="22"/>
          <w:szCs w:val="22"/>
        </w:rPr>
        <w:t xml:space="preserve"> by </w:t>
      </w:r>
      <w:r w:rsidRPr="00B1138B">
        <w:rPr>
          <w:rFonts w:ascii="Arial" w:hAnsi="Arial" w:cs="Arial"/>
          <w:sz w:val="22"/>
          <w:szCs w:val="22"/>
        </w:rPr>
        <w:t>transform</w:t>
      </w:r>
      <w:r w:rsidR="00331E90" w:rsidRPr="00B1138B">
        <w:rPr>
          <w:rFonts w:ascii="Arial" w:hAnsi="Arial" w:cs="Arial"/>
          <w:sz w:val="22"/>
          <w:szCs w:val="22"/>
        </w:rPr>
        <w:t>ing</w:t>
      </w:r>
      <w:r w:rsidRPr="00B1138B">
        <w:rPr>
          <w:rFonts w:ascii="Arial" w:hAnsi="Arial" w:cs="Arial"/>
          <w:sz w:val="22"/>
          <w:szCs w:val="22"/>
        </w:rPr>
        <w:t xml:space="preserve"> the excess hazard </w:t>
      </w:r>
      <w:r w:rsidR="00EC4F26" w:rsidRPr="00B1138B">
        <w:rPr>
          <w:rFonts w:ascii="Arial" w:hAnsi="Arial" w:cs="Arial"/>
          <w:sz w:val="22"/>
          <w:szCs w:val="22"/>
        </w:rPr>
        <w:t xml:space="preserve">of </w:t>
      </w:r>
      <w:r w:rsidR="004E5DD6">
        <w:rPr>
          <w:rFonts w:ascii="Arial" w:hAnsi="Arial" w:cs="Arial"/>
          <w:sz w:val="22"/>
          <w:szCs w:val="22"/>
        </w:rPr>
        <w:t xml:space="preserve">mortality due to </w:t>
      </w:r>
      <w:r w:rsidR="00EC4F26" w:rsidRPr="00B1138B">
        <w:rPr>
          <w:rFonts w:ascii="Arial" w:hAnsi="Arial" w:cs="Arial"/>
          <w:sz w:val="22"/>
          <w:szCs w:val="22"/>
        </w:rPr>
        <w:t xml:space="preserve">COVID-19 </w:t>
      </w:r>
      <w:r w:rsidRPr="00B1138B">
        <w:rPr>
          <w:rFonts w:ascii="Arial" w:hAnsi="Arial" w:cs="Arial"/>
          <w:sz w:val="22"/>
          <w:szCs w:val="22"/>
        </w:rPr>
        <w:t>to standardized mortality units (a 1 in 10 000 change in mortality risk), then calculat</w:t>
      </w:r>
      <w:r w:rsidR="004E5DD6">
        <w:rPr>
          <w:rFonts w:ascii="Arial" w:hAnsi="Arial" w:cs="Arial"/>
          <w:sz w:val="22"/>
          <w:szCs w:val="22"/>
        </w:rPr>
        <w:t>ed</w:t>
      </w:r>
      <w:r w:rsidRPr="00B1138B">
        <w:rPr>
          <w:rFonts w:ascii="Arial" w:hAnsi="Arial" w:cs="Arial"/>
          <w:sz w:val="22"/>
          <w:szCs w:val="22"/>
        </w:rPr>
        <w:t xml:space="preserve"> the population value of this risk change</w:t>
      </w:r>
      <w:r w:rsidR="00D73E25" w:rsidRPr="00B1138B">
        <w:rPr>
          <w:rFonts w:ascii="Arial" w:hAnsi="Arial" w:cs="Arial"/>
          <w:sz w:val="22"/>
          <w:szCs w:val="22"/>
        </w:rPr>
        <w:t>,</w:t>
      </w:r>
      <w:r w:rsidRPr="00B1138B">
        <w:rPr>
          <w:rFonts w:ascii="Arial" w:hAnsi="Arial" w:cs="Arial"/>
          <w:sz w:val="22"/>
          <w:szCs w:val="22"/>
        </w:rPr>
        <w:t xml:space="preserve"> rescal</w:t>
      </w:r>
      <w:r w:rsidR="00331E90" w:rsidRPr="00B1138B">
        <w:rPr>
          <w:rFonts w:ascii="Arial" w:hAnsi="Arial" w:cs="Arial"/>
          <w:sz w:val="22"/>
          <w:szCs w:val="22"/>
        </w:rPr>
        <w:t>ing</w:t>
      </w:r>
      <w:r w:rsidRPr="00B1138B">
        <w:rPr>
          <w:rFonts w:ascii="Arial" w:hAnsi="Arial" w:cs="Arial"/>
          <w:sz w:val="22"/>
          <w:szCs w:val="22"/>
        </w:rPr>
        <w:t xml:space="preserve"> </w:t>
      </w:r>
      <w:r w:rsidR="00D73E25" w:rsidRPr="00B1138B">
        <w:rPr>
          <w:rFonts w:ascii="Arial" w:hAnsi="Arial" w:cs="Arial"/>
          <w:sz w:val="22"/>
          <w:szCs w:val="22"/>
        </w:rPr>
        <w:t xml:space="preserve">to </w:t>
      </w:r>
      <w:r w:rsidRPr="00B1138B">
        <w:rPr>
          <w:rFonts w:ascii="Arial" w:hAnsi="Arial" w:cs="Arial"/>
          <w:sz w:val="22"/>
          <w:szCs w:val="22"/>
        </w:rPr>
        <w:t xml:space="preserve">life expectancy at age 35, </w:t>
      </w:r>
      <w:r w:rsidR="0015168C" w:rsidRPr="00B1138B">
        <w:rPr>
          <w:rFonts w:ascii="Arial" w:hAnsi="Arial" w:cs="Arial"/>
          <w:sz w:val="22"/>
          <w:szCs w:val="22"/>
        </w:rPr>
        <w:t xml:space="preserve">and </w:t>
      </w:r>
      <w:r w:rsidR="00D73E25" w:rsidRPr="00B1138B">
        <w:rPr>
          <w:rFonts w:ascii="Arial" w:hAnsi="Arial" w:cs="Arial"/>
          <w:sz w:val="22"/>
          <w:szCs w:val="22"/>
        </w:rPr>
        <w:t xml:space="preserve">then </w:t>
      </w:r>
      <w:r w:rsidRPr="00B1138B">
        <w:rPr>
          <w:rFonts w:ascii="Arial" w:hAnsi="Arial" w:cs="Arial"/>
          <w:sz w:val="22"/>
          <w:szCs w:val="22"/>
        </w:rPr>
        <w:t>multipl</w:t>
      </w:r>
      <w:r w:rsidR="00331E90" w:rsidRPr="00B1138B">
        <w:rPr>
          <w:rFonts w:ascii="Arial" w:hAnsi="Arial" w:cs="Arial"/>
          <w:sz w:val="22"/>
          <w:szCs w:val="22"/>
        </w:rPr>
        <w:t>ying</w:t>
      </w:r>
      <w:r w:rsidRPr="00B1138B">
        <w:rPr>
          <w:rFonts w:ascii="Arial" w:hAnsi="Arial" w:cs="Arial"/>
          <w:sz w:val="22"/>
          <w:szCs w:val="22"/>
        </w:rPr>
        <w:t xml:space="preserve"> by the value of a statistical life-year, calculated as a proportion of the income per capita</w:t>
      </w:r>
      <w:r w:rsidR="00C135BA" w:rsidRPr="00B1138B">
        <w:rPr>
          <w:rFonts w:ascii="Arial" w:hAnsi="Arial" w:cs="Arial"/>
          <w:sz w:val="22"/>
          <w:szCs w:val="22"/>
        </w:rPr>
        <w:fldChar w:fldCharType="begin"/>
      </w:r>
      <w:r w:rsidR="00C135BA" w:rsidRPr="00B1138B">
        <w:rPr>
          <w:rFonts w:ascii="Arial" w:hAnsi="Arial" w:cs="Arial"/>
          <w:sz w:val="22"/>
          <w:szCs w:val="22"/>
        </w:rPr>
        <w:instrText xml:space="preserve"> ADDIN ZOTERO_ITEM CSL_CITATION {"citationID":"AbcnykHJ","properties":{"formattedCitation":"\\super 5\\nosupersub{}","plainCitation":"5","noteIndex":0},"citationItems":[{"id":780,"uris":["http://zotero.org/users/local/p8g0WsVO/items/HXHHA77D"],"itemData":{"id":780,"type":"article-journal","container-title":"The Lancet","DOI":"10.1016/S0140-6736(13)62105-4","ISSN":"01406736","issue":"9908","language":"en","page":"1898-1955","source":"CrossRef","title":"Global health 2035: a world converging within a generation","title-short":"Global health 2035","URL":"http://linkinghub.elsevier.com/retrieve/pii/S0140673613621054","volume":"382","author":[{"family":"Jamison","given":"Dean T"},{"family":"Summers","given":"Lawrence H"},{"family":"Alleyne","given":"George"},{"family":"Arrow","given":"Kenneth J"},{"family":"Berkley","given":"Seth"},{"family":"Binagwaho","given":"Agnes"},{"family":"Bustreo","given":"Flavia"},{"family":"Evans","given":"David"},{"family":"Feachem","given":"Richard G A"},{"family":"Frenk","given":"Julio"},{"family":"Ghosh","given":"Gargee"},{"family":"Goldie","given":"Sue J"},{"family":"Guo","given":"Yan"},{"family":"Gupta","given":"Sanjeev"},{"family":"Horton","given":"Richard"},{"family":"Kruk","given":"Margaret E"},{"family":"Mahmoud","given":"Adel"},{"family":"Mohohlo","given":"Linah K"},{"family":"Ncube","given":"Mthuli"},{"family":"Pablos-Mendez","given":"Ariel"},{"family":"Reddy","given":"K Srinath"},{"family":"Saxenian","given":"Helen"},{"family":"Soucat","given":"Agnes"},{"family":"Ulltveit-Moe","given":"Karen H"},{"family":"Yamey","given":"Gavin"}],"accessed":{"date-parts":[["2017",5,6]]},"issued":{"date-parts":[["2013",12]]}}}],"schema":"https://github.com/citation-style-language/schema/raw/master/csl-citation.json"} </w:instrText>
      </w:r>
      <w:r w:rsidR="00C135BA" w:rsidRPr="00B1138B">
        <w:rPr>
          <w:rFonts w:ascii="Arial" w:hAnsi="Arial" w:cs="Arial"/>
          <w:sz w:val="22"/>
          <w:szCs w:val="22"/>
        </w:rPr>
        <w:fldChar w:fldCharType="separate"/>
      </w:r>
      <w:r w:rsidR="00C135BA" w:rsidRPr="00B1138B">
        <w:rPr>
          <w:rFonts w:ascii="Arial" w:hAnsi="Arial" w:cs="Arial"/>
          <w:sz w:val="22"/>
          <w:szCs w:val="22"/>
          <w:vertAlign w:val="superscript"/>
        </w:rPr>
        <w:t>5</w:t>
      </w:r>
      <w:r w:rsidR="00C135BA" w:rsidRPr="00B1138B">
        <w:rPr>
          <w:rFonts w:ascii="Arial" w:hAnsi="Arial" w:cs="Arial"/>
          <w:sz w:val="22"/>
          <w:szCs w:val="22"/>
        </w:rPr>
        <w:fldChar w:fldCharType="end"/>
      </w:r>
      <w:r w:rsidR="00C135BA" w:rsidRPr="00B1138B">
        <w:rPr>
          <w:rFonts w:ascii="Arial" w:hAnsi="Arial" w:cs="Arial"/>
          <w:sz w:val="22"/>
          <w:szCs w:val="22"/>
          <w:vertAlign w:val="superscript"/>
        </w:rPr>
        <w:t>,</w:t>
      </w:r>
      <w:r w:rsidR="00C135BA" w:rsidRPr="00B1138B">
        <w:rPr>
          <w:rFonts w:ascii="Arial" w:hAnsi="Arial" w:cs="Arial"/>
          <w:sz w:val="22"/>
          <w:szCs w:val="22"/>
        </w:rPr>
        <w:t xml:space="preserve"> </w:t>
      </w:r>
      <w:r w:rsidR="00C135BA" w:rsidRPr="00B1138B">
        <w:rPr>
          <w:rFonts w:ascii="Arial" w:hAnsi="Arial" w:cs="Arial"/>
          <w:sz w:val="22"/>
          <w:szCs w:val="22"/>
        </w:rPr>
        <w:fldChar w:fldCharType="begin"/>
      </w:r>
      <w:r w:rsidR="00C135BA" w:rsidRPr="00B1138B">
        <w:rPr>
          <w:rFonts w:ascii="Arial" w:hAnsi="Arial" w:cs="Arial"/>
          <w:sz w:val="22"/>
          <w:szCs w:val="22"/>
        </w:rPr>
        <w:instrText xml:space="preserve"> ADDIN ZOTERO_ITEM CSL_CITATION {"citationID":"7tpXVMoQ","properties":{"formattedCitation":"\\super 6\\nosupersub{}","plainCitation":"6","noteIndex":0},"citationItems":[{"id":29470,"uris":["http://zotero.org/users/local/p8g0WsVO/items/UKFYAGDH"],"itemData":{"id":29470,"type":"article-journal","abstract":"It is not widely recognized that conventional measures of national income and output exclude the value of improvements in the health status of the population. The present study discusses the theory of the measurement of national income, proposes a new concept called \"health income\" that can be used to incorporate improvements in health status, and applies the theory to data for the United States over the 20th century. It concludes that accounting for improvements in the health status would, over the twentieth century in the United States, make a substantial difference to our measures of economic welfare.","container-title":"The American Journal of Economics and Sociology","ISSN":"0002-9246","issue":"1","note":"publisher: [American Journal of Economics and Sociology, Inc., Wiley]","page":"367-392","source":"JSTOR","title":"Irving Fisher and the Contribution of Improved Longevity to Living Standards","URL":"https://www.jstor.org/stable/3488135","volume":"64","author":[{"family":"Nordhaus","given":"William D."}],"accessed":{"date-parts":[["2022",4,15]]},"issued":{"date-parts":[["2005"]]}}}],"schema":"https://github.com/citation-style-language/schema/raw/master/csl-citation.json"} </w:instrText>
      </w:r>
      <w:r w:rsidR="00C135BA" w:rsidRPr="00B1138B">
        <w:rPr>
          <w:rFonts w:ascii="Arial" w:hAnsi="Arial" w:cs="Arial"/>
          <w:sz w:val="22"/>
          <w:szCs w:val="22"/>
        </w:rPr>
        <w:fldChar w:fldCharType="separate"/>
      </w:r>
      <w:r w:rsidR="00C135BA" w:rsidRPr="00B1138B">
        <w:rPr>
          <w:rFonts w:ascii="Arial" w:hAnsi="Arial" w:cs="Arial"/>
          <w:sz w:val="22"/>
          <w:szCs w:val="22"/>
          <w:vertAlign w:val="superscript"/>
        </w:rPr>
        <w:t>6</w:t>
      </w:r>
      <w:r w:rsidR="00C135BA" w:rsidRPr="00B1138B">
        <w:rPr>
          <w:rFonts w:ascii="Arial" w:hAnsi="Arial" w:cs="Arial"/>
          <w:sz w:val="22"/>
          <w:szCs w:val="22"/>
        </w:rPr>
        <w:fldChar w:fldCharType="end"/>
      </w:r>
      <w:r w:rsidR="00FA2414" w:rsidRPr="00B1138B">
        <w:rPr>
          <w:rFonts w:ascii="Arial" w:hAnsi="Arial" w:cs="Arial"/>
          <w:sz w:val="22"/>
          <w:szCs w:val="22"/>
        </w:rPr>
        <w:t>, which we extracted from the US Bureau of Economic Analysis</w:t>
      </w:r>
      <w:r w:rsidR="00CF2FD9" w:rsidRPr="00B1138B">
        <w:rPr>
          <w:rFonts w:ascii="Arial" w:hAnsi="Arial" w:cs="Arial"/>
          <w:sz w:val="22"/>
          <w:szCs w:val="22"/>
        </w:rPr>
        <w:fldChar w:fldCharType="begin"/>
      </w:r>
      <w:r w:rsidR="00CF2FD9" w:rsidRPr="00B1138B">
        <w:rPr>
          <w:rFonts w:ascii="Arial" w:hAnsi="Arial" w:cs="Arial"/>
          <w:sz w:val="22"/>
          <w:szCs w:val="22"/>
        </w:rPr>
        <w:instrText xml:space="preserve"> ADDIN ZOTERO_ITEM CSL_CITATION {"citationID":"ZmPZoIP8","properties":{"formattedCitation":"\\super 7\\nosupersub{}","plainCitation":"7","noteIndex":0},"citationItems":[{"id":29517,"uris":["http://zotero.org/users/local/p8g0WsVO/items/96AVKDUV"],"itemData":{"id":29517,"type":"webpage","title":"U.S. Bureau of Economic Analysis (BEA), Gross Domestic Product, Table 1. Real Gross Domestic Product and Related Measures: Percent Change from Preceding Period.","URL":"https://www.bea.gov/data/gdp/gross-domestic-product","author":[{"family":"U.S. Bureau of Economic Analysis","given":""}],"accessed":{"date-parts":[["2022",5,16]]}}}],"schema":"https://github.com/citation-style-language/schema/raw/master/csl-citation.json"} </w:instrText>
      </w:r>
      <w:r w:rsidR="00CF2FD9" w:rsidRPr="00B1138B">
        <w:rPr>
          <w:rFonts w:ascii="Arial" w:hAnsi="Arial" w:cs="Arial"/>
          <w:sz w:val="22"/>
          <w:szCs w:val="22"/>
        </w:rPr>
        <w:fldChar w:fldCharType="separate"/>
      </w:r>
      <w:r w:rsidR="00CF2FD9" w:rsidRPr="00B1138B">
        <w:rPr>
          <w:rFonts w:ascii="Arial" w:hAnsi="Arial" w:cs="Arial"/>
          <w:sz w:val="22"/>
          <w:szCs w:val="22"/>
          <w:vertAlign w:val="superscript"/>
        </w:rPr>
        <w:t>7</w:t>
      </w:r>
      <w:r w:rsidR="00CF2FD9" w:rsidRPr="00B1138B">
        <w:rPr>
          <w:rFonts w:ascii="Arial" w:hAnsi="Arial" w:cs="Arial"/>
          <w:sz w:val="22"/>
          <w:szCs w:val="22"/>
        </w:rPr>
        <w:fldChar w:fldCharType="end"/>
      </w:r>
      <w:r w:rsidR="00FA2414" w:rsidRPr="00B1138B">
        <w:rPr>
          <w:rFonts w:ascii="Arial" w:hAnsi="Arial" w:cs="Arial"/>
          <w:sz w:val="22"/>
          <w:szCs w:val="22"/>
        </w:rPr>
        <w:t xml:space="preserve"> and the Institute for Health Metrics and Evaluation</w:t>
      </w:r>
      <w:r w:rsidR="00CF2FD9" w:rsidRPr="00B1138B">
        <w:rPr>
          <w:rFonts w:ascii="Arial" w:hAnsi="Arial" w:cs="Arial"/>
          <w:sz w:val="22"/>
          <w:szCs w:val="22"/>
        </w:rPr>
        <w:fldChar w:fldCharType="begin"/>
      </w:r>
      <w:r w:rsidR="00CF2FD9" w:rsidRPr="00B1138B">
        <w:rPr>
          <w:rFonts w:ascii="Arial" w:hAnsi="Arial" w:cs="Arial"/>
          <w:sz w:val="22"/>
          <w:szCs w:val="22"/>
        </w:rPr>
        <w:instrText xml:space="preserve"> ADDIN ZOTERO_ITEM CSL_CITATION {"citationID":"GSGIkfkM","properties":{"formattedCitation":"\\super 8\\nosupersub{}","plainCitation":"8","noteIndex":0},"citationItems":[{"id":29519,"uris":["http://zotero.org/users/local/p8g0WsVO/items/VS54QJPC"],"itemData":{"id":29519,"type":"document","abstract":"Research by the Global Burden of Disease Health Financing Collaborator Network produced estimates for Gross Domestic Product (GDP) from 1960-2050. Estimates are reported as GDP per person in constant 2020 purchasing-power parity-adjusted (PPP) dollars.","note":"type: dataset\nDOI: 10.6069/WC70-FC19","publisher":"Institute for Health Metrics and Evaluation (IHME)","source":"DOI.org (Datacite)","title":"Gross Domestic Product Per Capita 1960-2050","URL":"http://ghdx.healthdata.org/record/ihme-data/global-gdp-per-capita-1960-2050","author":[{"family":"Global Burden of Disease Collaborative Network","given":""}],"accessed":{"date-parts":[["2022",5,16]]},"issued":{"date-parts":[["2021"]]}}}],"schema":"https://github.com/citation-style-language/schema/raw/master/csl-citation.json"} </w:instrText>
      </w:r>
      <w:r w:rsidR="00CF2FD9" w:rsidRPr="00B1138B">
        <w:rPr>
          <w:rFonts w:ascii="Arial" w:hAnsi="Arial" w:cs="Arial"/>
          <w:sz w:val="22"/>
          <w:szCs w:val="22"/>
        </w:rPr>
        <w:fldChar w:fldCharType="separate"/>
      </w:r>
      <w:r w:rsidR="00CF2FD9" w:rsidRPr="00B1138B">
        <w:rPr>
          <w:rFonts w:ascii="Arial" w:hAnsi="Arial" w:cs="Arial"/>
          <w:sz w:val="22"/>
          <w:szCs w:val="22"/>
          <w:vertAlign w:val="superscript"/>
        </w:rPr>
        <w:t>8</w:t>
      </w:r>
      <w:r w:rsidR="00CF2FD9" w:rsidRPr="00B1138B">
        <w:rPr>
          <w:rFonts w:ascii="Arial" w:hAnsi="Arial" w:cs="Arial"/>
          <w:sz w:val="22"/>
          <w:szCs w:val="22"/>
        </w:rPr>
        <w:fldChar w:fldCharType="end"/>
      </w:r>
      <w:r w:rsidR="00FA2414" w:rsidRPr="00B1138B">
        <w:rPr>
          <w:rFonts w:ascii="Arial" w:hAnsi="Arial" w:cs="Arial"/>
          <w:sz w:val="22"/>
          <w:szCs w:val="22"/>
        </w:rPr>
        <w:t>.</w:t>
      </w:r>
      <w:r w:rsidRPr="00B1138B">
        <w:rPr>
          <w:rFonts w:ascii="Arial" w:hAnsi="Arial" w:cs="Arial"/>
          <w:sz w:val="22"/>
          <w:szCs w:val="22"/>
        </w:rPr>
        <w:t xml:space="preserve"> </w:t>
      </w:r>
    </w:p>
    <w:p w14:paraId="02757E32" w14:textId="58FF1C98" w:rsidR="00B46FED" w:rsidRPr="00B1138B" w:rsidRDefault="00B46FED" w:rsidP="00FC79BD">
      <w:pPr>
        <w:jc w:val="both"/>
        <w:rPr>
          <w:rFonts w:ascii="Arial" w:hAnsi="Arial" w:cs="Arial"/>
          <w:sz w:val="22"/>
          <w:szCs w:val="22"/>
        </w:rPr>
      </w:pPr>
    </w:p>
    <w:p w14:paraId="4F554BAF" w14:textId="04BD770F" w:rsidR="008D27D4" w:rsidRPr="00B1138B" w:rsidRDefault="008D27D4" w:rsidP="00FC79BD">
      <w:pPr>
        <w:jc w:val="both"/>
        <w:rPr>
          <w:rFonts w:ascii="Arial" w:hAnsi="Arial" w:cs="Arial"/>
          <w:sz w:val="22"/>
          <w:szCs w:val="22"/>
        </w:rPr>
      </w:pPr>
      <w:r w:rsidRPr="00B1138B">
        <w:rPr>
          <w:rFonts w:ascii="Arial" w:hAnsi="Arial" w:cs="Arial"/>
          <w:sz w:val="22"/>
          <w:szCs w:val="22"/>
        </w:rPr>
        <w:t xml:space="preserve">We also valued the excess mortality risk using the more commonly used value of a statistical life (VSL), </w:t>
      </w:r>
      <w:r w:rsidR="004E5DD6">
        <w:rPr>
          <w:rFonts w:ascii="Arial" w:hAnsi="Arial" w:cs="Arial"/>
          <w:sz w:val="22"/>
          <w:szCs w:val="22"/>
        </w:rPr>
        <w:t>using</w:t>
      </w:r>
      <w:r w:rsidRPr="00B1138B">
        <w:rPr>
          <w:rFonts w:ascii="Arial" w:hAnsi="Arial" w:cs="Arial"/>
          <w:sz w:val="22"/>
          <w:szCs w:val="22"/>
        </w:rPr>
        <w:t xml:space="preserve"> the value recommended by the U.S. Department of Health and Human Services</w:t>
      </w:r>
      <w:r w:rsidR="00711102">
        <w:rPr>
          <w:rFonts w:ascii="Arial" w:hAnsi="Arial" w:cs="Arial"/>
          <w:sz w:val="22"/>
          <w:szCs w:val="22"/>
        </w:rPr>
        <w:t xml:space="preserve"> (HHS)</w:t>
      </w:r>
      <w:r w:rsidRPr="00B1138B">
        <w:rPr>
          <w:rFonts w:ascii="Arial" w:hAnsi="Arial" w:cs="Arial"/>
          <w:sz w:val="22"/>
          <w:szCs w:val="22"/>
        </w:rPr>
        <w:t xml:space="preserve"> for 2022</w:t>
      </w:r>
      <w:r w:rsidRPr="00B1138B">
        <w:rPr>
          <w:rFonts w:ascii="Arial" w:hAnsi="Arial" w:cs="Arial"/>
          <w:sz w:val="22"/>
          <w:szCs w:val="22"/>
        </w:rPr>
        <w:fldChar w:fldCharType="begin"/>
      </w:r>
      <w:r w:rsidRPr="00B1138B">
        <w:rPr>
          <w:rFonts w:ascii="Arial" w:hAnsi="Arial" w:cs="Arial"/>
          <w:sz w:val="22"/>
          <w:szCs w:val="22"/>
        </w:rPr>
        <w:instrText xml:space="preserve"> ADDIN ZOTERO_ITEM CSL_CITATION {"citationID":"3zoxKrpr","properties":{"formattedCitation":"\\super 9\\nosupersub{}","plainCitation":"9","noteIndex":0},"citationItems":[{"id":29465,"uris":["http://zotero.org/users/local/p8g0WsVO/items/8T7PBU4F"],"itemData":{"id":29465,"type":"webpage","abstract":"The HHS Guidelines for Regulatory Impact Analysis (2016) discuss an approach to valuing mortality risk reductions, commonly referred to as the value per statistical life (VSL).","container-title":"ASPE","language":"en","title":"Appendix D: Updating Value per Statistical Life (VSL) Estimates for Inflation and Changes in Real Income","title-short":"Appendix D","URL":"https://aspe.hhs.gov/reports/updating-vsl-estimates","author":[{"family":"U.S. Department of Health and Human Services","given":""}],"accessed":{"date-parts":[["2022",4,15]]}}}],"schema":"https://github.com/citation-style-language/schema/raw/master/csl-citation.json"} </w:instrText>
      </w:r>
      <w:r w:rsidRPr="00B1138B">
        <w:rPr>
          <w:rFonts w:ascii="Arial" w:hAnsi="Arial" w:cs="Arial"/>
          <w:sz w:val="22"/>
          <w:szCs w:val="22"/>
        </w:rPr>
        <w:fldChar w:fldCharType="separate"/>
      </w:r>
      <w:r w:rsidRPr="00B1138B">
        <w:rPr>
          <w:rFonts w:ascii="Arial" w:hAnsi="Arial" w:cs="Arial"/>
          <w:sz w:val="22"/>
          <w:szCs w:val="22"/>
          <w:vertAlign w:val="superscript"/>
        </w:rPr>
        <w:t>9</w:t>
      </w:r>
      <w:r w:rsidRPr="00B1138B">
        <w:rPr>
          <w:rFonts w:ascii="Arial" w:hAnsi="Arial" w:cs="Arial"/>
          <w:sz w:val="22"/>
          <w:szCs w:val="22"/>
        </w:rPr>
        <w:fldChar w:fldCharType="end"/>
      </w:r>
      <w:r w:rsidRPr="00B1138B">
        <w:rPr>
          <w:rFonts w:ascii="Arial" w:hAnsi="Arial" w:cs="Arial"/>
          <w:sz w:val="22"/>
          <w:szCs w:val="22"/>
        </w:rPr>
        <w:t xml:space="preserve">. VSL values are generally based on estimates from working adults, based on their trade-off of wages and occupational risks. </w:t>
      </w:r>
      <w:r w:rsidR="00E74DEB">
        <w:rPr>
          <w:rFonts w:ascii="Arial" w:hAnsi="Arial" w:cs="Arial"/>
          <w:sz w:val="22"/>
          <w:szCs w:val="22"/>
        </w:rPr>
        <w:t>I</w:t>
      </w:r>
      <w:r w:rsidRPr="00B1138B">
        <w:rPr>
          <w:rFonts w:ascii="Arial" w:hAnsi="Arial" w:cs="Arial"/>
          <w:sz w:val="22"/>
          <w:szCs w:val="22"/>
        </w:rPr>
        <w:t xml:space="preserve">n </w:t>
      </w:r>
      <w:r w:rsidR="00E74DEB">
        <w:rPr>
          <w:rFonts w:ascii="Arial" w:hAnsi="Arial" w:cs="Arial"/>
          <w:sz w:val="22"/>
          <w:szCs w:val="22"/>
        </w:rPr>
        <w:t>older ages</w:t>
      </w:r>
      <w:r w:rsidRPr="00B1138B">
        <w:rPr>
          <w:rFonts w:ascii="Arial" w:hAnsi="Arial" w:cs="Arial"/>
          <w:sz w:val="22"/>
          <w:szCs w:val="22"/>
        </w:rPr>
        <w:t>, the value of the mortality risk reduction should be less as fewer years of life expectancy remain</w:t>
      </w:r>
      <w:r w:rsidR="004E5DD6">
        <w:rPr>
          <w:rFonts w:ascii="Arial" w:hAnsi="Arial" w:cs="Arial"/>
          <w:sz w:val="22"/>
          <w:szCs w:val="22"/>
        </w:rPr>
        <w:t xml:space="preserve"> whereas</w:t>
      </w:r>
      <w:r w:rsidRPr="00B1138B">
        <w:rPr>
          <w:rFonts w:ascii="Arial" w:hAnsi="Arial" w:cs="Arial"/>
          <w:sz w:val="22"/>
          <w:szCs w:val="22"/>
        </w:rPr>
        <w:t xml:space="preserve"> in </w:t>
      </w:r>
      <w:r w:rsidR="00E74DEB">
        <w:rPr>
          <w:rFonts w:ascii="Arial" w:hAnsi="Arial" w:cs="Arial"/>
          <w:sz w:val="22"/>
          <w:szCs w:val="22"/>
        </w:rPr>
        <w:t>younger ages</w:t>
      </w:r>
      <w:r w:rsidRPr="00B1138B">
        <w:rPr>
          <w:rFonts w:ascii="Arial" w:hAnsi="Arial" w:cs="Arial"/>
          <w:sz w:val="22"/>
          <w:szCs w:val="22"/>
        </w:rPr>
        <w:t>, the value of the mortality risk reduction should be greater as more years of life expectancy remain. The use of a constant VSL value over values mortality at older ages while under valuing mortality in younger ages.</w:t>
      </w:r>
    </w:p>
    <w:p w14:paraId="5915D7A7" w14:textId="77777777" w:rsidR="008D27D4" w:rsidRPr="00B1138B" w:rsidRDefault="008D27D4" w:rsidP="00FC79BD">
      <w:pPr>
        <w:jc w:val="both"/>
        <w:rPr>
          <w:rFonts w:ascii="Arial" w:hAnsi="Arial" w:cs="Arial"/>
          <w:sz w:val="22"/>
          <w:szCs w:val="22"/>
        </w:rPr>
      </w:pPr>
    </w:p>
    <w:p w14:paraId="4DF8D35A" w14:textId="38F80634" w:rsidR="008D27D4" w:rsidRPr="00B1138B" w:rsidRDefault="008D27D4" w:rsidP="00FC79BD">
      <w:pPr>
        <w:jc w:val="both"/>
        <w:rPr>
          <w:rFonts w:ascii="Arial" w:hAnsi="Arial" w:cs="Arial"/>
          <w:sz w:val="22"/>
          <w:szCs w:val="22"/>
        </w:rPr>
      </w:pPr>
      <w:r w:rsidRPr="00B1138B">
        <w:rPr>
          <w:rFonts w:ascii="Arial" w:hAnsi="Arial" w:cs="Arial"/>
          <w:sz w:val="22"/>
          <w:szCs w:val="22"/>
        </w:rPr>
        <w:t xml:space="preserve">To account for this limitation, we used the age-specific values calculated by </w:t>
      </w:r>
      <w:proofErr w:type="spellStart"/>
      <w:r w:rsidRPr="00B1138B">
        <w:rPr>
          <w:rFonts w:ascii="Arial" w:hAnsi="Arial" w:cs="Arial"/>
          <w:sz w:val="22"/>
          <w:szCs w:val="22"/>
        </w:rPr>
        <w:t>Aldy</w:t>
      </w:r>
      <w:proofErr w:type="spellEnd"/>
      <w:r w:rsidRPr="00B1138B">
        <w:rPr>
          <w:rFonts w:ascii="Arial" w:hAnsi="Arial" w:cs="Arial"/>
          <w:sz w:val="22"/>
          <w:szCs w:val="22"/>
        </w:rPr>
        <w:t xml:space="preserve"> and </w:t>
      </w:r>
      <w:proofErr w:type="spellStart"/>
      <w:r w:rsidRPr="00B1138B">
        <w:rPr>
          <w:rFonts w:ascii="Arial" w:hAnsi="Arial" w:cs="Arial"/>
          <w:sz w:val="22"/>
          <w:szCs w:val="22"/>
        </w:rPr>
        <w:t>Viscusi</w:t>
      </w:r>
      <w:proofErr w:type="spellEnd"/>
      <w:r w:rsidRPr="00B1138B">
        <w:rPr>
          <w:rFonts w:ascii="Arial" w:hAnsi="Arial" w:cs="Arial"/>
          <w:sz w:val="22"/>
          <w:szCs w:val="22"/>
        </w:rPr>
        <w:t xml:space="preserve"> for 2000</w:t>
      </w:r>
      <w:r w:rsidRPr="00B1138B">
        <w:rPr>
          <w:rFonts w:ascii="Arial" w:hAnsi="Arial" w:cs="Arial"/>
          <w:sz w:val="22"/>
          <w:szCs w:val="22"/>
        </w:rPr>
        <w:fldChar w:fldCharType="begin"/>
      </w:r>
      <w:r w:rsidRPr="00B1138B">
        <w:rPr>
          <w:rFonts w:ascii="Arial" w:hAnsi="Arial" w:cs="Arial"/>
          <w:sz w:val="22"/>
          <w:szCs w:val="22"/>
        </w:rPr>
        <w:instrText xml:space="preserve"> ADDIN ZOTERO_ITEM CSL_CITATION {"citationID":"W9hvsTG4","properties":{"formattedCitation":"\\super 10\\nosupersub{}","plainCitation":"10","noteIndex":0},"citationItems":[{"id":29467,"uris":["http://zotero.org/users/local/p8g0WsVO/items/32RTQMEP"],"itemData":{"id":29467,"type":"article-journal","abstract":"To resolve the theoretical ambiguity in the effect of age on the value of statistical life (VSL), this article uses a novel, age-dependent fatal risk measure to estimate age-specific hedonic wage regressions. VSL exhibits an inverted-U-shaped relationship with age. In the year 2000 cross section, workers' VSL rises from $3.7 million (ages 18-24) to $9.7 million (35-44), and declines to $3.4 million (55-62). Controlling for birth-year cohort effects in a minimum distance estimator yields a peak VSL of $7.8 million at age 46, and flattens the age-VSL relationship. The value of statistical life-year also follows an inverted-U shape with age.","container-title":"The Review of Economics and Statistics","ISSN":"0034-6535","issue":"3","note":"publisher: The MIT Press","page":"573-581","source":"JSTOR","title":"Adjusting the Value of a Statistical Life for Age and Cohort Effects","URL":"https://www.jstor.org/stable/40043167","volume":"90","author":[{"family":"Aldy","given":"Joseph E."},{"family":"Viscusi","given":"W. Kip"}],"accessed":{"date-parts":[["2022",4,15]]},"issued":{"date-parts":[["2008"]]}}}],"schema":"https://github.com/citation-style-language/schema/raw/master/csl-citation.json"} </w:instrText>
      </w:r>
      <w:r w:rsidRPr="00B1138B">
        <w:rPr>
          <w:rFonts w:ascii="Arial" w:hAnsi="Arial" w:cs="Arial"/>
          <w:sz w:val="22"/>
          <w:szCs w:val="22"/>
        </w:rPr>
        <w:fldChar w:fldCharType="separate"/>
      </w:r>
      <w:r w:rsidRPr="00B1138B">
        <w:rPr>
          <w:rFonts w:ascii="Arial" w:hAnsi="Arial" w:cs="Arial"/>
          <w:sz w:val="22"/>
          <w:szCs w:val="22"/>
          <w:vertAlign w:val="superscript"/>
        </w:rPr>
        <w:t>10</w:t>
      </w:r>
      <w:r w:rsidRPr="00B1138B">
        <w:rPr>
          <w:rFonts w:ascii="Arial" w:hAnsi="Arial" w:cs="Arial"/>
          <w:sz w:val="22"/>
          <w:szCs w:val="22"/>
        </w:rPr>
        <w:fldChar w:fldCharType="end"/>
      </w:r>
      <w:r w:rsidRPr="00B1138B">
        <w:rPr>
          <w:rFonts w:ascii="Arial" w:hAnsi="Arial" w:cs="Arial"/>
          <w:sz w:val="22"/>
          <w:szCs w:val="22"/>
        </w:rPr>
        <w:t xml:space="preserve">, which we adjusted for </w:t>
      </w:r>
      <w:r w:rsidR="00707D22" w:rsidRPr="00B1138B">
        <w:rPr>
          <w:rFonts w:ascii="Arial" w:hAnsi="Arial" w:cs="Arial"/>
          <w:sz w:val="22"/>
          <w:szCs w:val="22"/>
        </w:rPr>
        <w:t xml:space="preserve">real </w:t>
      </w:r>
      <w:r w:rsidRPr="00B1138B">
        <w:rPr>
          <w:rFonts w:ascii="Arial" w:hAnsi="Arial" w:cs="Arial"/>
          <w:sz w:val="22"/>
          <w:szCs w:val="22"/>
        </w:rPr>
        <w:t>income</w:t>
      </w:r>
      <w:r w:rsidR="00516702" w:rsidRPr="00B1138B">
        <w:rPr>
          <w:rFonts w:ascii="Arial" w:hAnsi="Arial" w:cs="Arial"/>
          <w:sz w:val="22"/>
          <w:szCs w:val="22"/>
        </w:rPr>
        <w:fldChar w:fldCharType="begin"/>
      </w:r>
      <w:r w:rsidR="00516702" w:rsidRPr="00B1138B">
        <w:rPr>
          <w:rFonts w:ascii="Arial" w:hAnsi="Arial" w:cs="Arial"/>
          <w:sz w:val="22"/>
          <w:szCs w:val="22"/>
        </w:rPr>
        <w:instrText xml:space="preserve"> ADDIN ZOTERO_ITEM CSL_CITATION {"citationID":"JoSpTtww","properties":{"formattedCitation":"\\super 11\\nosupersub{}","plainCitation":"11","noteIndex":0},"citationItems":[{"id":29520,"uris":["http://zotero.org/users/local/p8g0WsVO/items/EL8C2G4G"],"itemData":{"id":29520,"type":"webpage","language":"en","title":"U.S. Bureau of Labor Statistics, Table 2. Median usual weekly earnings of full-time wage and salary workers, not seasonally adjusted","URL":"https://www.bls.gov/webapps/legacy/cpswktab2.htm","author":[{"family":"U.S. Bureau of Labor Statistics","given":""}],"accessed":{"date-parts":[["2022",5,16]]}}}],"schema":"https://github.com/citation-style-language/schema/raw/master/csl-citation.json"} </w:instrText>
      </w:r>
      <w:r w:rsidR="00516702" w:rsidRPr="00B1138B">
        <w:rPr>
          <w:rFonts w:ascii="Arial" w:hAnsi="Arial" w:cs="Arial"/>
          <w:sz w:val="22"/>
          <w:szCs w:val="22"/>
        </w:rPr>
        <w:fldChar w:fldCharType="separate"/>
      </w:r>
      <w:r w:rsidR="00516702" w:rsidRPr="00B1138B">
        <w:rPr>
          <w:rFonts w:ascii="Arial" w:hAnsi="Arial" w:cs="Arial"/>
          <w:sz w:val="22"/>
          <w:szCs w:val="22"/>
          <w:vertAlign w:val="superscript"/>
        </w:rPr>
        <w:t>11</w:t>
      </w:r>
      <w:r w:rsidR="00516702" w:rsidRPr="00B1138B">
        <w:rPr>
          <w:rFonts w:ascii="Arial" w:hAnsi="Arial" w:cs="Arial"/>
          <w:sz w:val="22"/>
          <w:szCs w:val="22"/>
        </w:rPr>
        <w:fldChar w:fldCharType="end"/>
      </w:r>
      <w:r w:rsidR="00707D22" w:rsidRPr="00B1138B">
        <w:rPr>
          <w:rFonts w:ascii="Arial" w:hAnsi="Arial" w:cs="Arial"/>
          <w:sz w:val="22"/>
          <w:szCs w:val="22"/>
        </w:rPr>
        <w:t xml:space="preserve"> </w:t>
      </w:r>
      <w:r w:rsidRPr="00B1138B">
        <w:rPr>
          <w:rFonts w:ascii="Arial" w:hAnsi="Arial" w:cs="Arial"/>
          <w:sz w:val="22"/>
          <w:szCs w:val="22"/>
        </w:rPr>
        <w:t xml:space="preserve">and inflation </w:t>
      </w:r>
      <w:r w:rsidR="00707D22" w:rsidRPr="00B1138B">
        <w:rPr>
          <w:rFonts w:ascii="Arial" w:hAnsi="Arial" w:cs="Arial"/>
          <w:sz w:val="22"/>
          <w:szCs w:val="22"/>
        </w:rPr>
        <w:t>(using the corresponding consumer price indices</w:t>
      </w:r>
      <w:r w:rsidR="00516702" w:rsidRPr="00B1138B">
        <w:rPr>
          <w:rFonts w:ascii="Arial" w:hAnsi="Arial" w:cs="Arial"/>
          <w:sz w:val="22"/>
          <w:szCs w:val="22"/>
        </w:rPr>
        <w:fldChar w:fldCharType="begin"/>
      </w:r>
      <w:r w:rsidR="00516702" w:rsidRPr="00B1138B">
        <w:rPr>
          <w:rFonts w:ascii="Arial" w:hAnsi="Arial" w:cs="Arial"/>
          <w:sz w:val="22"/>
          <w:szCs w:val="22"/>
        </w:rPr>
        <w:instrText xml:space="preserve"> ADDIN ZOTERO_ITEM CSL_CITATION {"citationID":"YNOLiT5g","properties":{"formattedCitation":"\\super 12\\nosupersub{}","plainCitation":"12","noteIndex":0},"citationItems":[{"id":29522,"uris":["http://zotero.org/users/local/p8g0WsVO/items/A7F695SE"],"itemData":{"id":29522,"type":"webpage","abstract":"Consumer Price Index (CPI)","language":"en","title":"U.S. Bureau of Labor Statistics: Consumer Price Index (CPI) Databases","title-short":"Consumer Price Index (CPI) Databases","URL":"https://www.bls.gov/cpi/data.htm","author":[{"family":"U.S. Bureau of Labor Statistics","given":""}],"accessed":{"date-parts":[["2022",5,16]]}}}],"schema":"https://github.com/citation-style-language/schema/raw/master/csl-citation.json"} </w:instrText>
      </w:r>
      <w:r w:rsidR="00516702" w:rsidRPr="00B1138B">
        <w:rPr>
          <w:rFonts w:ascii="Arial" w:hAnsi="Arial" w:cs="Arial"/>
          <w:sz w:val="22"/>
          <w:szCs w:val="22"/>
        </w:rPr>
        <w:fldChar w:fldCharType="separate"/>
      </w:r>
      <w:r w:rsidR="00516702" w:rsidRPr="00B1138B">
        <w:rPr>
          <w:rFonts w:ascii="Arial" w:hAnsi="Arial" w:cs="Arial"/>
          <w:sz w:val="22"/>
          <w:szCs w:val="22"/>
          <w:vertAlign w:val="superscript"/>
        </w:rPr>
        <w:t>12</w:t>
      </w:r>
      <w:r w:rsidR="00516702" w:rsidRPr="00B1138B">
        <w:rPr>
          <w:rFonts w:ascii="Arial" w:hAnsi="Arial" w:cs="Arial"/>
          <w:sz w:val="22"/>
          <w:szCs w:val="22"/>
        </w:rPr>
        <w:fldChar w:fldCharType="end"/>
      </w:r>
      <w:r w:rsidR="00707D22" w:rsidRPr="00B1138B">
        <w:rPr>
          <w:rFonts w:ascii="Arial" w:hAnsi="Arial" w:cs="Arial"/>
          <w:sz w:val="22"/>
          <w:szCs w:val="22"/>
        </w:rPr>
        <w:t xml:space="preserve">), </w:t>
      </w:r>
      <w:r w:rsidRPr="00B1138B">
        <w:rPr>
          <w:rFonts w:ascii="Arial" w:hAnsi="Arial" w:cs="Arial"/>
          <w:sz w:val="22"/>
          <w:szCs w:val="22"/>
        </w:rPr>
        <w:t>assuming an income elasticity of 1, then adjusted upwards by the ratio of the HHS recommended VSL for 2022</w:t>
      </w:r>
      <w:r w:rsidRPr="00B1138B">
        <w:rPr>
          <w:rFonts w:ascii="Arial" w:hAnsi="Arial" w:cs="Arial"/>
          <w:sz w:val="22"/>
          <w:szCs w:val="22"/>
        </w:rPr>
        <w:fldChar w:fldCharType="begin"/>
      </w:r>
      <w:r w:rsidRPr="00B1138B">
        <w:rPr>
          <w:rFonts w:ascii="Arial" w:hAnsi="Arial" w:cs="Arial"/>
          <w:sz w:val="22"/>
          <w:szCs w:val="22"/>
        </w:rPr>
        <w:instrText xml:space="preserve"> ADDIN ZOTERO_ITEM CSL_CITATION {"citationID":"gK3SbntX","properties":{"formattedCitation":"\\super 9\\nosupersub{}","plainCitation":"9","noteIndex":0},"citationItems":[{"id":29465,"uris":["http://zotero.org/users/local/p8g0WsVO/items/8T7PBU4F"],"itemData":{"id":29465,"type":"webpage","abstract":"The HHS Guidelines for Regulatory Impact Analysis (2016) discuss an approach to valuing mortality risk reductions, commonly referred to as the value per statistical life (VSL).","container-title":"ASPE","language":"en","title":"Appendix D: Updating Value per Statistical Life (VSL) Estimates for Inflation and Changes in Real Income","title-short":"Appendix D","URL":"https://aspe.hhs.gov/reports/updating-vsl-estimates","author":[{"family":"U.S. Department of Health and Human Services","given":""}],"accessed":{"date-parts":[["2022",4,15]]}}}],"schema":"https://github.com/citation-style-language/schema/raw/master/csl-citation.json"} </w:instrText>
      </w:r>
      <w:r w:rsidRPr="00B1138B">
        <w:rPr>
          <w:rFonts w:ascii="Arial" w:hAnsi="Arial" w:cs="Arial"/>
          <w:sz w:val="22"/>
          <w:szCs w:val="22"/>
        </w:rPr>
        <w:fldChar w:fldCharType="separate"/>
      </w:r>
      <w:r w:rsidRPr="00B1138B">
        <w:rPr>
          <w:rFonts w:ascii="Arial" w:hAnsi="Arial" w:cs="Arial"/>
          <w:sz w:val="22"/>
          <w:szCs w:val="22"/>
          <w:vertAlign w:val="superscript"/>
        </w:rPr>
        <w:t>9</w:t>
      </w:r>
      <w:r w:rsidRPr="00B1138B">
        <w:rPr>
          <w:rFonts w:ascii="Arial" w:hAnsi="Arial" w:cs="Arial"/>
          <w:sz w:val="22"/>
          <w:szCs w:val="22"/>
        </w:rPr>
        <w:fldChar w:fldCharType="end"/>
      </w:r>
      <w:r w:rsidRPr="00B1138B">
        <w:rPr>
          <w:rFonts w:ascii="Arial" w:hAnsi="Arial" w:cs="Arial"/>
          <w:sz w:val="22"/>
          <w:szCs w:val="22"/>
        </w:rPr>
        <w:t xml:space="preserve">. </w:t>
      </w:r>
      <w:r w:rsidR="004E5DD6">
        <w:rPr>
          <w:rFonts w:ascii="Arial" w:hAnsi="Arial" w:cs="Arial"/>
          <w:sz w:val="22"/>
          <w:szCs w:val="22"/>
        </w:rPr>
        <w:t>Additionally, t</w:t>
      </w:r>
      <w:r w:rsidR="00C9078D" w:rsidRPr="00B1138B">
        <w:rPr>
          <w:rFonts w:ascii="Arial" w:hAnsi="Arial" w:cs="Arial"/>
          <w:sz w:val="22"/>
          <w:szCs w:val="22"/>
        </w:rPr>
        <w:t>o account for the life expectancy experience of each racial and ethnic group, we</w:t>
      </w:r>
      <w:r w:rsidR="00E65513" w:rsidRPr="00B1138B">
        <w:rPr>
          <w:rFonts w:ascii="Arial" w:hAnsi="Arial" w:cs="Arial"/>
          <w:sz w:val="22"/>
          <w:szCs w:val="22"/>
        </w:rPr>
        <w:t xml:space="preserve"> </w:t>
      </w:r>
      <w:r w:rsidRPr="00B1138B">
        <w:rPr>
          <w:rFonts w:ascii="Arial" w:hAnsi="Arial" w:cs="Arial"/>
          <w:sz w:val="22"/>
          <w:szCs w:val="22"/>
        </w:rPr>
        <w:t>calculat</w:t>
      </w:r>
      <w:r w:rsidR="00C9078D" w:rsidRPr="00B1138B">
        <w:rPr>
          <w:rFonts w:ascii="Arial" w:hAnsi="Arial" w:cs="Arial"/>
          <w:sz w:val="22"/>
          <w:szCs w:val="22"/>
        </w:rPr>
        <w:t>ed</w:t>
      </w:r>
      <w:r w:rsidRPr="00B1138B">
        <w:rPr>
          <w:rFonts w:ascii="Arial" w:hAnsi="Arial" w:cs="Arial"/>
          <w:sz w:val="22"/>
          <w:szCs w:val="22"/>
        </w:rPr>
        <w:t xml:space="preserve"> a race/ethnic group and age specific Value of a Statistical Life Year (VSLY) by dividing the HHS recommended VSL value by the discounted remaining life expectancy for the population in each ethnic group</w:t>
      </w:r>
      <w:r w:rsidRPr="00B1138B">
        <w:rPr>
          <w:rFonts w:ascii="Arial" w:hAnsi="Arial" w:cs="Arial"/>
          <w:sz w:val="22"/>
          <w:szCs w:val="22"/>
        </w:rPr>
        <w:fldChar w:fldCharType="begin"/>
      </w:r>
      <w:r w:rsidR="00516702" w:rsidRPr="00B1138B">
        <w:rPr>
          <w:rFonts w:ascii="Arial" w:hAnsi="Arial" w:cs="Arial"/>
          <w:sz w:val="22"/>
          <w:szCs w:val="22"/>
        </w:rPr>
        <w:instrText xml:space="preserve"> ADDIN ZOTERO_ITEM CSL_CITATION {"citationID":"zvym9FOs","properties":{"formattedCitation":"\\super 13\\nosupersub{}","plainCitation":"13","noteIndex":0},"citationItems":[{"id":29485,"uris":["http://zotero.org/users/local/p8g0WsVO/items/2RK25D7F"],"itemData":{"id":29485,"type":"article-journal","abstract":"Numerous analyses of the benefits and costs of COVID</w:instrText>
      </w:r>
      <w:r w:rsidR="00516702" w:rsidRPr="00B1138B">
        <w:rPr>
          <w:rFonts w:ascii="Cambria Math" w:hAnsi="Cambria Math" w:cs="Cambria Math"/>
          <w:sz w:val="22"/>
          <w:szCs w:val="22"/>
        </w:rPr>
        <w:instrText>‐</w:instrText>
      </w:r>
      <w:r w:rsidR="00516702" w:rsidRPr="00B1138B">
        <w:rPr>
          <w:rFonts w:ascii="Arial" w:hAnsi="Arial" w:cs="Arial"/>
          <w:sz w:val="22"/>
          <w:szCs w:val="22"/>
        </w:rPr>
        <w:instrText>19 policies have been completed quickly as the crisis has unfolded. The results often largely depend on the approach used to value mortality risk reductions, typically expressed as the value per statistical life (VSL). Many analyses rely on a population</w:instrText>
      </w:r>
      <w:r w:rsidR="00516702" w:rsidRPr="00B1138B">
        <w:rPr>
          <w:rFonts w:ascii="Cambria Math" w:hAnsi="Cambria Math" w:cs="Cambria Math"/>
          <w:sz w:val="22"/>
          <w:szCs w:val="22"/>
        </w:rPr>
        <w:instrText>‐</w:instrText>
      </w:r>
      <w:r w:rsidR="00516702" w:rsidRPr="00B1138B">
        <w:rPr>
          <w:rFonts w:ascii="Arial" w:hAnsi="Arial" w:cs="Arial"/>
          <w:sz w:val="22"/>
          <w:szCs w:val="22"/>
        </w:rPr>
        <w:instrText>average VSL estimate; some adjust VSL for life expectancy at the age of death. We explore the implications of theory and empirical studies, which suggest that the relationship between age and VSL is uncertain. We compare the effects of three approaches: (1) an invariant population</w:instrText>
      </w:r>
      <w:r w:rsidR="00516702" w:rsidRPr="00B1138B">
        <w:rPr>
          <w:rFonts w:ascii="Cambria Math" w:hAnsi="Cambria Math" w:cs="Cambria Math"/>
          <w:sz w:val="22"/>
          <w:szCs w:val="22"/>
        </w:rPr>
        <w:instrText>‐</w:instrText>
      </w:r>
      <w:r w:rsidR="00516702" w:rsidRPr="00B1138B">
        <w:rPr>
          <w:rFonts w:ascii="Arial" w:hAnsi="Arial" w:cs="Arial"/>
          <w:sz w:val="22"/>
          <w:szCs w:val="22"/>
        </w:rPr>
        <w:instrText>average VSL; (2) a constant value per statistical life</w:instrText>
      </w:r>
      <w:r w:rsidR="00516702" w:rsidRPr="00B1138B">
        <w:rPr>
          <w:rFonts w:ascii="Cambria Math" w:hAnsi="Cambria Math" w:cs="Cambria Math"/>
          <w:sz w:val="22"/>
          <w:szCs w:val="22"/>
        </w:rPr>
        <w:instrText>‐</w:instrText>
      </w:r>
      <w:r w:rsidR="00516702" w:rsidRPr="00B1138B">
        <w:rPr>
          <w:rFonts w:ascii="Arial" w:hAnsi="Arial" w:cs="Arial"/>
          <w:sz w:val="22"/>
          <w:szCs w:val="22"/>
        </w:rPr>
        <w:instrText>year (VSLY); and (3) a VSL that follows an inverse</w:instrText>
      </w:r>
      <w:r w:rsidR="00516702" w:rsidRPr="00B1138B">
        <w:rPr>
          <w:rFonts w:ascii="Cambria Math" w:hAnsi="Cambria Math" w:cs="Cambria Math"/>
          <w:sz w:val="22"/>
          <w:szCs w:val="22"/>
        </w:rPr>
        <w:instrText>‐</w:instrText>
      </w:r>
      <w:r w:rsidR="00516702" w:rsidRPr="00B1138B">
        <w:rPr>
          <w:rFonts w:ascii="Arial" w:hAnsi="Arial" w:cs="Arial"/>
          <w:sz w:val="22"/>
          <w:szCs w:val="22"/>
        </w:rPr>
        <w:instrText>U pattern, peaking in middle age. We find that when applied to the U.S. age distribution of COVID</w:instrText>
      </w:r>
      <w:r w:rsidR="00516702" w:rsidRPr="00B1138B">
        <w:rPr>
          <w:rFonts w:ascii="Cambria Math" w:hAnsi="Cambria Math" w:cs="Cambria Math"/>
          <w:sz w:val="22"/>
          <w:szCs w:val="22"/>
        </w:rPr>
        <w:instrText>‐</w:instrText>
      </w:r>
      <w:r w:rsidR="00516702" w:rsidRPr="00B1138B">
        <w:rPr>
          <w:rFonts w:ascii="Arial" w:hAnsi="Arial" w:cs="Arial"/>
          <w:sz w:val="22"/>
          <w:szCs w:val="22"/>
        </w:rPr>
        <w:instrText>19 deaths, these approaches result in average VSL estimates of $10.63 million, $4.47 million, and $8.31 million. We explore the extent to which applying these estimates alters the conclusions of frequently cited analyses of social distancing, finding that they significantly affect the findings. However, these analyses do not address other characteristics of COVID</w:instrText>
      </w:r>
      <w:r w:rsidR="00516702" w:rsidRPr="00B1138B">
        <w:rPr>
          <w:rFonts w:ascii="Cambria Math" w:hAnsi="Cambria Math" w:cs="Cambria Math"/>
          <w:sz w:val="22"/>
          <w:szCs w:val="22"/>
        </w:rPr>
        <w:instrText>‐</w:instrText>
      </w:r>
      <w:r w:rsidR="00516702" w:rsidRPr="00B1138B">
        <w:rPr>
          <w:rFonts w:ascii="Arial" w:hAnsi="Arial" w:cs="Arial"/>
          <w:sz w:val="22"/>
          <w:szCs w:val="22"/>
        </w:rPr>
        <w:instrText>19 deaths that may increase or decrease the VSL estimates. Examples include the health status and income level of those affected, the size of the risk change, and the extent to which the risk is dreaded, uncertain, involuntarily incurred, and outside of one's control. The effects of these characteristics and their correlation with age are uncertain; it is unclear whether they amplify or diminish the effects of age on VSL.","container-title":"Risk Analysis","DOI":"10.1111/risa.13561","ISSN":"0272-4332","journalAbbreviation":"Risk Anal","note":"PMID: 32677076\nPMCID: PMC7405126","page":"10.1111/risa.13561","source":"PubMed Central","title":"Do the Benefits of COVID</w:instrText>
      </w:r>
      <w:r w:rsidR="00516702" w:rsidRPr="00B1138B">
        <w:rPr>
          <w:rFonts w:ascii="Cambria Math" w:hAnsi="Cambria Math" w:cs="Cambria Math"/>
          <w:sz w:val="22"/>
          <w:szCs w:val="22"/>
        </w:rPr>
        <w:instrText>‐</w:instrText>
      </w:r>
      <w:r w:rsidR="00516702" w:rsidRPr="00B1138B">
        <w:rPr>
          <w:rFonts w:ascii="Arial" w:hAnsi="Arial" w:cs="Arial"/>
          <w:sz w:val="22"/>
          <w:szCs w:val="22"/>
        </w:rPr>
        <w:instrText>19 Policies Exceed the Costs? Exploring Uncertainties in the Age–VSL Relationship","title-short":"Do the Benefits of COVID</w:instrText>
      </w:r>
      <w:r w:rsidR="00516702" w:rsidRPr="00B1138B">
        <w:rPr>
          <w:rFonts w:ascii="Cambria Math" w:hAnsi="Cambria Math" w:cs="Cambria Math"/>
          <w:sz w:val="22"/>
          <w:szCs w:val="22"/>
        </w:rPr>
        <w:instrText>‐</w:instrText>
      </w:r>
      <w:r w:rsidR="00516702" w:rsidRPr="00B1138B">
        <w:rPr>
          <w:rFonts w:ascii="Arial" w:hAnsi="Arial" w:cs="Arial"/>
          <w:sz w:val="22"/>
          <w:szCs w:val="22"/>
        </w:rPr>
        <w:instrText xml:space="preserve">19 Policies Exceed the Costs?","URL":"https://www.ncbi.nlm.nih.gov/pmc/articles/PMC7405126/","author":[{"family":"Robinson","given":"Lisa A."},{"family":"Sullivan","given":"Ryan"},{"family":"Shogren","given":"Jason F."}],"accessed":{"date-parts":[["2022",4,30]]},"issued":{"date-parts":[["2020",7,16]]}}}],"schema":"https://github.com/citation-style-language/schema/raw/master/csl-citation.json"} </w:instrText>
      </w:r>
      <w:r w:rsidRPr="00B1138B">
        <w:rPr>
          <w:rFonts w:ascii="Arial" w:hAnsi="Arial" w:cs="Arial"/>
          <w:sz w:val="22"/>
          <w:szCs w:val="22"/>
        </w:rPr>
        <w:fldChar w:fldCharType="separate"/>
      </w:r>
      <w:r w:rsidR="00516702" w:rsidRPr="00B1138B">
        <w:rPr>
          <w:rFonts w:ascii="Arial" w:hAnsi="Arial" w:cs="Arial"/>
          <w:sz w:val="22"/>
          <w:szCs w:val="22"/>
          <w:vertAlign w:val="superscript"/>
        </w:rPr>
        <w:t>13</w:t>
      </w:r>
      <w:r w:rsidRPr="00B1138B">
        <w:rPr>
          <w:rFonts w:ascii="Arial" w:hAnsi="Arial" w:cs="Arial"/>
          <w:sz w:val="22"/>
          <w:szCs w:val="22"/>
        </w:rPr>
        <w:fldChar w:fldCharType="end"/>
      </w:r>
      <w:r w:rsidRPr="00B1138B">
        <w:rPr>
          <w:rFonts w:ascii="Arial" w:hAnsi="Arial" w:cs="Arial"/>
          <w:sz w:val="22"/>
          <w:szCs w:val="22"/>
        </w:rPr>
        <w:t>. We report all values in 2021 US$ rates using exchange rates and deflator values available from the World Bank</w:t>
      </w:r>
      <w:r w:rsidRPr="00B1138B">
        <w:rPr>
          <w:rFonts w:ascii="Arial" w:hAnsi="Arial" w:cs="Arial"/>
          <w:sz w:val="22"/>
          <w:szCs w:val="22"/>
        </w:rPr>
        <w:fldChar w:fldCharType="begin"/>
      </w:r>
      <w:r w:rsidR="00516702" w:rsidRPr="00B1138B">
        <w:rPr>
          <w:rFonts w:ascii="Arial" w:hAnsi="Arial" w:cs="Arial"/>
          <w:sz w:val="22"/>
          <w:szCs w:val="22"/>
        </w:rPr>
        <w:instrText xml:space="preserve"> ADDIN ZOTERO_ITEM CSL_CITATION {"citationID":"j3n0O5It","properties":{"formattedCitation":"\\super 14\\nosupersub{}","plainCitation":"14","noteIndex":0},"citationItems":[{"id":1713,"uris":["http://zotero.org/users/local/p8g0WsVO/items/EKJ47DV4"],"itemData":{"id":1713,"type":"webpage","title":"World Bank Open Data | Data","URL":"https://data.worldbank.org/?year_high_desc=false","accessed":{"date-parts":[["2018",5,27]]}}}],"schema":"https://github.com/citation-style-language/schema/raw/master/csl-citation.json"} </w:instrText>
      </w:r>
      <w:r w:rsidRPr="00B1138B">
        <w:rPr>
          <w:rFonts w:ascii="Arial" w:hAnsi="Arial" w:cs="Arial"/>
          <w:sz w:val="22"/>
          <w:szCs w:val="22"/>
        </w:rPr>
        <w:fldChar w:fldCharType="separate"/>
      </w:r>
      <w:r w:rsidR="00516702" w:rsidRPr="00B1138B">
        <w:rPr>
          <w:rFonts w:ascii="Arial" w:hAnsi="Arial" w:cs="Arial"/>
          <w:sz w:val="22"/>
          <w:szCs w:val="22"/>
          <w:vertAlign w:val="superscript"/>
        </w:rPr>
        <w:t>14</w:t>
      </w:r>
      <w:r w:rsidRPr="00B1138B">
        <w:rPr>
          <w:rFonts w:ascii="Arial" w:hAnsi="Arial" w:cs="Arial"/>
          <w:sz w:val="22"/>
          <w:szCs w:val="22"/>
        </w:rPr>
        <w:fldChar w:fldCharType="end"/>
      </w:r>
      <w:r w:rsidR="00711102">
        <w:rPr>
          <w:rFonts w:ascii="Arial" w:hAnsi="Arial" w:cs="Arial"/>
          <w:sz w:val="22"/>
          <w:szCs w:val="22"/>
        </w:rPr>
        <w:t>.</w:t>
      </w:r>
    </w:p>
    <w:p w14:paraId="73D86CAB" w14:textId="77777777" w:rsidR="00C9078D" w:rsidRPr="00B1138B" w:rsidRDefault="00C9078D" w:rsidP="00FC79BD">
      <w:pPr>
        <w:jc w:val="both"/>
        <w:rPr>
          <w:rFonts w:ascii="Arial" w:hAnsi="Arial" w:cs="Arial"/>
          <w:sz w:val="22"/>
          <w:szCs w:val="22"/>
        </w:rPr>
      </w:pPr>
    </w:p>
    <w:p w14:paraId="63C1B947" w14:textId="09B41294" w:rsidR="00CF2FD9" w:rsidRPr="00B1138B" w:rsidRDefault="00CF2FD9" w:rsidP="00FC79BD">
      <w:pPr>
        <w:jc w:val="both"/>
        <w:rPr>
          <w:rFonts w:ascii="Arial" w:hAnsi="Arial" w:cs="Arial"/>
          <w:i/>
          <w:iCs/>
          <w:sz w:val="22"/>
          <w:szCs w:val="22"/>
        </w:rPr>
      </w:pPr>
      <w:r w:rsidRPr="00B1138B">
        <w:rPr>
          <w:rFonts w:ascii="Arial" w:hAnsi="Arial" w:cs="Arial"/>
          <w:i/>
          <w:iCs/>
          <w:sz w:val="22"/>
          <w:szCs w:val="22"/>
        </w:rPr>
        <w:t>Uncertainty Analysis</w:t>
      </w:r>
    </w:p>
    <w:p w14:paraId="5C395B81" w14:textId="1F78565B" w:rsidR="00CF2FD9" w:rsidRPr="00B1138B" w:rsidRDefault="00CF2FD9" w:rsidP="00FC79BD">
      <w:pPr>
        <w:jc w:val="both"/>
        <w:rPr>
          <w:rFonts w:ascii="Arial" w:hAnsi="Arial" w:cs="Arial"/>
          <w:i/>
          <w:iCs/>
          <w:sz w:val="22"/>
          <w:szCs w:val="22"/>
        </w:rPr>
      </w:pPr>
    </w:p>
    <w:p w14:paraId="6695A983" w14:textId="5206938A" w:rsidR="00CF2FD9" w:rsidRPr="00B1138B" w:rsidRDefault="00CF2FD9" w:rsidP="00FC79BD">
      <w:pPr>
        <w:jc w:val="both"/>
        <w:rPr>
          <w:rFonts w:ascii="Arial" w:hAnsi="Arial" w:cs="Arial"/>
          <w:sz w:val="22"/>
          <w:szCs w:val="22"/>
        </w:rPr>
      </w:pPr>
      <w:r w:rsidRPr="00B1138B">
        <w:rPr>
          <w:rFonts w:ascii="Arial" w:hAnsi="Arial" w:cs="Arial"/>
          <w:sz w:val="22"/>
          <w:szCs w:val="22"/>
        </w:rPr>
        <w:t xml:space="preserve">We conducted a probabilistic sensitivity analysis to evaluate the sensitivity </w:t>
      </w:r>
      <w:r w:rsidR="004E5DD6">
        <w:rPr>
          <w:rFonts w:ascii="Arial" w:hAnsi="Arial" w:cs="Arial"/>
          <w:sz w:val="22"/>
          <w:szCs w:val="22"/>
        </w:rPr>
        <w:t xml:space="preserve">of the estimates </w:t>
      </w:r>
      <w:r w:rsidRPr="00B1138B">
        <w:rPr>
          <w:rFonts w:ascii="Arial" w:hAnsi="Arial" w:cs="Arial"/>
          <w:sz w:val="22"/>
          <w:szCs w:val="22"/>
        </w:rPr>
        <w:t xml:space="preserve">to economic parameter uncertainty and choice. We sampled 5000 draws for parameter values, from uniform distributions with parameter boundaries </w:t>
      </w:r>
      <w:r w:rsidR="00FC79BD" w:rsidRPr="00B1138B">
        <w:rPr>
          <w:rFonts w:ascii="Arial" w:hAnsi="Arial" w:cs="Arial"/>
          <w:sz w:val="22"/>
          <w:szCs w:val="22"/>
        </w:rPr>
        <w:t xml:space="preserve">in </w:t>
      </w:r>
      <w:r w:rsidR="0043220A">
        <w:rPr>
          <w:rFonts w:ascii="Arial" w:hAnsi="Arial" w:cs="Arial"/>
          <w:sz w:val="22"/>
          <w:szCs w:val="22"/>
        </w:rPr>
        <w:t xml:space="preserve">Supplemental </w:t>
      </w:r>
      <w:r w:rsidR="00FC79BD" w:rsidRPr="00B1138B">
        <w:rPr>
          <w:rFonts w:ascii="Arial" w:hAnsi="Arial" w:cs="Arial"/>
          <w:sz w:val="22"/>
          <w:szCs w:val="22"/>
        </w:rPr>
        <w:t>T</w:t>
      </w:r>
      <w:r w:rsidRPr="00B1138B">
        <w:rPr>
          <w:rFonts w:ascii="Arial" w:hAnsi="Arial" w:cs="Arial"/>
          <w:sz w:val="22"/>
          <w:szCs w:val="22"/>
        </w:rPr>
        <w:t xml:space="preserve">able </w:t>
      </w:r>
      <w:r w:rsidR="00FC79BD" w:rsidRPr="00B1138B">
        <w:rPr>
          <w:rFonts w:ascii="Arial" w:hAnsi="Arial" w:cs="Arial"/>
          <w:sz w:val="22"/>
          <w:szCs w:val="22"/>
        </w:rPr>
        <w:t>1</w:t>
      </w:r>
      <w:r w:rsidRPr="00B1138B">
        <w:rPr>
          <w:rFonts w:ascii="Arial" w:hAnsi="Arial" w:cs="Arial"/>
          <w:sz w:val="22"/>
          <w:szCs w:val="22"/>
        </w:rPr>
        <w:t>, using a Latin Hypercube Sampling algorithm</w:t>
      </w:r>
      <w:r w:rsidRPr="00B1138B">
        <w:rPr>
          <w:rFonts w:ascii="Arial" w:hAnsi="Arial" w:cs="Arial"/>
          <w:sz w:val="22"/>
          <w:szCs w:val="22"/>
        </w:rPr>
        <w:fldChar w:fldCharType="begin"/>
      </w:r>
      <w:r w:rsidR="00516702" w:rsidRPr="00B1138B">
        <w:rPr>
          <w:rFonts w:ascii="Arial" w:hAnsi="Arial" w:cs="Arial"/>
          <w:sz w:val="22"/>
          <w:szCs w:val="22"/>
        </w:rPr>
        <w:instrText xml:space="preserve"> ADDIN ZOTERO_ITEM CSL_CITATION {"citationID":"xSe6UO1C","properties":{"formattedCitation":"\\super 15\\nosupersub{}","plainCitation":"15","noteIndex":0},"citationItems":[{"id":29249,"uris":["http://zotero.org/users/local/p8g0WsVO/items/WJH4K54L"],"itemData":{"id":29249,"type":"article-journal","abstract":"Results of uncertainty and sensitivity analysis have significant epidemiological importance in malaria control. In this paper, the efficient technique of latin hypercube sampling (LHS) and partial rank correlation coefficient is applied to an in-host Plasmodium falciparum malaria model. Sensitivity indices of the basic reproduction number are derived using the normalised forward approach. By a theoretical analysis, we show the existence and stability of the model steady states based on threshold value $$R_0$$. Our results show that the in-host model is sensitive to variations in the efficacy of malaria vaccines. The rates of parasite to cell invasions, the density of merozoites released per bursting infected erythrocyte and the proportions of merozoites that become gametocytes are highly significant in determining the severity of malaria infection. Moreover, a highly effective vaccine combination is critical for malaria disease elimination goal. This study further shows that the long term precise predictions of the concentrations of infected cells during malaria infection would be difficult until these key parameters are correctly determined. These results are vital in the on-going malaria vaccine development.","container-title":"International Journal of Applied and Computational Mathematics","DOI":"10.1007/s40819-019-0658-3","ISSN":"2199-5796","issue":"3","journalAbbreviation":"Int. J. Appl. Comput. Math","language":"en","page":"73","source":"Springer Link","title":"Uncertainty and Sensitivity Analysis Applied to an In-Host Malaria Model with Multiple Vaccine Antigens","URL":"https://doi.org/10.1007/s40819-019-0658-3","volume":"5","author":[{"family":"Orwa","given":"Titus Okello"},{"family":"Mbogo","given":"Rachel Waema"},{"family":"Luboobi","given":"Livingstone Serwadda"}],"accessed":{"date-parts":[["2021",4,9]]},"issued":{"date-parts":[["2019",5,24]]}}}],"schema":"https://github.com/citation-style-language/schema/raw/master/csl-citation.json"} </w:instrText>
      </w:r>
      <w:r w:rsidRPr="00B1138B">
        <w:rPr>
          <w:rFonts w:ascii="Arial" w:hAnsi="Arial" w:cs="Arial"/>
          <w:sz w:val="22"/>
          <w:szCs w:val="22"/>
        </w:rPr>
        <w:fldChar w:fldCharType="separate"/>
      </w:r>
      <w:r w:rsidR="00516702" w:rsidRPr="00B1138B">
        <w:rPr>
          <w:rFonts w:ascii="Arial" w:hAnsi="Arial" w:cs="Arial"/>
          <w:sz w:val="22"/>
          <w:szCs w:val="22"/>
          <w:vertAlign w:val="superscript"/>
        </w:rPr>
        <w:t>15</w:t>
      </w:r>
      <w:r w:rsidRPr="00B1138B">
        <w:rPr>
          <w:rFonts w:ascii="Arial" w:hAnsi="Arial" w:cs="Arial"/>
          <w:sz w:val="22"/>
          <w:szCs w:val="22"/>
        </w:rPr>
        <w:fldChar w:fldCharType="end"/>
      </w:r>
      <w:r w:rsidRPr="00B1138B">
        <w:rPr>
          <w:rFonts w:ascii="Arial" w:hAnsi="Arial" w:cs="Arial"/>
          <w:sz w:val="22"/>
          <w:szCs w:val="22"/>
        </w:rPr>
        <w:t xml:space="preserve">. </w:t>
      </w:r>
      <w:r w:rsidR="00FC79BD" w:rsidRPr="00B1138B">
        <w:rPr>
          <w:rFonts w:ascii="Arial" w:hAnsi="Arial" w:cs="Arial"/>
          <w:sz w:val="22"/>
          <w:szCs w:val="22"/>
        </w:rPr>
        <w:t>S</w:t>
      </w:r>
      <w:r w:rsidRPr="00B1138B">
        <w:rPr>
          <w:rFonts w:ascii="Arial" w:hAnsi="Arial" w:cs="Arial"/>
          <w:sz w:val="22"/>
          <w:szCs w:val="22"/>
        </w:rPr>
        <w:t>ensitivity analysis</w:t>
      </w:r>
      <w:r w:rsidR="00FC79BD" w:rsidRPr="00B1138B">
        <w:rPr>
          <w:rFonts w:ascii="Arial" w:hAnsi="Arial" w:cs="Arial"/>
          <w:sz w:val="22"/>
          <w:szCs w:val="22"/>
        </w:rPr>
        <w:t xml:space="preserve"> was</w:t>
      </w:r>
      <w:r w:rsidRPr="00B1138B">
        <w:rPr>
          <w:rFonts w:ascii="Arial" w:hAnsi="Arial" w:cs="Arial"/>
          <w:sz w:val="22"/>
          <w:szCs w:val="22"/>
        </w:rPr>
        <w:t xml:space="preserve"> performed using Stata (IC version 14.2) and Microsoft Excel for Mac (version 16.45)</w:t>
      </w:r>
      <w:r w:rsidR="00FC79BD" w:rsidRPr="00B1138B">
        <w:rPr>
          <w:rFonts w:ascii="Arial" w:hAnsi="Arial" w:cs="Arial"/>
          <w:sz w:val="22"/>
          <w:szCs w:val="22"/>
        </w:rPr>
        <w:t xml:space="preserve">. </w:t>
      </w:r>
    </w:p>
    <w:p w14:paraId="02372899" w14:textId="7D993381" w:rsidR="00C9078D" w:rsidRDefault="00C9078D" w:rsidP="00FC79BD">
      <w:pPr>
        <w:jc w:val="both"/>
        <w:rPr>
          <w:rFonts w:ascii="Arial" w:hAnsi="Arial" w:cs="Arial"/>
          <w:sz w:val="22"/>
          <w:szCs w:val="22"/>
        </w:rPr>
      </w:pPr>
    </w:p>
    <w:p w14:paraId="7959DACA" w14:textId="77777777" w:rsidR="00B1138B" w:rsidRPr="00B1138B" w:rsidRDefault="00B1138B" w:rsidP="00FC79BD">
      <w:pPr>
        <w:jc w:val="both"/>
        <w:rPr>
          <w:rFonts w:ascii="Arial" w:hAnsi="Arial" w:cs="Arial"/>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9078D" w:rsidRPr="00B1138B" w14:paraId="44F2EEA1" w14:textId="77777777" w:rsidTr="005F088C">
        <w:tc>
          <w:tcPr>
            <w:tcW w:w="3116" w:type="dxa"/>
            <w:tcBorders>
              <w:top w:val="single" w:sz="4" w:space="0" w:color="auto"/>
              <w:bottom w:val="single" w:sz="4" w:space="0" w:color="auto"/>
            </w:tcBorders>
          </w:tcPr>
          <w:p w14:paraId="622D1712" w14:textId="04A536D7" w:rsidR="00C9078D" w:rsidRPr="00B1138B" w:rsidRDefault="00C9078D" w:rsidP="009D534C">
            <w:pPr>
              <w:jc w:val="center"/>
              <w:rPr>
                <w:rFonts w:ascii="Arial" w:hAnsi="Arial" w:cs="Arial"/>
                <w:b/>
                <w:bCs/>
                <w:i/>
                <w:iCs/>
                <w:sz w:val="22"/>
                <w:szCs w:val="22"/>
              </w:rPr>
            </w:pPr>
            <w:r w:rsidRPr="00B1138B">
              <w:rPr>
                <w:rFonts w:ascii="Arial" w:hAnsi="Arial" w:cs="Arial"/>
                <w:b/>
                <w:bCs/>
                <w:i/>
                <w:iCs/>
                <w:sz w:val="22"/>
                <w:szCs w:val="22"/>
              </w:rPr>
              <w:t>Parameter</w:t>
            </w:r>
          </w:p>
        </w:tc>
        <w:tc>
          <w:tcPr>
            <w:tcW w:w="3117" w:type="dxa"/>
            <w:tcBorders>
              <w:top w:val="single" w:sz="4" w:space="0" w:color="auto"/>
              <w:bottom w:val="single" w:sz="4" w:space="0" w:color="auto"/>
            </w:tcBorders>
          </w:tcPr>
          <w:p w14:paraId="76DAE906" w14:textId="31B96BC9" w:rsidR="00C9078D" w:rsidRPr="00B1138B" w:rsidRDefault="00C9078D" w:rsidP="009D534C">
            <w:pPr>
              <w:jc w:val="center"/>
              <w:rPr>
                <w:rFonts w:ascii="Arial" w:hAnsi="Arial" w:cs="Arial"/>
                <w:b/>
                <w:bCs/>
                <w:i/>
                <w:iCs/>
                <w:sz w:val="22"/>
                <w:szCs w:val="22"/>
              </w:rPr>
            </w:pPr>
            <w:r w:rsidRPr="00B1138B">
              <w:rPr>
                <w:rFonts w:ascii="Arial" w:hAnsi="Arial" w:cs="Arial"/>
                <w:b/>
                <w:bCs/>
                <w:i/>
                <w:iCs/>
                <w:sz w:val="22"/>
                <w:szCs w:val="22"/>
              </w:rPr>
              <w:t>Upper and Lower Bound</w:t>
            </w:r>
          </w:p>
        </w:tc>
        <w:tc>
          <w:tcPr>
            <w:tcW w:w="3117" w:type="dxa"/>
            <w:tcBorders>
              <w:top w:val="single" w:sz="4" w:space="0" w:color="auto"/>
              <w:bottom w:val="single" w:sz="4" w:space="0" w:color="auto"/>
            </w:tcBorders>
          </w:tcPr>
          <w:p w14:paraId="472A8311" w14:textId="4BF67F05" w:rsidR="00C9078D" w:rsidRPr="00B1138B" w:rsidRDefault="00C9078D" w:rsidP="009D534C">
            <w:pPr>
              <w:jc w:val="center"/>
              <w:rPr>
                <w:rFonts w:ascii="Arial" w:hAnsi="Arial" w:cs="Arial"/>
                <w:b/>
                <w:bCs/>
                <w:i/>
                <w:iCs/>
                <w:sz w:val="22"/>
                <w:szCs w:val="22"/>
              </w:rPr>
            </w:pPr>
            <w:r w:rsidRPr="00B1138B">
              <w:rPr>
                <w:rFonts w:ascii="Arial" w:hAnsi="Arial" w:cs="Arial"/>
                <w:b/>
                <w:bCs/>
                <w:i/>
                <w:iCs/>
                <w:sz w:val="22"/>
                <w:szCs w:val="22"/>
              </w:rPr>
              <w:t>Source</w:t>
            </w:r>
          </w:p>
        </w:tc>
      </w:tr>
      <w:tr w:rsidR="00C9078D" w:rsidRPr="00B1138B" w14:paraId="385FF41F" w14:textId="77777777" w:rsidTr="005F088C">
        <w:tc>
          <w:tcPr>
            <w:tcW w:w="3116" w:type="dxa"/>
            <w:tcBorders>
              <w:top w:val="single" w:sz="4" w:space="0" w:color="auto"/>
            </w:tcBorders>
          </w:tcPr>
          <w:p w14:paraId="36B96CF5" w14:textId="2FFD07EE" w:rsidR="00C9078D" w:rsidRPr="00B1138B" w:rsidRDefault="00C9078D" w:rsidP="00FC79BD">
            <w:pPr>
              <w:jc w:val="both"/>
              <w:rPr>
                <w:rFonts w:ascii="Arial" w:hAnsi="Arial" w:cs="Arial"/>
                <w:i/>
                <w:iCs/>
                <w:sz w:val="22"/>
                <w:szCs w:val="22"/>
              </w:rPr>
            </w:pPr>
            <w:r w:rsidRPr="00B1138B">
              <w:rPr>
                <w:rFonts w:ascii="Arial" w:hAnsi="Arial" w:cs="Arial"/>
                <w:i/>
                <w:iCs/>
                <w:sz w:val="22"/>
                <w:szCs w:val="22"/>
              </w:rPr>
              <w:t>US VSL</w:t>
            </w:r>
          </w:p>
        </w:tc>
        <w:tc>
          <w:tcPr>
            <w:tcW w:w="3117" w:type="dxa"/>
            <w:tcBorders>
              <w:top w:val="single" w:sz="4" w:space="0" w:color="auto"/>
            </w:tcBorders>
          </w:tcPr>
          <w:p w14:paraId="0295BE03" w14:textId="4D257FA6" w:rsidR="00C9078D" w:rsidRPr="00B1138B" w:rsidRDefault="00C9078D" w:rsidP="005F088C">
            <w:pPr>
              <w:jc w:val="center"/>
              <w:rPr>
                <w:rFonts w:ascii="Arial" w:hAnsi="Arial" w:cs="Arial"/>
                <w:i/>
                <w:iCs/>
                <w:sz w:val="22"/>
                <w:szCs w:val="22"/>
              </w:rPr>
            </w:pPr>
            <w:r w:rsidRPr="00B1138B">
              <w:rPr>
                <w:rFonts w:ascii="Arial" w:hAnsi="Arial" w:cs="Arial"/>
                <w:i/>
                <w:iCs/>
                <w:sz w:val="22"/>
                <w:szCs w:val="22"/>
              </w:rPr>
              <w:t>$5,324,706- $17,368,683</w:t>
            </w:r>
          </w:p>
        </w:tc>
        <w:tc>
          <w:tcPr>
            <w:tcW w:w="3117" w:type="dxa"/>
            <w:tcBorders>
              <w:top w:val="single" w:sz="4" w:space="0" w:color="auto"/>
            </w:tcBorders>
          </w:tcPr>
          <w:p w14:paraId="45A725BF" w14:textId="7327351E" w:rsidR="00C9078D" w:rsidRPr="00B1138B" w:rsidRDefault="00C9078D" w:rsidP="00FC79BD">
            <w:pPr>
              <w:jc w:val="both"/>
              <w:rPr>
                <w:rFonts w:ascii="Arial" w:hAnsi="Arial" w:cs="Arial"/>
                <w:i/>
                <w:iCs/>
                <w:sz w:val="22"/>
                <w:szCs w:val="22"/>
              </w:rPr>
            </w:pPr>
            <w:r w:rsidRPr="00B1138B">
              <w:rPr>
                <w:rFonts w:ascii="Arial" w:hAnsi="Arial" w:cs="Arial"/>
                <w:i/>
                <w:iCs/>
                <w:sz w:val="22"/>
                <w:szCs w:val="22"/>
              </w:rPr>
              <w:t>U.S. Department of Health and Human Services</w:t>
            </w:r>
            <w:r w:rsidRPr="00B1138B">
              <w:rPr>
                <w:rFonts w:ascii="Arial" w:hAnsi="Arial" w:cs="Arial"/>
                <w:i/>
                <w:iCs/>
                <w:sz w:val="22"/>
                <w:szCs w:val="22"/>
              </w:rPr>
              <w:fldChar w:fldCharType="begin"/>
            </w:r>
            <w:r w:rsidR="00C4139A" w:rsidRPr="00B1138B">
              <w:rPr>
                <w:rFonts w:ascii="Arial" w:hAnsi="Arial" w:cs="Arial"/>
                <w:i/>
                <w:iCs/>
                <w:sz w:val="22"/>
                <w:szCs w:val="22"/>
              </w:rPr>
              <w:instrText xml:space="preserve"> ADDIN ZOTERO_ITEM CSL_CITATION {"citationID":"sBvjXlWY","properties":{"formattedCitation":"\\super 9\\nosupersub{}","plainCitation":"9","noteIndex":0},"citationItems":[{"id":29465,"uris":["http://zotero.org/users/local/p8g0WsVO/items/8T7PBU4F"],"itemData":{"id":29465,"type":"webpage","abstract":"The HHS Guidelines for Regulatory Impact Analysis (2016) discuss an approach to valuing mortality risk reductions, commonly referred to as the value per statistical life (VSL).","container-title":"ASPE","language":"en","title":"Appendix D: Updating Value per Statistical Life (VSL) Estimates for Inflation and Changes in Real Income","title-short":"Appendix D","URL":"https://aspe.hhs.gov/reports/updating-vsl-estimates","author":[{"family":"U.S. Department of Health and Human Services","given":""}],"accessed":{"date-parts":[["2022",4,15]]}}}],"schema":"https://github.com/citation-style-language/schema/raw/master/csl-citation.json"} </w:instrText>
            </w:r>
            <w:r w:rsidRPr="00B1138B">
              <w:rPr>
                <w:rFonts w:ascii="Arial" w:hAnsi="Arial" w:cs="Arial"/>
                <w:i/>
                <w:iCs/>
                <w:sz w:val="22"/>
                <w:szCs w:val="22"/>
              </w:rPr>
              <w:fldChar w:fldCharType="separate"/>
            </w:r>
            <w:r w:rsidRPr="00B1138B">
              <w:rPr>
                <w:rFonts w:ascii="Arial" w:hAnsi="Arial" w:cs="Arial"/>
                <w:i/>
                <w:iCs/>
                <w:sz w:val="22"/>
                <w:szCs w:val="22"/>
                <w:vertAlign w:val="superscript"/>
              </w:rPr>
              <w:t>9</w:t>
            </w:r>
            <w:r w:rsidRPr="00B1138B">
              <w:rPr>
                <w:rFonts w:ascii="Arial" w:hAnsi="Arial" w:cs="Arial"/>
                <w:i/>
                <w:iCs/>
                <w:sz w:val="22"/>
                <w:szCs w:val="22"/>
              </w:rPr>
              <w:fldChar w:fldCharType="end"/>
            </w:r>
          </w:p>
        </w:tc>
      </w:tr>
      <w:tr w:rsidR="00C9078D" w:rsidRPr="00B1138B" w14:paraId="71931901" w14:textId="77777777" w:rsidTr="005F088C">
        <w:tc>
          <w:tcPr>
            <w:tcW w:w="3116" w:type="dxa"/>
          </w:tcPr>
          <w:p w14:paraId="54250AAC" w14:textId="1F9FF92A" w:rsidR="00C9078D" w:rsidRPr="00B1138B" w:rsidRDefault="00C9078D" w:rsidP="00FC79BD">
            <w:pPr>
              <w:jc w:val="both"/>
              <w:rPr>
                <w:rFonts w:ascii="Arial" w:hAnsi="Arial" w:cs="Arial"/>
                <w:i/>
                <w:iCs/>
                <w:sz w:val="22"/>
                <w:szCs w:val="22"/>
              </w:rPr>
            </w:pPr>
            <w:r w:rsidRPr="00B1138B">
              <w:rPr>
                <w:rFonts w:ascii="Arial" w:hAnsi="Arial" w:cs="Arial"/>
                <w:i/>
                <w:iCs/>
                <w:sz w:val="22"/>
                <w:szCs w:val="22"/>
              </w:rPr>
              <w:t>US GDP per capita</w:t>
            </w:r>
          </w:p>
        </w:tc>
        <w:tc>
          <w:tcPr>
            <w:tcW w:w="3117" w:type="dxa"/>
          </w:tcPr>
          <w:p w14:paraId="2C175847" w14:textId="48F4F6BF" w:rsidR="00C9078D" w:rsidRPr="00B1138B" w:rsidRDefault="00C9078D" w:rsidP="005F088C">
            <w:pPr>
              <w:jc w:val="center"/>
              <w:rPr>
                <w:rFonts w:ascii="Arial" w:hAnsi="Arial" w:cs="Arial"/>
                <w:i/>
                <w:iCs/>
                <w:sz w:val="22"/>
                <w:szCs w:val="22"/>
              </w:rPr>
            </w:pPr>
            <w:r w:rsidRPr="00B1138B">
              <w:rPr>
                <w:rFonts w:ascii="Arial" w:hAnsi="Arial" w:cs="Arial"/>
                <w:i/>
                <w:iCs/>
                <w:sz w:val="22"/>
                <w:szCs w:val="22"/>
              </w:rPr>
              <w:t>$57,506- $59,197</w:t>
            </w:r>
          </w:p>
        </w:tc>
        <w:tc>
          <w:tcPr>
            <w:tcW w:w="3117" w:type="dxa"/>
          </w:tcPr>
          <w:p w14:paraId="16A275EF" w14:textId="4D973C41" w:rsidR="00C9078D" w:rsidRPr="00B1138B" w:rsidRDefault="00C9078D" w:rsidP="00FC79BD">
            <w:pPr>
              <w:jc w:val="both"/>
              <w:rPr>
                <w:rFonts w:ascii="Arial" w:hAnsi="Arial" w:cs="Arial"/>
                <w:i/>
                <w:iCs/>
                <w:sz w:val="22"/>
                <w:szCs w:val="22"/>
              </w:rPr>
            </w:pPr>
            <w:r w:rsidRPr="00B1138B">
              <w:rPr>
                <w:rFonts w:ascii="Arial" w:hAnsi="Arial" w:cs="Arial"/>
                <w:i/>
                <w:iCs/>
                <w:sz w:val="22"/>
                <w:szCs w:val="22"/>
              </w:rPr>
              <w:t>US Bureau of Economic Analysis</w:t>
            </w:r>
            <w:r w:rsidRPr="00B1138B">
              <w:rPr>
                <w:rFonts w:ascii="Arial" w:hAnsi="Arial" w:cs="Arial"/>
                <w:i/>
                <w:iCs/>
                <w:sz w:val="22"/>
                <w:szCs w:val="22"/>
              </w:rPr>
              <w:fldChar w:fldCharType="begin"/>
            </w:r>
            <w:r w:rsidR="00C4139A" w:rsidRPr="00B1138B">
              <w:rPr>
                <w:rFonts w:ascii="Arial" w:hAnsi="Arial" w:cs="Arial"/>
                <w:i/>
                <w:iCs/>
                <w:sz w:val="22"/>
                <w:szCs w:val="22"/>
              </w:rPr>
              <w:instrText xml:space="preserve"> ADDIN ZOTERO_ITEM CSL_CITATION {"citationID":"KO7uvMhE","properties":{"formattedCitation":"\\super 7\\nosupersub{}","plainCitation":"7","noteIndex":0},"citationItems":[{"id":29517,"uris":["http://zotero.org/users/local/p8g0WsVO/items/96AVKDUV"],"itemData":{"id":29517,"type":"webpage","title":"U.S. Bureau of Economic Analysis (BEA), Gross Domestic Product, Table 1. Real Gross Domestic Product and Related Measures: Percent Change from Preceding Period.","URL":"https://www.bea.gov/data/gdp/gross-domestic-product","author":[{"family":"U.S. Bureau of Economic Analysis","given":""}],"accessed":{"date-parts":[["2022",5,16]]}}}],"schema":"https://github.com/citation-style-language/schema/raw/master/csl-citation.json"} </w:instrText>
            </w:r>
            <w:r w:rsidRPr="00B1138B">
              <w:rPr>
                <w:rFonts w:ascii="Arial" w:hAnsi="Arial" w:cs="Arial"/>
                <w:i/>
                <w:iCs/>
                <w:sz w:val="22"/>
                <w:szCs w:val="22"/>
              </w:rPr>
              <w:fldChar w:fldCharType="separate"/>
            </w:r>
            <w:r w:rsidRPr="00B1138B">
              <w:rPr>
                <w:rFonts w:ascii="Arial" w:hAnsi="Arial" w:cs="Arial"/>
                <w:i/>
                <w:iCs/>
                <w:sz w:val="22"/>
                <w:szCs w:val="22"/>
                <w:vertAlign w:val="superscript"/>
              </w:rPr>
              <w:t>7</w:t>
            </w:r>
            <w:r w:rsidRPr="00B1138B">
              <w:rPr>
                <w:rFonts w:ascii="Arial" w:hAnsi="Arial" w:cs="Arial"/>
                <w:i/>
                <w:iCs/>
                <w:sz w:val="22"/>
                <w:szCs w:val="22"/>
              </w:rPr>
              <w:fldChar w:fldCharType="end"/>
            </w:r>
            <w:r w:rsidRPr="00B1138B">
              <w:rPr>
                <w:rFonts w:ascii="Arial" w:hAnsi="Arial" w:cs="Arial"/>
                <w:i/>
                <w:iCs/>
                <w:sz w:val="22"/>
                <w:szCs w:val="22"/>
              </w:rPr>
              <w:t xml:space="preserve"> and the Institute for Health Metrics and Evaluation</w:t>
            </w:r>
            <w:r w:rsidRPr="00B1138B">
              <w:rPr>
                <w:rFonts w:ascii="Arial" w:hAnsi="Arial" w:cs="Arial"/>
                <w:i/>
                <w:iCs/>
                <w:sz w:val="22"/>
                <w:szCs w:val="22"/>
              </w:rPr>
              <w:fldChar w:fldCharType="begin"/>
            </w:r>
            <w:r w:rsidR="00C4139A" w:rsidRPr="00B1138B">
              <w:rPr>
                <w:rFonts w:ascii="Arial" w:hAnsi="Arial" w:cs="Arial"/>
                <w:i/>
                <w:iCs/>
                <w:sz w:val="22"/>
                <w:szCs w:val="22"/>
              </w:rPr>
              <w:instrText xml:space="preserve"> ADDIN ZOTERO_ITEM CSL_CITATION {"citationID":"9KSyUxwm","properties":{"formattedCitation":"\\super 8\\nosupersub{}","plainCitation":"8","noteIndex":0},"citationItems":[{"id":29519,"uris":["http://zotero.org/users/local/p8g0WsVO/items/VS54QJPC"],"itemData":{"id":29519,"type":"document","abstract":"Research by the Global Burden of Disease Health Financing Collaborator Network produced estimates for Gross Domestic Product (GDP) from 1960-2050. Estimates are reported as GDP per person in constant 2020 purchasing-power parity-adjusted (PPP) dollars.","note":"type: dataset\nDOI: 10.6069/WC70-FC19","publisher":"Institute for Health Metrics and Evaluation (IHME)","source":"DOI.org (Datacite)","title":"Gross Domestic Product Per Capita 1960-2050","URL":"http://ghdx.healthdata.org/record/ihme-data/global-gdp-per-capita-1960-2050","author":[{"family":"Global Burden of Disease Collaborative Network","given":""}],"accessed":{"date-parts":[["2022",5,16]]},"issued":{"date-parts":[["2021"]]}}}],"schema":"https://github.com/citation-style-language/schema/raw/master/csl-citation.json"} </w:instrText>
            </w:r>
            <w:r w:rsidRPr="00B1138B">
              <w:rPr>
                <w:rFonts w:ascii="Arial" w:hAnsi="Arial" w:cs="Arial"/>
                <w:i/>
                <w:iCs/>
                <w:sz w:val="22"/>
                <w:szCs w:val="22"/>
              </w:rPr>
              <w:fldChar w:fldCharType="separate"/>
            </w:r>
            <w:r w:rsidRPr="00B1138B">
              <w:rPr>
                <w:rFonts w:ascii="Arial" w:hAnsi="Arial" w:cs="Arial"/>
                <w:i/>
                <w:iCs/>
                <w:sz w:val="22"/>
                <w:szCs w:val="22"/>
                <w:vertAlign w:val="superscript"/>
              </w:rPr>
              <w:t>8</w:t>
            </w:r>
            <w:r w:rsidRPr="00B1138B">
              <w:rPr>
                <w:rFonts w:ascii="Arial" w:hAnsi="Arial" w:cs="Arial"/>
                <w:i/>
                <w:iCs/>
                <w:sz w:val="22"/>
                <w:szCs w:val="22"/>
              </w:rPr>
              <w:fldChar w:fldCharType="end"/>
            </w:r>
          </w:p>
        </w:tc>
      </w:tr>
      <w:tr w:rsidR="00C9078D" w:rsidRPr="00B1138B" w14:paraId="4621497F" w14:textId="77777777" w:rsidTr="005F088C">
        <w:tc>
          <w:tcPr>
            <w:tcW w:w="3116" w:type="dxa"/>
          </w:tcPr>
          <w:p w14:paraId="33332AA2" w14:textId="25FFFD86" w:rsidR="00C9078D" w:rsidRPr="00B1138B" w:rsidRDefault="00D644FB" w:rsidP="00FC79BD">
            <w:pPr>
              <w:jc w:val="both"/>
              <w:rPr>
                <w:rFonts w:ascii="Arial" w:hAnsi="Arial" w:cs="Arial"/>
                <w:i/>
                <w:iCs/>
                <w:sz w:val="22"/>
                <w:szCs w:val="22"/>
              </w:rPr>
            </w:pPr>
            <w:r w:rsidRPr="00B1138B">
              <w:rPr>
                <w:rFonts w:ascii="Arial" w:hAnsi="Arial" w:cs="Arial"/>
                <w:i/>
                <w:iCs/>
                <w:sz w:val="22"/>
                <w:szCs w:val="22"/>
              </w:rPr>
              <w:t>Income elasticity</w:t>
            </w:r>
          </w:p>
        </w:tc>
        <w:tc>
          <w:tcPr>
            <w:tcW w:w="3117" w:type="dxa"/>
          </w:tcPr>
          <w:p w14:paraId="4CF758A6" w14:textId="1CED6415" w:rsidR="00C9078D" w:rsidRPr="00B1138B" w:rsidRDefault="00D644FB" w:rsidP="005F088C">
            <w:pPr>
              <w:jc w:val="center"/>
              <w:rPr>
                <w:rFonts w:ascii="Arial" w:hAnsi="Arial" w:cs="Arial"/>
                <w:i/>
                <w:iCs/>
                <w:sz w:val="22"/>
                <w:szCs w:val="22"/>
              </w:rPr>
            </w:pPr>
            <w:r w:rsidRPr="00B1138B">
              <w:rPr>
                <w:rFonts w:ascii="Arial" w:hAnsi="Arial" w:cs="Arial"/>
                <w:i/>
                <w:iCs/>
                <w:sz w:val="22"/>
                <w:szCs w:val="22"/>
              </w:rPr>
              <w:t>0.5-1.5</w:t>
            </w:r>
          </w:p>
        </w:tc>
        <w:tc>
          <w:tcPr>
            <w:tcW w:w="3117" w:type="dxa"/>
          </w:tcPr>
          <w:p w14:paraId="4810C34D" w14:textId="04FF1AC1" w:rsidR="00C9078D" w:rsidRPr="00B1138B" w:rsidRDefault="00C4139A" w:rsidP="00FC79BD">
            <w:pPr>
              <w:jc w:val="both"/>
              <w:rPr>
                <w:rFonts w:ascii="Arial" w:hAnsi="Arial" w:cs="Arial"/>
                <w:i/>
                <w:iCs/>
                <w:sz w:val="22"/>
                <w:szCs w:val="22"/>
              </w:rPr>
            </w:pPr>
            <w:proofErr w:type="spellStart"/>
            <w:r w:rsidRPr="00B1138B">
              <w:rPr>
                <w:rFonts w:ascii="Arial" w:hAnsi="Arial" w:cs="Arial"/>
                <w:i/>
                <w:iCs/>
                <w:sz w:val="22"/>
                <w:szCs w:val="22"/>
              </w:rPr>
              <w:t>Hammitt</w:t>
            </w:r>
            <w:proofErr w:type="spellEnd"/>
            <w:r w:rsidRPr="00B1138B">
              <w:rPr>
                <w:rFonts w:ascii="Arial" w:hAnsi="Arial" w:cs="Arial"/>
                <w:i/>
                <w:iCs/>
                <w:sz w:val="22"/>
                <w:szCs w:val="22"/>
              </w:rPr>
              <w:t xml:space="preserve"> and </w:t>
            </w:r>
            <w:r w:rsidR="00D644FB" w:rsidRPr="00B1138B">
              <w:rPr>
                <w:rFonts w:ascii="Arial" w:hAnsi="Arial" w:cs="Arial"/>
                <w:i/>
                <w:iCs/>
                <w:sz w:val="22"/>
                <w:szCs w:val="22"/>
              </w:rPr>
              <w:t>Robinson</w:t>
            </w:r>
            <w:r w:rsidRPr="00B1138B">
              <w:rPr>
                <w:rFonts w:ascii="Arial" w:hAnsi="Arial" w:cs="Arial"/>
                <w:i/>
                <w:iCs/>
                <w:sz w:val="22"/>
                <w:szCs w:val="22"/>
              </w:rPr>
              <w:fldChar w:fldCharType="begin"/>
            </w:r>
            <w:r w:rsidR="00516702" w:rsidRPr="00B1138B">
              <w:rPr>
                <w:rFonts w:ascii="Arial" w:hAnsi="Arial" w:cs="Arial"/>
                <w:i/>
                <w:iCs/>
                <w:sz w:val="22"/>
                <w:szCs w:val="22"/>
              </w:rPr>
              <w:instrText xml:space="preserve"> ADDIN ZOTERO_ITEM CSL_CITATION {"citationID":"sfsYnslA","properties":{"formattedCitation":"\\super 16\\nosupersub{}","plainCitation":"16","noteIndex":0},"citationItems":[{"id":26938,"uris":["http://zotero.org/users/local/p8g0WsVO/items/NDCWEDRG"],"itemData":{"id":26938,"type":"article-journal","abstract":"The income elasticity of the value per statistical life (VSL) is an important parameter for policy analysis. Mortality risk reductions often dominate the quantified benefits of environmental and other policies, and estimates of their value are frequently transferred across countries with significantly different income levels. U.S. regulatory agencies typically assume that a 1.0 percent change in real income over time will lead to a 0.4 to 0.6 percent change in the VSL. While elasticities within this range are supported by substantial research, they appear nonsensical if applied to populations with significantly smaller incomes. When transferring values between high and lower income countries, analysts often instead assume an elasticity of 1.0, but the resulting VSL estimates appear large in comparison to income. Elasticities greater than 1.0 are supported by research on the relationship between long-term economic growth and the VSL, by cross-country comparisons, and by new research that estimates the VSL by income quantile. Caution is needed when applying these higher elasticities, however, because the resulting VSLs appear smaller than expected future earnings or consumption in some cases, contrary to theory. In addition to indicating the need for more research, this comparison suggests that, in the interim, VSL estimates should be bounded below by estimates of future income or consumption.","container-title":"Journal of Benefit-Cost Analysis","DOI":"10.2202/2152-2812.1009","ISSN":"2194-5888, 2152-2812","issue":"1","language":"en","page":"1-29","source":"Cambridge Core","title":"The Income Elasticity of the Value per Statistical Life: Transferring Estimates between High and Low Income Populations","title-short":"The Income Elasticity of the Value per Statistical Life","URL":"https://www.cambridge.org/core/journals/journal-of-benefit-cost-analysis/article/income-elasticity-of-the-value-per-statistical-life-transferring-estimates-between-high-and-low-income-populations/3AE5B0BB1034B7D898E2C9B3C1507794#","volume":"2","author":[{"family":"Hammitt","given":"James K."},{"family":"Robinson","given":"Lisa A."}],"accessed":{"date-parts":[["2019",3,1]]},"issued":{"date-parts":[["2011",1]]}}}],"schema":"https://github.com/citation-style-language/schema/raw/master/csl-citation.json"} </w:instrText>
            </w:r>
            <w:r w:rsidRPr="00B1138B">
              <w:rPr>
                <w:rFonts w:ascii="Arial" w:hAnsi="Arial" w:cs="Arial"/>
                <w:i/>
                <w:iCs/>
                <w:sz w:val="22"/>
                <w:szCs w:val="22"/>
              </w:rPr>
              <w:fldChar w:fldCharType="separate"/>
            </w:r>
            <w:r w:rsidR="00516702" w:rsidRPr="00B1138B">
              <w:rPr>
                <w:rFonts w:ascii="Arial" w:hAnsi="Arial" w:cs="Arial"/>
                <w:sz w:val="22"/>
                <w:szCs w:val="22"/>
                <w:vertAlign w:val="superscript"/>
              </w:rPr>
              <w:t>16</w:t>
            </w:r>
            <w:r w:rsidRPr="00B1138B">
              <w:rPr>
                <w:rFonts w:ascii="Arial" w:hAnsi="Arial" w:cs="Arial"/>
                <w:i/>
                <w:iCs/>
                <w:sz w:val="22"/>
                <w:szCs w:val="22"/>
              </w:rPr>
              <w:fldChar w:fldCharType="end"/>
            </w:r>
            <w:r w:rsidR="00D644FB" w:rsidRPr="00B1138B">
              <w:rPr>
                <w:rFonts w:ascii="Arial" w:hAnsi="Arial" w:cs="Arial"/>
                <w:i/>
                <w:iCs/>
                <w:sz w:val="22"/>
                <w:szCs w:val="22"/>
              </w:rPr>
              <w:t>.</w:t>
            </w:r>
          </w:p>
        </w:tc>
      </w:tr>
    </w:tbl>
    <w:p w14:paraId="10078741" w14:textId="77777777" w:rsidR="00C9078D" w:rsidRPr="00B1138B" w:rsidRDefault="00C9078D" w:rsidP="00FC79BD">
      <w:pPr>
        <w:jc w:val="both"/>
        <w:rPr>
          <w:rFonts w:ascii="Arial" w:hAnsi="Arial" w:cs="Arial"/>
          <w:sz w:val="22"/>
          <w:szCs w:val="22"/>
        </w:rPr>
      </w:pPr>
    </w:p>
    <w:p w14:paraId="33B389A3" w14:textId="2C334F31" w:rsidR="00CF2FD9" w:rsidRPr="00B1138B" w:rsidRDefault="0043220A" w:rsidP="008E38FB">
      <w:pPr>
        <w:rPr>
          <w:rFonts w:ascii="Arial" w:hAnsi="Arial" w:cs="Arial"/>
          <w:b/>
          <w:bCs/>
          <w:sz w:val="22"/>
          <w:szCs w:val="22"/>
        </w:rPr>
      </w:pPr>
      <w:r>
        <w:rPr>
          <w:rFonts w:ascii="Arial" w:hAnsi="Arial" w:cs="Arial"/>
          <w:b/>
          <w:bCs/>
          <w:sz w:val="22"/>
          <w:szCs w:val="22"/>
        </w:rPr>
        <w:t>Supplemental Table</w:t>
      </w:r>
      <w:r w:rsidR="00A8461F" w:rsidRPr="00B1138B">
        <w:rPr>
          <w:rFonts w:ascii="Arial" w:hAnsi="Arial" w:cs="Arial"/>
          <w:b/>
          <w:bCs/>
          <w:sz w:val="22"/>
          <w:szCs w:val="22"/>
        </w:rPr>
        <w:t xml:space="preserve"> 1: </w:t>
      </w:r>
      <w:r w:rsidR="0035678D" w:rsidRPr="00B1138B">
        <w:rPr>
          <w:rFonts w:ascii="Arial" w:hAnsi="Arial" w:cs="Arial"/>
          <w:b/>
          <w:bCs/>
          <w:sz w:val="22"/>
          <w:szCs w:val="22"/>
        </w:rPr>
        <w:t xml:space="preserve">Upper and lower bounds of economic parameters used in the uncertainty analysis and sources. </w:t>
      </w:r>
    </w:p>
    <w:p w14:paraId="518B2219" w14:textId="2C7A204F" w:rsidR="0035678D" w:rsidRDefault="0035678D" w:rsidP="008E38FB">
      <w:pPr>
        <w:rPr>
          <w:rFonts w:ascii="Arial" w:hAnsi="Arial" w:cs="Arial"/>
          <w:b/>
          <w:bCs/>
          <w:sz w:val="22"/>
          <w:szCs w:val="22"/>
        </w:rPr>
      </w:pPr>
    </w:p>
    <w:p w14:paraId="643649A5" w14:textId="0B144B10" w:rsidR="004E0D07" w:rsidRDefault="0047278C" w:rsidP="0047278C">
      <w:pPr>
        <w:jc w:val="center"/>
        <w:rPr>
          <w:rFonts w:ascii="Arial" w:hAnsi="Arial" w:cs="Arial"/>
          <w:b/>
          <w:bCs/>
          <w:sz w:val="22"/>
          <w:szCs w:val="22"/>
        </w:rPr>
      </w:pPr>
      <w:r w:rsidRPr="0047278C">
        <w:rPr>
          <w:rFonts w:ascii="Arial" w:hAnsi="Arial" w:cs="Arial"/>
          <w:b/>
          <w:bCs/>
          <w:noProof/>
          <w:sz w:val="22"/>
          <w:szCs w:val="22"/>
        </w:rPr>
        <w:drawing>
          <wp:inline distT="0" distB="0" distL="0" distR="0" wp14:anchorId="34879FFB" wp14:editId="2E1A414C">
            <wp:extent cx="4525465" cy="2660162"/>
            <wp:effectExtent l="12700" t="12700" r="8890" b="698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5"/>
                    <a:stretch>
                      <a:fillRect/>
                    </a:stretch>
                  </pic:blipFill>
                  <pic:spPr>
                    <a:xfrm>
                      <a:off x="0" y="0"/>
                      <a:ext cx="4588312" cy="2697105"/>
                    </a:xfrm>
                    <a:prstGeom prst="rect">
                      <a:avLst/>
                    </a:prstGeom>
                    <a:ln>
                      <a:solidFill>
                        <a:schemeClr val="tx1"/>
                      </a:solidFill>
                    </a:ln>
                  </pic:spPr>
                </pic:pic>
              </a:graphicData>
            </a:graphic>
          </wp:inline>
        </w:drawing>
      </w:r>
    </w:p>
    <w:p w14:paraId="62E64B05" w14:textId="77777777" w:rsidR="00FB54C2" w:rsidRDefault="00FB54C2" w:rsidP="0047278C">
      <w:pPr>
        <w:jc w:val="center"/>
        <w:rPr>
          <w:rFonts w:ascii="Arial" w:hAnsi="Arial" w:cs="Arial"/>
          <w:b/>
          <w:bCs/>
          <w:sz w:val="22"/>
          <w:szCs w:val="22"/>
        </w:rPr>
      </w:pPr>
    </w:p>
    <w:p w14:paraId="24905764" w14:textId="12625F14" w:rsidR="0047278C" w:rsidRDefault="0047278C" w:rsidP="0047278C">
      <w:pPr>
        <w:jc w:val="center"/>
        <w:rPr>
          <w:rFonts w:ascii="Arial" w:hAnsi="Arial" w:cs="Arial"/>
          <w:b/>
          <w:bCs/>
          <w:sz w:val="22"/>
          <w:szCs w:val="22"/>
        </w:rPr>
      </w:pPr>
      <w:r>
        <w:rPr>
          <w:rFonts w:ascii="Arial" w:hAnsi="Arial" w:cs="Arial"/>
          <w:b/>
          <w:bCs/>
          <w:sz w:val="22"/>
          <w:szCs w:val="22"/>
        </w:rPr>
        <w:t>(a)</w:t>
      </w:r>
    </w:p>
    <w:p w14:paraId="5F4A2666" w14:textId="3AAFF564" w:rsidR="0047278C" w:rsidRDefault="0047278C" w:rsidP="0047278C">
      <w:pPr>
        <w:jc w:val="center"/>
        <w:rPr>
          <w:rFonts w:ascii="Arial" w:hAnsi="Arial" w:cs="Arial"/>
          <w:b/>
          <w:bCs/>
          <w:sz w:val="22"/>
          <w:szCs w:val="22"/>
        </w:rPr>
      </w:pPr>
    </w:p>
    <w:p w14:paraId="0B65CB1B" w14:textId="357DDAAB" w:rsidR="0047278C" w:rsidRDefault="0047278C" w:rsidP="0047278C">
      <w:pPr>
        <w:jc w:val="center"/>
        <w:rPr>
          <w:rFonts w:ascii="Arial" w:hAnsi="Arial" w:cs="Arial"/>
          <w:b/>
          <w:bCs/>
          <w:sz w:val="22"/>
          <w:szCs w:val="22"/>
        </w:rPr>
      </w:pPr>
      <w:r w:rsidRPr="0047278C">
        <w:rPr>
          <w:rFonts w:ascii="Arial" w:hAnsi="Arial" w:cs="Arial"/>
          <w:b/>
          <w:bCs/>
          <w:noProof/>
          <w:sz w:val="22"/>
          <w:szCs w:val="22"/>
        </w:rPr>
        <w:drawing>
          <wp:inline distT="0" distB="0" distL="0" distR="0" wp14:anchorId="7091DD91" wp14:editId="3BA1ADA8">
            <wp:extent cx="4536831" cy="2559238"/>
            <wp:effectExtent l="12700" t="12700" r="10160" b="635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6"/>
                    <a:stretch>
                      <a:fillRect/>
                    </a:stretch>
                  </pic:blipFill>
                  <pic:spPr>
                    <a:xfrm>
                      <a:off x="0" y="0"/>
                      <a:ext cx="4545540" cy="2564151"/>
                    </a:xfrm>
                    <a:prstGeom prst="rect">
                      <a:avLst/>
                    </a:prstGeom>
                    <a:ln>
                      <a:solidFill>
                        <a:schemeClr val="tx1"/>
                      </a:solidFill>
                    </a:ln>
                  </pic:spPr>
                </pic:pic>
              </a:graphicData>
            </a:graphic>
          </wp:inline>
        </w:drawing>
      </w:r>
    </w:p>
    <w:p w14:paraId="383A9961" w14:textId="3B1AEE1D" w:rsidR="0047278C" w:rsidRDefault="0047278C" w:rsidP="0047278C">
      <w:pPr>
        <w:jc w:val="center"/>
        <w:rPr>
          <w:rFonts w:ascii="Arial" w:hAnsi="Arial" w:cs="Arial"/>
          <w:b/>
          <w:bCs/>
          <w:sz w:val="22"/>
          <w:szCs w:val="22"/>
        </w:rPr>
      </w:pPr>
    </w:p>
    <w:p w14:paraId="132D9A24" w14:textId="448FDC46" w:rsidR="0047278C" w:rsidRDefault="0047278C" w:rsidP="0047278C">
      <w:pPr>
        <w:jc w:val="center"/>
        <w:rPr>
          <w:rFonts w:ascii="Arial" w:hAnsi="Arial" w:cs="Arial"/>
          <w:b/>
          <w:bCs/>
          <w:sz w:val="22"/>
          <w:szCs w:val="22"/>
        </w:rPr>
      </w:pPr>
      <w:r>
        <w:rPr>
          <w:rFonts w:ascii="Arial" w:hAnsi="Arial" w:cs="Arial"/>
          <w:b/>
          <w:bCs/>
          <w:sz w:val="22"/>
          <w:szCs w:val="22"/>
        </w:rPr>
        <w:t>(b)</w:t>
      </w:r>
    </w:p>
    <w:p w14:paraId="5E0245E4" w14:textId="2B2482D5" w:rsidR="0047278C" w:rsidRDefault="0047278C" w:rsidP="00A52F0E">
      <w:pPr>
        <w:rPr>
          <w:rFonts w:ascii="Arial" w:hAnsi="Arial" w:cs="Arial"/>
          <w:b/>
          <w:bCs/>
          <w:sz w:val="22"/>
          <w:szCs w:val="22"/>
        </w:rPr>
      </w:pPr>
    </w:p>
    <w:p w14:paraId="32BBF986" w14:textId="76ADE123" w:rsidR="00A52F0E" w:rsidRDefault="0043220A" w:rsidP="00A52F0E">
      <w:pPr>
        <w:rPr>
          <w:rFonts w:ascii="Arial" w:hAnsi="Arial" w:cs="Arial"/>
          <w:b/>
          <w:bCs/>
          <w:sz w:val="22"/>
          <w:szCs w:val="22"/>
        </w:rPr>
      </w:pPr>
      <w:r>
        <w:rPr>
          <w:rFonts w:ascii="Arial" w:hAnsi="Arial" w:cs="Arial"/>
          <w:b/>
          <w:bCs/>
          <w:sz w:val="22"/>
          <w:szCs w:val="22"/>
        </w:rPr>
        <w:t xml:space="preserve">Supplemental </w:t>
      </w:r>
      <w:r w:rsidR="00A52F0E">
        <w:rPr>
          <w:rFonts w:ascii="Arial" w:hAnsi="Arial" w:cs="Arial"/>
          <w:b/>
          <w:bCs/>
          <w:sz w:val="22"/>
          <w:szCs w:val="22"/>
        </w:rPr>
        <w:t xml:space="preserve">Figure 1: </w:t>
      </w:r>
      <w:r w:rsidR="00A52F0E" w:rsidRPr="00A52F0E">
        <w:rPr>
          <w:rFonts w:ascii="Arial" w:hAnsi="Arial" w:cs="Arial"/>
          <w:sz w:val="22"/>
          <w:szCs w:val="22"/>
        </w:rPr>
        <w:t>Sensitivity of full income estimates to parameter values: (a) Tornado diagram of the sensitivity of full income estimates to GDP per capita and GDP per capita multiplier; (b) Spider diagram of the sensitivity of full income estimates to GDP per capita and GDP per capita multiplier.</w:t>
      </w:r>
    </w:p>
    <w:p w14:paraId="6E60C938" w14:textId="6CF48FC8" w:rsidR="0047278C" w:rsidRDefault="00A52F0E" w:rsidP="0047278C">
      <w:pPr>
        <w:jc w:val="center"/>
        <w:rPr>
          <w:rFonts w:ascii="Arial" w:hAnsi="Arial" w:cs="Arial"/>
          <w:b/>
          <w:bCs/>
          <w:sz w:val="22"/>
          <w:szCs w:val="22"/>
        </w:rPr>
      </w:pPr>
      <w:r w:rsidRPr="00A52F0E">
        <w:rPr>
          <w:rFonts w:ascii="Arial" w:hAnsi="Arial" w:cs="Arial"/>
          <w:b/>
          <w:bCs/>
          <w:noProof/>
          <w:sz w:val="22"/>
          <w:szCs w:val="22"/>
        </w:rPr>
        <w:drawing>
          <wp:inline distT="0" distB="0" distL="0" distR="0" wp14:anchorId="31CE75E9" wp14:editId="740624E4">
            <wp:extent cx="4503739" cy="2642577"/>
            <wp:effectExtent l="12700" t="12700" r="17780" b="12065"/>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7"/>
                    <a:stretch>
                      <a:fillRect/>
                    </a:stretch>
                  </pic:blipFill>
                  <pic:spPr>
                    <a:xfrm>
                      <a:off x="0" y="0"/>
                      <a:ext cx="4529600" cy="2657751"/>
                    </a:xfrm>
                    <a:prstGeom prst="rect">
                      <a:avLst/>
                    </a:prstGeom>
                    <a:ln>
                      <a:solidFill>
                        <a:schemeClr val="tx1"/>
                      </a:solidFill>
                    </a:ln>
                  </pic:spPr>
                </pic:pic>
              </a:graphicData>
            </a:graphic>
          </wp:inline>
        </w:drawing>
      </w:r>
    </w:p>
    <w:p w14:paraId="7D3CEDF4" w14:textId="2581A50D" w:rsidR="00A52F0E" w:rsidRDefault="00A52F0E" w:rsidP="0047278C">
      <w:pPr>
        <w:jc w:val="center"/>
        <w:rPr>
          <w:rFonts w:ascii="Arial" w:hAnsi="Arial" w:cs="Arial"/>
          <w:b/>
          <w:bCs/>
          <w:sz w:val="22"/>
          <w:szCs w:val="22"/>
        </w:rPr>
      </w:pPr>
    </w:p>
    <w:p w14:paraId="79A59D7D" w14:textId="618DC31C" w:rsidR="00A52F0E" w:rsidRDefault="00A52F0E" w:rsidP="0047278C">
      <w:pPr>
        <w:jc w:val="center"/>
        <w:rPr>
          <w:rFonts w:ascii="Arial" w:hAnsi="Arial" w:cs="Arial"/>
          <w:b/>
          <w:bCs/>
          <w:sz w:val="22"/>
          <w:szCs w:val="22"/>
        </w:rPr>
      </w:pPr>
      <w:r>
        <w:rPr>
          <w:rFonts w:ascii="Arial" w:hAnsi="Arial" w:cs="Arial"/>
          <w:b/>
          <w:bCs/>
          <w:sz w:val="22"/>
          <w:szCs w:val="22"/>
        </w:rPr>
        <w:t>(a)</w:t>
      </w:r>
    </w:p>
    <w:p w14:paraId="1682F7C5" w14:textId="3967F7F0" w:rsidR="00A52F0E" w:rsidRDefault="00A52F0E" w:rsidP="0047278C">
      <w:pPr>
        <w:jc w:val="center"/>
        <w:rPr>
          <w:rFonts w:ascii="Arial" w:hAnsi="Arial" w:cs="Arial"/>
          <w:b/>
          <w:bCs/>
          <w:sz w:val="22"/>
          <w:szCs w:val="22"/>
        </w:rPr>
      </w:pPr>
    </w:p>
    <w:p w14:paraId="649F94F1" w14:textId="0354E51D" w:rsidR="00A52F0E" w:rsidRDefault="00A52F0E" w:rsidP="0047278C">
      <w:pPr>
        <w:jc w:val="center"/>
        <w:rPr>
          <w:rFonts w:ascii="Arial" w:hAnsi="Arial" w:cs="Arial"/>
          <w:b/>
          <w:bCs/>
          <w:sz w:val="22"/>
          <w:szCs w:val="22"/>
        </w:rPr>
      </w:pPr>
      <w:r w:rsidRPr="00A52F0E">
        <w:rPr>
          <w:rFonts w:ascii="Arial" w:hAnsi="Arial" w:cs="Arial"/>
          <w:b/>
          <w:bCs/>
          <w:noProof/>
          <w:sz w:val="22"/>
          <w:szCs w:val="22"/>
        </w:rPr>
        <w:drawing>
          <wp:inline distT="0" distB="0" distL="0" distR="0" wp14:anchorId="58522296" wp14:editId="238368B6">
            <wp:extent cx="4488962" cy="2624796"/>
            <wp:effectExtent l="12700" t="12700" r="6985" b="17145"/>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8"/>
                    <a:stretch>
                      <a:fillRect/>
                    </a:stretch>
                  </pic:blipFill>
                  <pic:spPr>
                    <a:xfrm>
                      <a:off x="0" y="0"/>
                      <a:ext cx="4495501" cy="2628619"/>
                    </a:xfrm>
                    <a:prstGeom prst="rect">
                      <a:avLst/>
                    </a:prstGeom>
                    <a:ln>
                      <a:solidFill>
                        <a:schemeClr val="tx1"/>
                      </a:solidFill>
                    </a:ln>
                  </pic:spPr>
                </pic:pic>
              </a:graphicData>
            </a:graphic>
          </wp:inline>
        </w:drawing>
      </w:r>
    </w:p>
    <w:p w14:paraId="6AE63896" w14:textId="1D15D566" w:rsidR="00A52F0E" w:rsidRDefault="00A52F0E" w:rsidP="0047278C">
      <w:pPr>
        <w:jc w:val="center"/>
        <w:rPr>
          <w:rFonts w:ascii="Arial" w:hAnsi="Arial" w:cs="Arial"/>
          <w:b/>
          <w:bCs/>
          <w:sz w:val="22"/>
          <w:szCs w:val="22"/>
        </w:rPr>
      </w:pPr>
    </w:p>
    <w:p w14:paraId="69A85AAE" w14:textId="598D4A94" w:rsidR="00A52F0E" w:rsidRDefault="00A52F0E" w:rsidP="0047278C">
      <w:pPr>
        <w:jc w:val="center"/>
        <w:rPr>
          <w:rFonts w:ascii="Arial" w:hAnsi="Arial" w:cs="Arial"/>
          <w:b/>
          <w:bCs/>
          <w:sz w:val="22"/>
          <w:szCs w:val="22"/>
        </w:rPr>
      </w:pPr>
      <w:r>
        <w:rPr>
          <w:rFonts w:ascii="Arial" w:hAnsi="Arial" w:cs="Arial"/>
          <w:b/>
          <w:bCs/>
          <w:sz w:val="22"/>
          <w:szCs w:val="22"/>
        </w:rPr>
        <w:t>(b)</w:t>
      </w:r>
    </w:p>
    <w:p w14:paraId="1C72E75C" w14:textId="54FB3B32" w:rsidR="00A52F0E" w:rsidRDefault="00A52F0E" w:rsidP="0047278C">
      <w:pPr>
        <w:jc w:val="center"/>
        <w:rPr>
          <w:rFonts w:ascii="Arial" w:hAnsi="Arial" w:cs="Arial"/>
          <w:b/>
          <w:bCs/>
          <w:sz w:val="22"/>
          <w:szCs w:val="22"/>
        </w:rPr>
      </w:pPr>
    </w:p>
    <w:p w14:paraId="314E0C25" w14:textId="07A2EA50" w:rsidR="00FB54C2" w:rsidRDefault="0043220A" w:rsidP="00FB54C2">
      <w:pPr>
        <w:rPr>
          <w:rFonts w:ascii="Arial" w:hAnsi="Arial" w:cs="Arial"/>
          <w:b/>
          <w:bCs/>
          <w:sz w:val="22"/>
          <w:szCs w:val="22"/>
        </w:rPr>
      </w:pPr>
      <w:r>
        <w:rPr>
          <w:rFonts w:ascii="Arial" w:hAnsi="Arial" w:cs="Arial"/>
          <w:b/>
          <w:bCs/>
          <w:sz w:val="22"/>
          <w:szCs w:val="22"/>
        </w:rPr>
        <w:t xml:space="preserve">Supplemental </w:t>
      </w:r>
      <w:r w:rsidR="00FB54C2">
        <w:rPr>
          <w:rFonts w:ascii="Arial" w:hAnsi="Arial" w:cs="Arial"/>
          <w:b/>
          <w:bCs/>
          <w:sz w:val="22"/>
          <w:szCs w:val="22"/>
        </w:rPr>
        <w:t xml:space="preserve">Figure 2: </w:t>
      </w:r>
      <w:r w:rsidR="00FB54C2" w:rsidRPr="00A52F0E">
        <w:rPr>
          <w:rFonts w:ascii="Arial" w:hAnsi="Arial" w:cs="Arial"/>
          <w:sz w:val="22"/>
          <w:szCs w:val="22"/>
        </w:rPr>
        <w:t xml:space="preserve">Sensitivity of </w:t>
      </w:r>
      <w:r w:rsidR="00FB54C2">
        <w:rPr>
          <w:rFonts w:ascii="Arial" w:hAnsi="Arial" w:cs="Arial"/>
          <w:sz w:val="22"/>
          <w:szCs w:val="22"/>
        </w:rPr>
        <w:t>age specific VSL based</w:t>
      </w:r>
      <w:r w:rsidR="00FB54C2" w:rsidRPr="00A52F0E">
        <w:rPr>
          <w:rFonts w:ascii="Arial" w:hAnsi="Arial" w:cs="Arial"/>
          <w:sz w:val="22"/>
          <w:szCs w:val="22"/>
        </w:rPr>
        <w:t xml:space="preserve"> estimates to parameter values: (a) Tornado diagram of the sensitivity of </w:t>
      </w:r>
      <w:r w:rsidR="00FB54C2">
        <w:rPr>
          <w:rFonts w:ascii="Arial" w:hAnsi="Arial" w:cs="Arial"/>
          <w:sz w:val="22"/>
          <w:szCs w:val="22"/>
        </w:rPr>
        <w:t>age specific VSL based</w:t>
      </w:r>
      <w:r w:rsidR="00FB54C2" w:rsidRPr="00A52F0E">
        <w:rPr>
          <w:rFonts w:ascii="Arial" w:hAnsi="Arial" w:cs="Arial"/>
          <w:sz w:val="22"/>
          <w:szCs w:val="22"/>
        </w:rPr>
        <w:t xml:space="preserve"> estimates to GDP per capita and GDP per capita multiplier; (b) Spider diagram of the sensitivity of </w:t>
      </w:r>
      <w:r w:rsidR="00FB54C2">
        <w:rPr>
          <w:rFonts w:ascii="Arial" w:hAnsi="Arial" w:cs="Arial"/>
          <w:sz w:val="22"/>
          <w:szCs w:val="22"/>
        </w:rPr>
        <w:t>age specific VSL based</w:t>
      </w:r>
      <w:r w:rsidR="00FB54C2" w:rsidRPr="00A52F0E">
        <w:rPr>
          <w:rFonts w:ascii="Arial" w:hAnsi="Arial" w:cs="Arial"/>
          <w:sz w:val="22"/>
          <w:szCs w:val="22"/>
        </w:rPr>
        <w:t xml:space="preserve"> estimates to GDP per capita and GDP per capita multiplier.</w:t>
      </w:r>
    </w:p>
    <w:p w14:paraId="451AD444" w14:textId="77777777" w:rsidR="00FB54C2" w:rsidRDefault="00FB54C2" w:rsidP="00FB54C2">
      <w:pPr>
        <w:rPr>
          <w:rFonts w:ascii="Arial" w:hAnsi="Arial" w:cs="Arial"/>
          <w:b/>
          <w:bCs/>
          <w:sz w:val="22"/>
          <w:szCs w:val="22"/>
        </w:rPr>
      </w:pPr>
    </w:p>
    <w:p w14:paraId="67E9FDDA" w14:textId="77777777" w:rsidR="00A52F0E" w:rsidRDefault="00A52F0E" w:rsidP="00A52F0E">
      <w:pPr>
        <w:rPr>
          <w:rFonts w:ascii="Arial" w:hAnsi="Arial" w:cs="Arial"/>
          <w:b/>
          <w:bCs/>
          <w:sz w:val="22"/>
          <w:szCs w:val="22"/>
        </w:rPr>
      </w:pPr>
    </w:p>
    <w:p w14:paraId="42418A4A" w14:textId="77777777" w:rsidR="0047278C" w:rsidRPr="00B1138B" w:rsidRDefault="0047278C" w:rsidP="0047278C">
      <w:pPr>
        <w:jc w:val="center"/>
        <w:rPr>
          <w:rFonts w:ascii="Arial" w:hAnsi="Arial" w:cs="Arial"/>
          <w:b/>
          <w:bCs/>
          <w:sz w:val="22"/>
          <w:szCs w:val="22"/>
        </w:rPr>
      </w:pPr>
    </w:p>
    <w:p w14:paraId="3BD47480" w14:textId="4ECB36D6" w:rsidR="00AD1EE1" w:rsidRDefault="00AD1EE1" w:rsidP="00AD1EE1">
      <w:pPr>
        <w:rPr>
          <w:rFonts w:ascii="Arial" w:hAnsi="Arial" w:cs="Arial"/>
          <w:b/>
          <w:bCs/>
          <w:sz w:val="22"/>
          <w:szCs w:val="22"/>
        </w:rPr>
      </w:pPr>
      <w:r w:rsidRPr="00B1138B">
        <w:rPr>
          <w:rFonts w:ascii="Arial" w:hAnsi="Arial" w:cs="Arial"/>
          <w:b/>
          <w:bCs/>
          <w:sz w:val="22"/>
          <w:szCs w:val="22"/>
        </w:rPr>
        <w:lastRenderedPageBreak/>
        <w:t>Data</w:t>
      </w:r>
    </w:p>
    <w:p w14:paraId="0959245B" w14:textId="77777777" w:rsidR="00AD1EE1" w:rsidRPr="004E5DD6" w:rsidRDefault="00AD1EE1" w:rsidP="008E38FB">
      <w:pPr>
        <w:rPr>
          <w:rFonts w:ascii="Arial" w:hAnsi="Arial" w:cs="Arial"/>
          <w:sz w:val="22"/>
          <w:szCs w:val="22"/>
        </w:rPr>
      </w:pPr>
    </w:p>
    <w:tbl>
      <w:tblPr>
        <w:tblW w:w="9130" w:type="dxa"/>
        <w:tblInd w:w="270" w:type="dxa"/>
        <w:tblLook w:val="04A0" w:firstRow="1" w:lastRow="0" w:firstColumn="1" w:lastColumn="0" w:noHBand="0" w:noVBand="1"/>
      </w:tblPr>
      <w:tblGrid>
        <w:gridCol w:w="910"/>
        <w:gridCol w:w="1880"/>
        <w:gridCol w:w="2380"/>
        <w:gridCol w:w="1820"/>
        <w:gridCol w:w="2140"/>
      </w:tblGrid>
      <w:tr w:rsidR="00411E8D" w:rsidRPr="004E5DD6" w14:paraId="30CC2037" w14:textId="77777777" w:rsidTr="00FF60C6">
        <w:trPr>
          <w:trHeight w:val="680"/>
        </w:trPr>
        <w:tc>
          <w:tcPr>
            <w:tcW w:w="910" w:type="dxa"/>
            <w:tcBorders>
              <w:top w:val="single" w:sz="4" w:space="0" w:color="auto"/>
              <w:left w:val="nil"/>
              <w:bottom w:val="single" w:sz="4" w:space="0" w:color="auto"/>
              <w:right w:val="nil"/>
            </w:tcBorders>
            <w:shd w:val="clear" w:color="auto" w:fill="auto"/>
            <w:vAlign w:val="bottom"/>
            <w:hideMark/>
          </w:tcPr>
          <w:p w14:paraId="14FFA90E"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Age Group</w:t>
            </w:r>
          </w:p>
        </w:tc>
        <w:tc>
          <w:tcPr>
            <w:tcW w:w="1880" w:type="dxa"/>
            <w:tcBorders>
              <w:top w:val="single" w:sz="4" w:space="0" w:color="auto"/>
              <w:left w:val="nil"/>
              <w:bottom w:val="single" w:sz="4" w:space="0" w:color="auto"/>
              <w:right w:val="nil"/>
            </w:tcBorders>
            <w:shd w:val="clear" w:color="auto" w:fill="auto"/>
            <w:vAlign w:val="bottom"/>
            <w:hideMark/>
          </w:tcPr>
          <w:p w14:paraId="2F05433F"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Race and Ethnicity</w:t>
            </w:r>
          </w:p>
        </w:tc>
        <w:tc>
          <w:tcPr>
            <w:tcW w:w="2380" w:type="dxa"/>
            <w:tcBorders>
              <w:top w:val="single" w:sz="4" w:space="0" w:color="auto"/>
              <w:left w:val="nil"/>
              <w:bottom w:val="single" w:sz="4" w:space="0" w:color="auto"/>
              <w:right w:val="nil"/>
            </w:tcBorders>
            <w:shd w:val="clear" w:color="auto" w:fill="auto"/>
            <w:vAlign w:val="bottom"/>
            <w:hideMark/>
          </w:tcPr>
          <w:p w14:paraId="77F19476"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Expected Deaths Without COVID-19</w:t>
            </w:r>
          </w:p>
        </w:tc>
        <w:tc>
          <w:tcPr>
            <w:tcW w:w="1820" w:type="dxa"/>
            <w:tcBorders>
              <w:top w:val="single" w:sz="4" w:space="0" w:color="auto"/>
              <w:left w:val="nil"/>
              <w:bottom w:val="single" w:sz="4" w:space="0" w:color="auto"/>
              <w:right w:val="nil"/>
            </w:tcBorders>
            <w:shd w:val="clear" w:color="auto" w:fill="auto"/>
            <w:vAlign w:val="bottom"/>
            <w:hideMark/>
          </w:tcPr>
          <w:p w14:paraId="09D96523"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 xml:space="preserve">COVID-19 </w:t>
            </w:r>
            <w:r w:rsidRPr="004E5DD6">
              <w:rPr>
                <w:rFonts w:ascii="Arial" w:eastAsia="Times New Roman" w:hAnsi="Arial" w:cs="Arial"/>
                <w:b/>
                <w:bCs/>
                <w:i/>
                <w:iCs/>
                <w:color w:val="000000"/>
                <w:sz w:val="22"/>
                <w:szCs w:val="22"/>
              </w:rPr>
              <w:br/>
              <w:t>Deaths</w:t>
            </w:r>
          </w:p>
        </w:tc>
        <w:tc>
          <w:tcPr>
            <w:tcW w:w="2140" w:type="dxa"/>
            <w:tcBorders>
              <w:top w:val="single" w:sz="4" w:space="0" w:color="auto"/>
              <w:left w:val="nil"/>
              <w:bottom w:val="single" w:sz="4" w:space="0" w:color="auto"/>
              <w:right w:val="nil"/>
            </w:tcBorders>
            <w:shd w:val="clear" w:color="auto" w:fill="auto"/>
            <w:vAlign w:val="bottom"/>
            <w:hideMark/>
          </w:tcPr>
          <w:p w14:paraId="7409A356"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 xml:space="preserve">Life Expectancy </w:t>
            </w:r>
            <w:r w:rsidRPr="004E5DD6">
              <w:rPr>
                <w:rFonts w:ascii="Arial" w:eastAsia="Times New Roman" w:hAnsi="Arial" w:cs="Arial"/>
                <w:b/>
                <w:bCs/>
                <w:i/>
                <w:iCs/>
                <w:color w:val="000000"/>
                <w:sz w:val="22"/>
                <w:szCs w:val="22"/>
              </w:rPr>
              <w:br/>
              <w:t>Losses (Years)</w:t>
            </w:r>
          </w:p>
        </w:tc>
      </w:tr>
      <w:tr w:rsidR="00411E8D" w:rsidRPr="004E5DD6" w14:paraId="4DFC7329" w14:textId="77777777" w:rsidTr="00FF60C6">
        <w:trPr>
          <w:trHeight w:val="320"/>
        </w:trPr>
        <w:tc>
          <w:tcPr>
            <w:tcW w:w="910" w:type="dxa"/>
            <w:tcBorders>
              <w:top w:val="single" w:sz="4" w:space="0" w:color="auto"/>
              <w:left w:val="nil"/>
              <w:bottom w:val="nil"/>
              <w:right w:val="nil"/>
            </w:tcBorders>
            <w:shd w:val="clear" w:color="auto" w:fill="auto"/>
            <w:noWrap/>
            <w:vAlign w:val="bottom"/>
            <w:hideMark/>
          </w:tcPr>
          <w:p w14:paraId="21FCAF21"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&lt;1</w:t>
            </w:r>
          </w:p>
        </w:tc>
        <w:tc>
          <w:tcPr>
            <w:tcW w:w="1880" w:type="dxa"/>
            <w:tcBorders>
              <w:top w:val="single" w:sz="4" w:space="0" w:color="auto"/>
              <w:left w:val="nil"/>
              <w:bottom w:val="nil"/>
              <w:right w:val="nil"/>
            </w:tcBorders>
            <w:shd w:val="clear" w:color="auto" w:fill="auto"/>
            <w:noWrap/>
            <w:vAlign w:val="bottom"/>
            <w:hideMark/>
          </w:tcPr>
          <w:p w14:paraId="75D753F6"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White</w:t>
            </w:r>
          </w:p>
        </w:tc>
        <w:tc>
          <w:tcPr>
            <w:tcW w:w="2380" w:type="dxa"/>
            <w:tcBorders>
              <w:top w:val="single" w:sz="4" w:space="0" w:color="auto"/>
              <w:left w:val="nil"/>
              <w:bottom w:val="nil"/>
              <w:right w:val="nil"/>
            </w:tcBorders>
            <w:shd w:val="clear" w:color="auto" w:fill="auto"/>
            <w:noWrap/>
            <w:vAlign w:val="bottom"/>
            <w:hideMark/>
          </w:tcPr>
          <w:p w14:paraId="60BCEF7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10,690</w:t>
            </w:r>
          </w:p>
        </w:tc>
        <w:tc>
          <w:tcPr>
            <w:tcW w:w="1820" w:type="dxa"/>
            <w:tcBorders>
              <w:top w:val="single" w:sz="4" w:space="0" w:color="auto"/>
              <w:left w:val="nil"/>
              <w:bottom w:val="nil"/>
              <w:right w:val="nil"/>
            </w:tcBorders>
            <w:shd w:val="clear" w:color="auto" w:fill="auto"/>
            <w:noWrap/>
            <w:hideMark/>
          </w:tcPr>
          <w:p w14:paraId="4B3A8B41"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102</w:t>
            </w:r>
          </w:p>
        </w:tc>
        <w:tc>
          <w:tcPr>
            <w:tcW w:w="2140" w:type="dxa"/>
            <w:tcBorders>
              <w:top w:val="single" w:sz="4" w:space="0" w:color="auto"/>
              <w:left w:val="nil"/>
              <w:bottom w:val="nil"/>
              <w:right w:val="nil"/>
            </w:tcBorders>
            <w:shd w:val="clear" w:color="auto" w:fill="auto"/>
            <w:noWrap/>
            <w:hideMark/>
          </w:tcPr>
          <w:p w14:paraId="1FFD2836"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2.526</w:t>
            </w:r>
          </w:p>
        </w:tc>
      </w:tr>
      <w:tr w:rsidR="00411E8D" w:rsidRPr="004E5DD6" w14:paraId="5F23E7B2" w14:textId="77777777" w:rsidTr="00FF60C6">
        <w:trPr>
          <w:trHeight w:val="320"/>
        </w:trPr>
        <w:tc>
          <w:tcPr>
            <w:tcW w:w="910" w:type="dxa"/>
            <w:tcBorders>
              <w:top w:val="nil"/>
              <w:left w:val="nil"/>
              <w:bottom w:val="nil"/>
              <w:right w:val="nil"/>
            </w:tcBorders>
            <w:shd w:val="clear" w:color="auto" w:fill="auto"/>
            <w:noWrap/>
            <w:vAlign w:val="bottom"/>
            <w:hideMark/>
          </w:tcPr>
          <w:p w14:paraId="68DADA0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1-4</w:t>
            </w:r>
          </w:p>
        </w:tc>
        <w:tc>
          <w:tcPr>
            <w:tcW w:w="1880" w:type="dxa"/>
            <w:tcBorders>
              <w:top w:val="nil"/>
              <w:left w:val="nil"/>
              <w:bottom w:val="nil"/>
              <w:right w:val="nil"/>
            </w:tcBorders>
            <w:shd w:val="clear" w:color="auto" w:fill="auto"/>
            <w:noWrap/>
            <w:vAlign w:val="bottom"/>
            <w:hideMark/>
          </w:tcPr>
          <w:p w14:paraId="2EEB8BE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White</w:t>
            </w:r>
          </w:p>
        </w:tc>
        <w:tc>
          <w:tcPr>
            <w:tcW w:w="2380" w:type="dxa"/>
            <w:tcBorders>
              <w:top w:val="nil"/>
              <w:left w:val="nil"/>
              <w:bottom w:val="nil"/>
              <w:right w:val="nil"/>
            </w:tcBorders>
            <w:shd w:val="clear" w:color="auto" w:fill="auto"/>
            <w:noWrap/>
            <w:vAlign w:val="bottom"/>
            <w:hideMark/>
          </w:tcPr>
          <w:p w14:paraId="1D63B1D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2,539</w:t>
            </w:r>
          </w:p>
        </w:tc>
        <w:tc>
          <w:tcPr>
            <w:tcW w:w="1820" w:type="dxa"/>
            <w:tcBorders>
              <w:top w:val="nil"/>
              <w:left w:val="nil"/>
              <w:bottom w:val="nil"/>
              <w:right w:val="nil"/>
            </w:tcBorders>
            <w:shd w:val="clear" w:color="auto" w:fill="auto"/>
            <w:noWrap/>
            <w:hideMark/>
          </w:tcPr>
          <w:p w14:paraId="14AADF3A"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49</w:t>
            </w:r>
          </w:p>
        </w:tc>
        <w:tc>
          <w:tcPr>
            <w:tcW w:w="2140" w:type="dxa"/>
            <w:tcBorders>
              <w:top w:val="nil"/>
              <w:left w:val="nil"/>
              <w:bottom w:val="nil"/>
              <w:right w:val="nil"/>
            </w:tcBorders>
            <w:shd w:val="clear" w:color="auto" w:fill="auto"/>
            <w:noWrap/>
            <w:hideMark/>
          </w:tcPr>
          <w:p w14:paraId="7A425E2D"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2.535</w:t>
            </w:r>
          </w:p>
        </w:tc>
      </w:tr>
      <w:tr w:rsidR="00411E8D" w:rsidRPr="004E5DD6" w14:paraId="3315B369" w14:textId="77777777" w:rsidTr="00FF60C6">
        <w:trPr>
          <w:trHeight w:val="320"/>
        </w:trPr>
        <w:tc>
          <w:tcPr>
            <w:tcW w:w="910" w:type="dxa"/>
            <w:tcBorders>
              <w:top w:val="nil"/>
              <w:left w:val="nil"/>
              <w:bottom w:val="nil"/>
              <w:right w:val="nil"/>
            </w:tcBorders>
            <w:shd w:val="clear" w:color="auto" w:fill="auto"/>
            <w:noWrap/>
            <w:vAlign w:val="bottom"/>
            <w:hideMark/>
          </w:tcPr>
          <w:p w14:paraId="7F7C818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5-14</w:t>
            </w:r>
          </w:p>
        </w:tc>
        <w:tc>
          <w:tcPr>
            <w:tcW w:w="1880" w:type="dxa"/>
            <w:tcBorders>
              <w:top w:val="nil"/>
              <w:left w:val="nil"/>
              <w:bottom w:val="nil"/>
              <w:right w:val="nil"/>
            </w:tcBorders>
            <w:shd w:val="clear" w:color="auto" w:fill="auto"/>
            <w:noWrap/>
            <w:vAlign w:val="bottom"/>
            <w:hideMark/>
          </w:tcPr>
          <w:p w14:paraId="668257D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White</w:t>
            </w:r>
          </w:p>
        </w:tc>
        <w:tc>
          <w:tcPr>
            <w:tcW w:w="2380" w:type="dxa"/>
            <w:tcBorders>
              <w:top w:val="nil"/>
              <w:left w:val="nil"/>
              <w:bottom w:val="nil"/>
              <w:right w:val="nil"/>
            </w:tcBorders>
            <w:shd w:val="clear" w:color="auto" w:fill="auto"/>
            <w:noWrap/>
            <w:vAlign w:val="bottom"/>
            <w:hideMark/>
          </w:tcPr>
          <w:p w14:paraId="31716CC3"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14,156</w:t>
            </w:r>
          </w:p>
        </w:tc>
        <w:tc>
          <w:tcPr>
            <w:tcW w:w="1820" w:type="dxa"/>
            <w:tcBorders>
              <w:top w:val="nil"/>
              <w:left w:val="nil"/>
              <w:bottom w:val="nil"/>
              <w:right w:val="nil"/>
            </w:tcBorders>
            <w:shd w:val="clear" w:color="auto" w:fill="auto"/>
            <w:noWrap/>
            <w:hideMark/>
          </w:tcPr>
          <w:p w14:paraId="67664682"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115</w:t>
            </w:r>
          </w:p>
        </w:tc>
        <w:tc>
          <w:tcPr>
            <w:tcW w:w="2140" w:type="dxa"/>
            <w:tcBorders>
              <w:top w:val="nil"/>
              <w:left w:val="nil"/>
              <w:bottom w:val="nil"/>
              <w:right w:val="nil"/>
            </w:tcBorders>
            <w:shd w:val="clear" w:color="auto" w:fill="auto"/>
            <w:noWrap/>
            <w:hideMark/>
          </w:tcPr>
          <w:p w14:paraId="59ABE8FA"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2.535</w:t>
            </w:r>
          </w:p>
        </w:tc>
      </w:tr>
      <w:tr w:rsidR="00411E8D" w:rsidRPr="004E5DD6" w14:paraId="54B537E4" w14:textId="77777777" w:rsidTr="00FF60C6">
        <w:trPr>
          <w:trHeight w:val="320"/>
        </w:trPr>
        <w:tc>
          <w:tcPr>
            <w:tcW w:w="910" w:type="dxa"/>
            <w:tcBorders>
              <w:top w:val="nil"/>
              <w:left w:val="nil"/>
              <w:bottom w:val="nil"/>
              <w:right w:val="nil"/>
            </w:tcBorders>
            <w:shd w:val="clear" w:color="auto" w:fill="auto"/>
            <w:noWrap/>
            <w:vAlign w:val="bottom"/>
            <w:hideMark/>
          </w:tcPr>
          <w:p w14:paraId="62908EE5"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15-24</w:t>
            </w:r>
          </w:p>
        </w:tc>
        <w:tc>
          <w:tcPr>
            <w:tcW w:w="1880" w:type="dxa"/>
            <w:tcBorders>
              <w:top w:val="nil"/>
              <w:left w:val="nil"/>
              <w:bottom w:val="nil"/>
              <w:right w:val="nil"/>
            </w:tcBorders>
            <w:shd w:val="clear" w:color="auto" w:fill="auto"/>
            <w:noWrap/>
            <w:vAlign w:val="bottom"/>
            <w:hideMark/>
          </w:tcPr>
          <w:p w14:paraId="5EC6D988"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White</w:t>
            </w:r>
          </w:p>
        </w:tc>
        <w:tc>
          <w:tcPr>
            <w:tcW w:w="2380" w:type="dxa"/>
            <w:tcBorders>
              <w:top w:val="nil"/>
              <w:left w:val="nil"/>
              <w:bottom w:val="nil"/>
              <w:right w:val="nil"/>
            </w:tcBorders>
            <w:shd w:val="clear" w:color="auto" w:fill="auto"/>
            <w:noWrap/>
            <w:vAlign w:val="bottom"/>
            <w:hideMark/>
          </w:tcPr>
          <w:p w14:paraId="0D94174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33,707</w:t>
            </w:r>
          </w:p>
        </w:tc>
        <w:tc>
          <w:tcPr>
            <w:tcW w:w="1820" w:type="dxa"/>
            <w:tcBorders>
              <w:top w:val="nil"/>
              <w:left w:val="nil"/>
              <w:bottom w:val="nil"/>
              <w:right w:val="nil"/>
            </w:tcBorders>
            <w:shd w:val="clear" w:color="auto" w:fill="auto"/>
            <w:noWrap/>
            <w:hideMark/>
          </w:tcPr>
          <w:p w14:paraId="054E4668"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981</w:t>
            </w:r>
          </w:p>
        </w:tc>
        <w:tc>
          <w:tcPr>
            <w:tcW w:w="2140" w:type="dxa"/>
            <w:tcBorders>
              <w:top w:val="nil"/>
              <w:left w:val="nil"/>
              <w:bottom w:val="nil"/>
              <w:right w:val="nil"/>
            </w:tcBorders>
            <w:shd w:val="clear" w:color="auto" w:fill="auto"/>
            <w:noWrap/>
            <w:hideMark/>
          </w:tcPr>
          <w:p w14:paraId="26EFB31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2.528</w:t>
            </w:r>
          </w:p>
        </w:tc>
      </w:tr>
      <w:tr w:rsidR="00411E8D" w:rsidRPr="004E5DD6" w14:paraId="4CB9C033" w14:textId="77777777" w:rsidTr="00FF60C6">
        <w:trPr>
          <w:trHeight w:val="320"/>
        </w:trPr>
        <w:tc>
          <w:tcPr>
            <w:tcW w:w="910" w:type="dxa"/>
            <w:tcBorders>
              <w:top w:val="nil"/>
              <w:left w:val="nil"/>
              <w:bottom w:val="nil"/>
              <w:right w:val="nil"/>
            </w:tcBorders>
            <w:shd w:val="clear" w:color="auto" w:fill="auto"/>
            <w:noWrap/>
            <w:vAlign w:val="bottom"/>
            <w:hideMark/>
          </w:tcPr>
          <w:p w14:paraId="472DFFD1"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25-34</w:t>
            </w:r>
          </w:p>
        </w:tc>
        <w:tc>
          <w:tcPr>
            <w:tcW w:w="1880" w:type="dxa"/>
            <w:tcBorders>
              <w:top w:val="nil"/>
              <w:left w:val="nil"/>
              <w:bottom w:val="nil"/>
              <w:right w:val="nil"/>
            </w:tcBorders>
            <w:shd w:val="clear" w:color="auto" w:fill="auto"/>
            <w:noWrap/>
            <w:vAlign w:val="bottom"/>
            <w:hideMark/>
          </w:tcPr>
          <w:p w14:paraId="4ABBD48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White</w:t>
            </w:r>
          </w:p>
        </w:tc>
        <w:tc>
          <w:tcPr>
            <w:tcW w:w="2380" w:type="dxa"/>
            <w:tcBorders>
              <w:top w:val="nil"/>
              <w:left w:val="nil"/>
              <w:bottom w:val="nil"/>
              <w:right w:val="nil"/>
            </w:tcBorders>
            <w:shd w:val="clear" w:color="auto" w:fill="auto"/>
            <w:noWrap/>
            <w:vAlign w:val="bottom"/>
            <w:hideMark/>
          </w:tcPr>
          <w:p w14:paraId="22D55CE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51,655</w:t>
            </w:r>
          </w:p>
        </w:tc>
        <w:tc>
          <w:tcPr>
            <w:tcW w:w="1820" w:type="dxa"/>
            <w:tcBorders>
              <w:top w:val="nil"/>
              <w:left w:val="nil"/>
              <w:bottom w:val="nil"/>
              <w:right w:val="nil"/>
            </w:tcBorders>
            <w:shd w:val="clear" w:color="auto" w:fill="auto"/>
            <w:noWrap/>
            <w:hideMark/>
          </w:tcPr>
          <w:p w14:paraId="6E5A7258"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3,995</w:t>
            </w:r>
          </w:p>
        </w:tc>
        <w:tc>
          <w:tcPr>
            <w:tcW w:w="2140" w:type="dxa"/>
            <w:tcBorders>
              <w:top w:val="nil"/>
              <w:left w:val="nil"/>
              <w:bottom w:val="nil"/>
              <w:right w:val="nil"/>
            </w:tcBorders>
            <w:shd w:val="clear" w:color="auto" w:fill="auto"/>
            <w:noWrap/>
            <w:hideMark/>
          </w:tcPr>
          <w:p w14:paraId="1EE1850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2.494</w:t>
            </w:r>
          </w:p>
        </w:tc>
      </w:tr>
      <w:tr w:rsidR="00411E8D" w:rsidRPr="004E5DD6" w14:paraId="6ED5AADA" w14:textId="77777777" w:rsidTr="00FF60C6">
        <w:trPr>
          <w:trHeight w:val="320"/>
        </w:trPr>
        <w:tc>
          <w:tcPr>
            <w:tcW w:w="910" w:type="dxa"/>
            <w:tcBorders>
              <w:top w:val="nil"/>
              <w:left w:val="nil"/>
              <w:bottom w:val="nil"/>
              <w:right w:val="nil"/>
            </w:tcBorders>
            <w:shd w:val="clear" w:color="auto" w:fill="auto"/>
            <w:noWrap/>
            <w:vAlign w:val="bottom"/>
            <w:hideMark/>
          </w:tcPr>
          <w:p w14:paraId="0D0F5021"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35-44</w:t>
            </w:r>
          </w:p>
        </w:tc>
        <w:tc>
          <w:tcPr>
            <w:tcW w:w="1880" w:type="dxa"/>
            <w:tcBorders>
              <w:top w:val="nil"/>
              <w:left w:val="nil"/>
              <w:bottom w:val="nil"/>
              <w:right w:val="nil"/>
            </w:tcBorders>
            <w:shd w:val="clear" w:color="auto" w:fill="auto"/>
            <w:noWrap/>
            <w:vAlign w:val="bottom"/>
            <w:hideMark/>
          </w:tcPr>
          <w:p w14:paraId="1F81AF2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White</w:t>
            </w:r>
          </w:p>
        </w:tc>
        <w:tc>
          <w:tcPr>
            <w:tcW w:w="2380" w:type="dxa"/>
            <w:tcBorders>
              <w:top w:val="nil"/>
              <w:left w:val="nil"/>
              <w:bottom w:val="nil"/>
              <w:right w:val="nil"/>
            </w:tcBorders>
            <w:shd w:val="clear" w:color="auto" w:fill="auto"/>
            <w:noWrap/>
            <w:vAlign w:val="bottom"/>
            <w:hideMark/>
          </w:tcPr>
          <w:p w14:paraId="4D29F2C4"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95,691</w:t>
            </w:r>
          </w:p>
        </w:tc>
        <w:tc>
          <w:tcPr>
            <w:tcW w:w="1820" w:type="dxa"/>
            <w:tcBorders>
              <w:top w:val="nil"/>
              <w:left w:val="nil"/>
              <w:bottom w:val="nil"/>
              <w:right w:val="nil"/>
            </w:tcBorders>
            <w:shd w:val="clear" w:color="auto" w:fill="auto"/>
            <w:noWrap/>
            <w:hideMark/>
          </w:tcPr>
          <w:p w14:paraId="5D53237E"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10,402</w:t>
            </w:r>
          </w:p>
        </w:tc>
        <w:tc>
          <w:tcPr>
            <w:tcW w:w="2140" w:type="dxa"/>
            <w:tcBorders>
              <w:top w:val="nil"/>
              <w:left w:val="nil"/>
              <w:bottom w:val="nil"/>
              <w:right w:val="nil"/>
            </w:tcBorders>
            <w:shd w:val="clear" w:color="auto" w:fill="auto"/>
            <w:noWrap/>
            <w:hideMark/>
          </w:tcPr>
          <w:p w14:paraId="59856DE4"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2.400</w:t>
            </w:r>
          </w:p>
        </w:tc>
      </w:tr>
      <w:tr w:rsidR="00411E8D" w:rsidRPr="004E5DD6" w14:paraId="682727DD" w14:textId="77777777" w:rsidTr="00FF60C6">
        <w:trPr>
          <w:trHeight w:val="320"/>
        </w:trPr>
        <w:tc>
          <w:tcPr>
            <w:tcW w:w="910" w:type="dxa"/>
            <w:tcBorders>
              <w:top w:val="nil"/>
              <w:left w:val="nil"/>
              <w:bottom w:val="nil"/>
              <w:right w:val="nil"/>
            </w:tcBorders>
            <w:shd w:val="clear" w:color="auto" w:fill="auto"/>
            <w:noWrap/>
            <w:vAlign w:val="bottom"/>
            <w:hideMark/>
          </w:tcPr>
          <w:p w14:paraId="1608640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45-54</w:t>
            </w:r>
          </w:p>
        </w:tc>
        <w:tc>
          <w:tcPr>
            <w:tcW w:w="1880" w:type="dxa"/>
            <w:tcBorders>
              <w:top w:val="nil"/>
              <w:left w:val="nil"/>
              <w:bottom w:val="nil"/>
              <w:right w:val="nil"/>
            </w:tcBorders>
            <w:shd w:val="clear" w:color="auto" w:fill="auto"/>
            <w:noWrap/>
            <w:vAlign w:val="bottom"/>
            <w:hideMark/>
          </w:tcPr>
          <w:p w14:paraId="5AF2640A"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White</w:t>
            </w:r>
          </w:p>
        </w:tc>
        <w:tc>
          <w:tcPr>
            <w:tcW w:w="2380" w:type="dxa"/>
            <w:tcBorders>
              <w:top w:val="nil"/>
              <w:left w:val="nil"/>
              <w:bottom w:val="nil"/>
              <w:right w:val="nil"/>
            </w:tcBorders>
            <w:shd w:val="clear" w:color="auto" w:fill="auto"/>
            <w:noWrap/>
            <w:vAlign w:val="bottom"/>
            <w:hideMark/>
          </w:tcPr>
          <w:p w14:paraId="1FF4CB5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252,034</w:t>
            </w:r>
          </w:p>
        </w:tc>
        <w:tc>
          <w:tcPr>
            <w:tcW w:w="1820" w:type="dxa"/>
            <w:tcBorders>
              <w:top w:val="nil"/>
              <w:left w:val="nil"/>
              <w:bottom w:val="nil"/>
              <w:right w:val="nil"/>
            </w:tcBorders>
            <w:shd w:val="clear" w:color="auto" w:fill="auto"/>
            <w:noWrap/>
            <w:hideMark/>
          </w:tcPr>
          <w:p w14:paraId="0D2AB908"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29,821</w:t>
            </w:r>
          </w:p>
        </w:tc>
        <w:tc>
          <w:tcPr>
            <w:tcW w:w="2140" w:type="dxa"/>
            <w:tcBorders>
              <w:top w:val="nil"/>
              <w:left w:val="nil"/>
              <w:bottom w:val="nil"/>
              <w:right w:val="nil"/>
            </w:tcBorders>
            <w:shd w:val="clear" w:color="auto" w:fill="auto"/>
            <w:noWrap/>
            <w:hideMark/>
          </w:tcPr>
          <w:p w14:paraId="3B092041"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2.165</w:t>
            </w:r>
          </w:p>
        </w:tc>
      </w:tr>
      <w:tr w:rsidR="00411E8D" w:rsidRPr="004E5DD6" w14:paraId="73207251" w14:textId="77777777" w:rsidTr="00FF60C6">
        <w:trPr>
          <w:trHeight w:val="320"/>
        </w:trPr>
        <w:tc>
          <w:tcPr>
            <w:tcW w:w="910" w:type="dxa"/>
            <w:tcBorders>
              <w:top w:val="nil"/>
              <w:left w:val="nil"/>
              <w:bottom w:val="nil"/>
              <w:right w:val="nil"/>
            </w:tcBorders>
            <w:shd w:val="clear" w:color="auto" w:fill="auto"/>
            <w:noWrap/>
            <w:vAlign w:val="bottom"/>
            <w:hideMark/>
          </w:tcPr>
          <w:p w14:paraId="413149B6"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55-64</w:t>
            </w:r>
          </w:p>
        </w:tc>
        <w:tc>
          <w:tcPr>
            <w:tcW w:w="1880" w:type="dxa"/>
            <w:tcBorders>
              <w:top w:val="nil"/>
              <w:left w:val="nil"/>
              <w:bottom w:val="nil"/>
              <w:right w:val="nil"/>
            </w:tcBorders>
            <w:shd w:val="clear" w:color="auto" w:fill="auto"/>
            <w:noWrap/>
            <w:vAlign w:val="bottom"/>
            <w:hideMark/>
          </w:tcPr>
          <w:p w14:paraId="1AE5B1B2"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White</w:t>
            </w:r>
          </w:p>
        </w:tc>
        <w:tc>
          <w:tcPr>
            <w:tcW w:w="2380" w:type="dxa"/>
            <w:tcBorders>
              <w:top w:val="nil"/>
              <w:left w:val="nil"/>
              <w:bottom w:val="nil"/>
              <w:right w:val="nil"/>
            </w:tcBorders>
            <w:shd w:val="clear" w:color="auto" w:fill="auto"/>
            <w:noWrap/>
            <w:vAlign w:val="bottom"/>
            <w:hideMark/>
          </w:tcPr>
          <w:p w14:paraId="78DEC6B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456,971</w:t>
            </w:r>
          </w:p>
        </w:tc>
        <w:tc>
          <w:tcPr>
            <w:tcW w:w="1820" w:type="dxa"/>
            <w:tcBorders>
              <w:top w:val="nil"/>
              <w:left w:val="nil"/>
              <w:bottom w:val="nil"/>
              <w:right w:val="nil"/>
            </w:tcBorders>
            <w:shd w:val="clear" w:color="auto" w:fill="auto"/>
            <w:noWrap/>
            <w:hideMark/>
          </w:tcPr>
          <w:p w14:paraId="157943A7"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78,236</w:t>
            </w:r>
          </w:p>
        </w:tc>
        <w:tc>
          <w:tcPr>
            <w:tcW w:w="2140" w:type="dxa"/>
            <w:tcBorders>
              <w:top w:val="nil"/>
              <w:left w:val="nil"/>
              <w:bottom w:val="nil"/>
              <w:right w:val="nil"/>
            </w:tcBorders>
            <w:shd w:val="clear" w:color="auto" w:fill="auto"/>
            <w:noWrap/>
            <w:hideMark/>
          </w:tcPr>
          <w:p w14:paraId="68251EEE"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1.818</w:t>
            </w:r>
          </w:p>
        </w:tc>
      </w:tr>
      <w:tr w:rsidR="00411E8D" w:rsidRPr="004E5DD6" w14:paraId="4EAA38A7" w14:textId="77777777" w:rsidTr="00FF60C6">
        <w:trPr>
          <w:trHeight w:val="320"/>
        </w:trPr>
        <w:tc>
          <w:tcPr>
            <w:tcW w:w="910" w:type="dxa"/>
            <w:tcBorders>
              <w:top w:val="nil"/>
              <w:left w:val="nil"/>
              <w:bottom w:val="nil"/>
              <w:right w:val="nil"/>
            </w:tcBorders>
            <w:shd w:val="clear" w:color="auto" w:fill="auto"/>
            <w:noWrap/>
            <w:vAlign w:val="bottom"/>
            <w:hideMark/>
          </w:tcPr>
          <w:p w14:paraId="3ECE6FC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65-74</w:t>
            </w:r>
          </w:p>
        </w:tc>
        <w:tc>
          <w:tcPr>
            <w:tcW w:w="1880" w:type="dxa"/>
            <w:tcBorders>
              <w:top w:val="nil"/>
              <w:left w:val="nil"/>
              <w:bottom w:val="nil"/>
              <w:right w:val="nil"/>
            </w:tcBorders>
            <w:shd w:val="clear" w:color="auto" w:fill="auto"/>
            <w:noWrap/>
            <w:vAlign w:val="bottom"/>
            <w:hideMark/>
          </w:tcPr>
          <w:p w14:paraId="10A41EB6"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White</w:t>
            </w:r>
          </w:p>
        </w:tc>
        <w:tc>
          <w:tcPr>
            <w:tcW w:w="2380" w:type="dxa"/>
            <w:tcBorders>
              <w:top w:val="nil"/>
              <w:left w:val="nil"/>
              <w:bottom w:val="nil"/>
              <w:right w:val="nil"/>
            </w:tcBorders>
            <w:shd w:val="clear" w:color="auto" w:fill="auto"/>
            <w:noWrap/>
            <w:vAlign w:val="bottom"/>
            <w:hideMark/>
          </w:tcPr>
          <w:p w14:paraId="033ADCAD"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661,044</w:t>
            </w:r>
          </w:p>
        </w:tc>
        <w:tc>
          <w:tcPr>
            <w:tcW w:w="1820" w:type="dxa"/>
            <w:tcBorders>
              <w:top w:val="nil"/>
              <w:left w:val="nil"/>
              <w:bottom w:val="nil"/>
              <w:right w:val="nil"/>
            </w:tcBorders>
            <w:shd w:val="clear" w:color="auto" w:fill="auto"/>
            <w:noWrap/>
            <w:hideMark/>
          </w:tcPr>
          <w:p w14:paraId="043080F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141,084</w:t>
            </w:r>
          </w:p>
        </w:tc>
        <w:tc>
          <w:tcPr>
            <w:tcW w:w="2140" w:type="dxa"/>
            <w:tcBorders>
              <w:top w:val="nil"/>
              <w:left w:val="nil"/>
              <w:bottom w:val="nil"/>
              <w:right w:val="nil"/>
            </w:tcBorders>
            <w:shd w:val="clear" w:color="auto" w:fill="auto"/>
            <w:noWrap/>
            <w:hideMark/>
          </w:tcPr>
          <w:p w14:paraId="53CF317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1.405</w:t>
            </w:r>
          </w:p>
        </w:tc>
      </w:tr>
      <w:tr w:rsidR="00411E8D" w:rsidRPr="004E5DD6" w14:paraId="3B9DBA12" w14:textId="77777777" w:rsidTr="00FF60C6">
        <w:trPr>
          <w:trHeight w:val="320"/>
        </w:trPr>
        <w:tc>
          <w:tcPr>
            <w:tcW w:w="910" w:type="dxa"/>
            <w:tcBorders>
              <w:top w:val="nil"/>
              <w:left w:val="nil"/>
              <w:bottom w:val="single" w:sz="4" w:space="0" w:color="auto"/>
              <w:right w:val="nil"/>
            </w:tcBorders>
            <w:shd w:val="clear" w:color="auto" w:fill="auto"/>
            <w:noWrap/>
            <w:vAlign w:val="bottom"/>
            <w:hideMark/>
          </w:tcPr>
          <w:p w14:paraId="734C4EA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75-84</w:t>
            </w:r>
          </w:p>
        </w:tc>
        <w:tc>
          <w:tcPr>
            <w:tcW w:w="1880" w:type="dxa"/>
            <w:tcBorders>
              <w:top w:val="nil"/>
              <w:left w:val="nil"/>
              <w:bottom w:val="single" w:sz="4" w:space="0" w:color="auto"/>
              <w:right w:val="nil"/>
            </w:tcBorders>
            <w:shd w:val="clear" w:color="auto" w:fill="auto"/>
            <w:noWrap/>
            <w:vAlign w:val="bottom"/>
            <w:hideMark/>
          </w:tcPr>
          <w:p w14:paraId="51737E9E"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White</w:t>
            </w:r>
          </w:p>
        </w:tc>
        <w:tc>
          <w:tcPr>
            <w:tcW w:w="2380" w:type="dxa"/>
            <w:tcBorders>
              <w:top w:val="nil"/>
              <w:left w:val="nil"/>
              <w:bottom w:val="single" w:sz="4" w:space="0" w:color="auto"/>
              <w:right w:val="nil"/>
            </w:tcBorders>
            <w:shd w:val="clear" w:color="auto" w:fill="auto"/>
            <w:noWrap/>
            <w:vAlign w:val="bottom"/>
            <w:hideMark/>
          </w:tcPr>
          <w:p w14:paraId="56CD54B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831,458</w:t>
            </w:r>
          </w:p>
        </w:tc>
        <w:tc>
          <w:tcPr>
            <w:tcW w:w="1820" w:type="dxa"/>
            <w:tcBorders>
              <w:top w:val="nil"/>
              <w:left w:val="nil"/>
              <w:bottom w:val="single" w:sz="4" w:space="0" w:color="auto"/>
              <w:right w:val="nil"/>
            </w:tcBorders>
            <w:shd w:val="clear" w:color="auto" w:fill="auto"/>
            <w:noWrap/>
            <w:hideMark/>
          </w:tcPr>
          <w:p w14:paraId="1E3861E7"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181,281</w:t>
            </w:r>
          </w:p>
        </w:tc>
        <w:tc>
          <w:tcPr>
            <w:tcW w:w="2140" w:type="dxa"/>
            <w:tcBorders>
              <w:top w:val="nil"/>
              <w:left w:val="nil"/>
              <w:bottom w:val="single" w:sz="4" w:space="0" w:color="auto"/>
              <w:right w:val="nil"/>
            </w:tcBorders>
            <w:shd w:val="clear" w:color="auto" w:fill="auto"/>
            <w:noWrap/>
            <w:hideMark/>
          </w:tcPr>
          <w:p w14:paraId="741097D5"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1.014</w:t>
            </w:r>
          </w:p>
        </w:tc>
      </w:tr>
      <w:tr w:rsidR="00411E8D" w:rsidRPr="004E5DD6" w14:paraId="4C742300" w14:textId="77777777" w:rsidTr="00FF60C6">
        <w:trPr>
          <w:trHeight w:val="320"/>
        </w:trPr>
        <w:tc>
          <w:tcPr>
            <w:tcW w:w="910" w:type="dxa"/>
            <w:tcBorders>
              <w:top w:val="single" w:sz="4" w:space="0" w:color="auto"/>
              <w:left w:val="nil"/>
              <w:bottom w:val="single" w:sz="4" w:space="0" w:color="auto"/>
              <w:right w:val="nil"/>
            </w:tcBorders>
            <w:shd w:val="clear" w:color="auto" w:fill="auto"/>
            <w:noWrap/>
            <w:vAlign w:val="bottom"/>
            <w:hideMark/>
          </w:tcPr>
          <w:p w14:paraId="2CF80966" w14:textId="77777777" w:rsidR="00411E8D" w:rsidRPr="004E5DD6" w:rsidRDefault="00411E8D" w:rsidP="00FF60C6">
            <w:pPr>
              <w:jc w:val="center"/>
              <w:rPr>
                <w:rFonts w:ascii="Arial" w:eastAsia="Times New Roman" w:hAnsi="Arial" w:cs="Arial"/>
                <w:i/>
                <w:iCs/>
                <w:color w:val="000000"/>
                <w:sz w:val="22"/>
                <w:szCs w:val="22"/>
              </w:rPr>
            </w:pPr>
          </w:p>
        </w:tc>
        <w:tc>
          <w:tcPr>
            <w:tcW w:w="1880" w:type="dxa"/>
            <w:tcBorders>
              <w:top w:val="single" w:sz="4" w:space="0" w:color="auto"/>
              <w:left w:val="nil"/>
              <w:bottom w:val="single" w:sz="4" w:space="0" w:color="auto"/>
              <w:right w:val="nil"/>
            </w:tcBorders>
            <w:shd w:val="clear" w:color="auto" w:fill="auto"/>
            <w:noWrap/>
            <w:vAlign w:val="bottom"/>
            <w:hideMark/>
          </w:tcPr>
          <w:p w14:paraId="428D651F" w14:textId="77777777" w:rsidR="00411E8D" w:rsidRPr="004E5DD6" w:rsidRDefault="00411E8D" w:rsidP="00FF60C6">
            <w:pPr>
              <w:jc w:val="center"/>
              <w:rPr>
                <w:rFonts w:ascii="Arial" w:eastAsia="Times New Roman" w:hAnsi="Arial" w:cs="Arial"/>
                <w:i/>
                <w:iCs/>
                <w:sz w:val="22"/>
                <w:szCs w:val="22"/>
              </w:rPr>
            </w:pPr>
          </w:p>
        </w:tc>
        <w:tc>
          <w:tcPr>
            <w:tcW w:w="2380" w:type="dxa"/>
            <w:tcBorders>
              <w:top w:val="single" w:sz="4" w:space="0" w:color="auto"/>
              <w:left w:val="nil"/>
              <w:bottom w:val="single" w:sz="4" w:space="0" w:color="auto"/>
              <w:right w:val="nil"/>
            </w:tcBorders>
            <w:shd w:val="clear" w:color="auto" w:fill="auto"/>
            <w:noWrap/>
            <w:vAlign w:val="bottom"/>
            <w:hideMark/>
          </w:tcPr>
          <w:p w14:paraId="456D32A6" w14:textId="77777777" w:rsidR="00411E8D" w:rsidRPr="004E5DD6" w:rsidRDefault="00411E8D" w:rsidP="00FF60C6">
            <w:pPr>
              <w:jc w:val="center"/>
              <w:rPr>
                <w:rFonts w:ascii="Arial" w:eastAsia="Times New Roman" w:hAnsi="Arial" w:cs="Arial"/>
                <w:i/>
                <w:iCs/>
                <w:sz w:val="22"/>
                <w:szCs w:val="22"/>
              </w:rPr>
            </w:pPr>
          </w:p>
        </w:tc>
        <w:tc>
          <w:tcPr>
            <w:tcW w:w="1820" w:type="dxa"/>
            <w:tcBorders>
              <w:top w:val="single" w:sz="4" w:space="0" w:color="auto"/>
              <w:left w:val="nil"/>
              <w:bottom w:val="single" w:sz="4" w:space="0" w:color="auto"/>
              <w:right w:val="nil"/>
            </w:tcBorders>
            <w:shd w:val="clear" w:color="auto" w:fill="auto"/>
            <w:noWrap/>
            <w:vAlign w:val="bottom"/>
            <w:hideMark/>
          </w:tcPr>
          <w:p w14:paraId="093CE2B9" w14:textId="77777777" w:rsidR="00411E8D" w:rsidRPr="004E5DD6" w:rsidRDefault="00411E8D" w:rsidP="00FF60C6">
            <w:pPr>
              <w:jc w:val="center"/>
              <w:rPr>
                <w:rFonts w:ascii="Arial" w:eastAsia="Times New Roman" w:hAnsi="Arial" w:cs="Arial"/>
                <w:i/>
                <w:iCs/>
                <w:sz w:val="22"/>
                <w:szCs w:val="22"/>
              </w:rPr>
            </w:pPr>
          </w:p>
        </w:tc>
        <w:tc>
          <w:tcPr>
            <w:tcW w:w="2140" w:type="dxa"/>
            <w:tcBorders>
              <w:top w:val="single" w:sz="4" w:space="0" w:color="auto"/>
              <w:left w:val="nil"/>
              <w:bottom w:val="single" w:sz="4" w:space="0" w:color="auto"/>
              <w:right w:val="nil"/>
            </w:tcBorders>
            <w:shd w:val="clear" w:color="auto" w:fill="auto"/>
            <w:noWrap/>
            <w:vAlign w:val="bottom"/>
            <w:hideMark/>
          </w:tcPr>
          <w:p w14:paraId="7FD29391" w14:textId="77777777" w:rsidR="00411E8D" w:rsidRPr="004E5DD6" w:rsidRDefault="00411E8D" w:rsidP="00FF60C6">
            <w:pPr>
              <w:jc w:val="center"/>
              <w:rPr>
                <w:rFonts w:ascii="Arial" w:eastAsia="Times New Roman" w:hAnsi="Arial" w:cs="Arial"/>
                <w:i/>
                <w:iCs/>
                <w:sz w:val="22"/>
                <w:szCs w:val="22"/>
              </w:rPr>
            </w:pPr>
          </w:p>
        </w:tc>
      </w:tr>
      <w:tr w:rsidR="00411E8D" w:rsidRPr="004E5DD6" w14:paraId="2B99EF6D" w14:textId="77777777" w:rsidTr="00FF60C6">
        <w:trPr>
          <w:trHeight w:val="680"/>
        </w:trPr>
        <w:tc>
          <w:tcPr>
            <w:tcW w:w="910" w:type="dxa"/>
            <w:tcBorders>
              <w:top w:val="single" w:sz="4" w:space="0" w:color="auto"/>
              <w:left w:val="nil"/>
              <w:bottom w:val="single" w:sz="4" w:space="0" w:color="auto"/>
              <w:right w:val="nil"/>
            </w:tcBorders>
            <w:shd w:val="clear" w:color="auto" w:fill="auto"/>
            <w:vAlign w:val="bottom"/>
            <w:hideMark/>
          </w:tcPr>
          <w:p w14:paraId="1E6FA49F"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 xml:space="preserve">Age </w:t>
            </w:r>
            <w:r w:rsidRPr="004E5DD6">
              <w:rPr>
                <w:rFonts w:ascii="Arial" w:eastAsia="Times New Roman" w:hAnsi="Arial" w:cs="Arial"/>
                <w:b/>
                <w:bCs/>
                <w:i/>
                <w:iCs/>
                <w:color w:val="000000"/>
                <w:sz w:val="22"/>
                <w:szCs w:val="22"/>
              </w:rPr>
              <w:br/>
              <w:t>Group</w:t>
            </w:r>
          </w:p>
        </w:tc>
        <w:tc>
          <w:tcPr>
            <w:tcW w:w="1880" w:type="dxa"/>
            <w:tcBorders>
              <w:top w:val="single" w:sz="4" w:space="0" w:color="auto"/>
              <w:left w:val="nil"/>
              <w:bottom w:val="single" w:sz="4" w:space="0" w:color="auto"/>
              <w:right w:val="nil"/>
            </w:tcBorders>
            <w:shd w:val="clear" w:color="auto" w:fill="auto"/>
            <w:vAlign w:val="bottom"/>
            <w:hideMark/>
          </w:tcPr>
          <w:p w14:paraId="3C0B37A3"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Race and Ethnicity</w:t>
            </w:r>
          </w:p>
        </w:tc>
        <w:tc>
          <w:tcPr>
            <w:tcW w:w="2380" w:type="dxa"/>
            <w:tcBorders>
              <w:top w:val="single" w:sz="4" w:space="0" w:color="auto"/>
              <w:left w:val="nil"/>
              <w:bottom w:val="single" w:sz="4" w:space="0" w:color="auto"/>
              <w:right w:val="nil"/>
            </w:tcBorders>
            <w:shd w:val="clear" w:color="auto" w:fill="auto"/>
            <w:vAlign w:val="bottom"/>
            <w:hideMark/>
          </w:tcPr>
          <w:p w14:paraId="156233D2"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Expected Deaths Without COVID-19</w:t>
            </w:r>
          </w:p>
        </w:tc>
        <w:tc>
          <w:tcPr>
            <w:tcW w:w="1820" w:type="dxa"/>
            <w:tcBorders>
              <w:top w:val="single" w:sz="4" w:space="0" w:color="auto"/>
              <w:left w:val="nil"/>
              <w:bottom w:val="single" w:sz="4" w:space="0" w:color="auto"/>
              <w:right w:val="nil"/>
            </w:tcBorders>
            <w:shd w:val="clear" w:color="auto" w:fill="auto"/>
            <w:vAlign w:val="bottom"/>
            <w:hideMark/>
          </w:tcPr>
          <w:p w14:paraId="736ABD54"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 xml:space="preserve">COVID-19 </w:t>
            </w:r>
            <w:r w:rsidRPr="004E5DD6">
              <w:rPr>
                <w:rFonts w:ascii="Arial" w:eastAsia="Times New Roman" w:hAnsi="Arial" w:cs="Arial"/>
                <w:b/>
                <w:bCs/>
                <w:i/>
                <w:iCs/>
                <w:color w:val="000000"/>
                <w:sz w:val="22"/>
                <w:szCs w:val="22"/>
              </w:rPr>
              <w:br/>
              <w:t>Deaths</w:t>
            </w:r>
          </w:p>
        </w:tc>
        <w:tc>
          <w:tcPr>
            <w:tcW w:w="2140" w:type="dxa"/>
            <w:tcBorders>
              <w:top w:val="single" w:sz="4" w:space="0" w:color="auto"/>
              <w:left w:val="nil"/>
              <w:bottom w:val="single" w:sz="4" w:space="0" w:color="auto"/>
              <w:right w:val="nil"/>
            </w:tcBorders>
            <w:shd w:val="clear" w:color="auto" w:fill="auto"/>
            <w:vAlign w:val="bottom"/>
            <w:hideMark/>
          </w:tcPr>
          <w:p w14:paraId="60EE28A3"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 xml:space="preserve">Life Expectancy </w:t>
            </w:r>
            <w:r w:rsidRPr="004E5DD6">
              <w:rPr>
                <w:rFonts w:ascii="Arial" w:eastAsia="Times New Roman" w:hAnsi="Arial" w:cs="Arial"/>
                <w:b/>
                <w:bCs/>
                <w:i/>
                <w:iCs/>
                <w:color w:val="000000"/>
                <w:sz w:val="22"/>
                <w:szCs w:val="22"/>
              </w:rPr>
              <w:br/>
              <w:t>Losses (Years)</w:t>
            </w:r>
          </w:p>
        </w:tc>
      </w:tr>
      <w:tr w:rsidR="00411E8D" w:rsidRPr="004E5DD6" w14:paraId="535DE356" w14:textId="77777777" w:rsidTr="00FF60C6">
        <w:trPr>
          <w:trHeight w:val="320"/>
        </w:trPr>
        <w:tc>
          <w:tcPr>
            <w:tcW w:w="910" w:type="dxa"/>
            <w:tcBorders>
              <w:top w:val="single" w:sz="4" w:space="0" w:color="auto"/>
              <w:left w:val="nil"/>
              <w:bottom w:val="nil"/>
              <w:right w:val="nil"/>
            </w:tcBorders>
            <w:shd w:val="clear" w:color="auto" w:fill="auto"/>
            <w:noWrap/>
            <w:vAlign w:val="bottom"/>
            <w:hideMark/>
          </w:tcPr>
          <w:p w14:paraId="4B82E5E3"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&lt;1</w:t>
            </w:r>
          </w:p>
        </w:tc>
        <w:tc>
          <w:tcPr>
            <w:tcW w:w="1880" w:type="dxa"/>
            <w:tcBorders>
              <w:top w:val="single" w:sz="4" w:space="0" w:color="auto"/>
              <w:left w:val="nil"/>
              <w:bottom w:val="nil"/>
              <w:right w:val="nil"/>
            </w:tcBorders>
            <w:shd w:val="clear" w:color="auto" w:fill="auto"/>
            <w:noWrap/>
            <w:vAlign w:val="bottom"/>
            <w:hideMark/>
          </w:tcPr>
          <w:p w14:paraId="77BA25A1"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Black</w:t>
            </w:r>
          </w:p>
        </w:tc>
        <w:tc>
          <w:tcPr>
            <w:tcW w:w="2380" w:type="dxa"/>
            <w:tcBorders>
              <w:top w:val="single" w:sz="4" w:space="0" w:color="auto"/>
              <w:left w:val="nil"/>
              <w:bottom w:val="nil"/>
              <w:right w:val="nil"/>
            </w:tcBorders>
            <w:shd w:val="clear" w:color="auto" w:fill="auto"/>
            <w:noWrap/>
            <w:vAlign w:val="bottom"/>
            <w:hideMark/>
          </w:tcPr>
          <w:p w14:paraId="3B428E78"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7,353</w:t>
            </w:r>
          </w:p>
        </w:tc>
        <w:tc>
          <w:tcPr>
            <w:tcW w:w="1820" w:type="dxa"/>
            <w:tcBorders>
              <w:top w:val="single" w:sz="4" w:space="0" w:color="auto"/>
              <w:left w:val="nil"/>
              <w:bottom w:val="nil"/>
              <w:right w:val="nil"/>
            </w:tcBorders>
            <w:shd w:val="clear" w:color="auto" w:fill="auto"/>
            <w:noWrap/>
            <w:hideMark/>
          </w:tcPr>
          <w:p w14:paraId="03606A8A"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73</w:t>
            </w:r>
          </w:p>
        </w:tc>
        <w:tc>
          <w:tcPr>
            <w:tcW w:w="2140" w:type="dxa"/>
            <w:tcBorders>
              <w:top w:val="single" w:sz="4" w:space="0" w:color="auto"/>
              <w:left w:val="nil"/>
              <w:bottom w:val="nil"/>
              <w:right w:val="nil"/>
            </w:tcBorders>
            <w:shd w:val="clear" w:color="auto" w:fill="auto"/>
            <w:noWrap/>
            <w:hideMark/>
          </w:tcPr>
          <w:p w14:paraId="24E3D48D"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3.795</w:t>
            </w:r>
          </w:p>
        </w:tc>
      </w:tr>
      <w:tr w:rsidR="00411E8D" w:rsidRPr="004E5DD6" w14:paraId="6B1D0B70" w14:textId="77777777" w:rsidTr="00FF60C6">
        <w:trPr>
          <w:trHeight w:val="320"/>
        </w:trPr>
        <w:tc>
          <w:tcPr>
            <w:tcW w:w="910" w:type="dxa"/>
            <w:tcBorders>
              <w:top w:val="nil"/>
              <w:left w:val="nil"/>
              <w:bottom w:val="nil"/>
              <w:right w:val="nil"/>
            </w:tcBorders>
            <w:shd w:val="clear" w:color="auto" w:fill="auto"/>
            <w:noWrap/>
            <w:vAlign w:val="bottom"/>
            <w:hideMark/>
          </w:tcPr>
          <w:p w14:paraId="53E74A56"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1-4</w:t>
            </w:r>
          </w:p>
        </w:tc>
        <w:tc>
          <w:tcPr>
            <w:tcW w:w="1880" w:type="dxa"/>
            <w:tcBorders>
              <w:top w:val="nil"/>
              <w:left w:val="nil"/>
              <w:bottom w:val="nil"/>
              <w:right w:val="nil"/>
            </w:tcBorders>
            <w:shd w:val="clear" w:color="auto" w:fill="auto"/>
            <w:noWrap/>
            <w:vAlign w:val="bottom"/>
            <w:hideMark/>
          </w:tcPr>
          <w:p w14:paraId="6B1B94E3"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Black</w:t>
            </w:r>
          </w:p>
        </w:tc>
        <w:tc>
          <w:tcPr>
            <w:tcW w:w="2380" w:type="dxa"/>
            <w:tcBorders>
              <w:top w:val="nil"/>
              <w:left w:val="nil"/>
              <w:bottom w:val="nil"/>
              <w:right w:val="nil"/>
            </w:tcBorders>
            <w:shd w:val="clear" w:color="auto" w:fill="auto"/>
            <w:noWrap/>
            <w:vAlign w:val="bottom"/>
            <w:hideMark/>
          </w:tcPr>
          <w:p w14:paraId="1C2BCBE4"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1,286</w:t>
            </w:r>
          </w:p>
        </w:tc>
        <w:tc>
          <w:tcPr>
            <w:tcW w:w="1820" w:type="dxa"/>
            <w:tcBorders>
              <w:top w:val="nil"/>
              <w:left w:val="nil"/>
              <w:bottom w:val="nil"/>
              <w:right w:val="nil"/>
            </w:tcBorders>
            <w:shd w:val="clear" w:color="auto" w:fill="auto"/>
            <w:noWrap/>
            <w:hideMark/>
          </w:tcPr>
          <w:p w14:paraId="5739B461"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31</w:t>
            </w:r>
          </w:p>
        </w:tc>
        <w:tc>
          <w:tcPr>
            <w:tcW w:w="2140" w:type="dxa"/>
            <w:tcBorders>
              <w:top w:val="nil"/>
              <w:left w:val="nil"/>
              <w:bottom w:val="nil"/>
              <w:right w:val="nil"/>
            </w:tcBorders>
            <w:shd w:val="clear" w:color="auto" w:fill="auto"/>
            <w:noWrap/>
            <w:hideMark/>
          </w:tcPr>
          <w:p w14:paraId="5BC9E32D"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3.831</w:t>
            </w:r>
          </w:p>
        </w:tc>
      </w:tr>
      <w:tr w:rsidR="00411E8D" w:rsidRPr="004E5DD6" w14:paraId="57E2FC36" w14:textId="77777777" w:rsidTr="00FF60C6">
        <w:trPr>
          <w:trHeight w:val="320"/>
        </w:trPr>
        <w:tc>
          <w:tcPr>
            <w:tcW w:w="910" w:type="dxa"/>
            <w:tcBorders>
              <w:top w:val="nil"/>
              <w:left w:val="nil"/>
              <w:bottom w:val="nil"/>
              <w:right w:val="nil"/>
            </w:tcBorders>
            <w:shd w:val="clear" w:color="auto" w:fill="auto"/>
            <w:noWrap/>
            <w:vAlign w:val="bottom"/>
            <w:hideMark/>
          </w:tcPr>
          <w:p w14:paraId="544CBC93"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5-14</w:t>
            </w:r>
          </w:p>
        </w:tc>
        <w:tc>
          <w:tcPr>
            <w:tcW w:w="1880" w:type="dxa"/>
            <w:tcBorders>
              <w:top w:val="nil"/>
              <w:left w:val="nil"/>
              <w:bottom w:val="nil"/>
              <w:right w:val="nil"/>
            </w:tcBorders>
            <w:shd w:val="clear" w:color="auto" w:fill="auto"/>
            <w:noWrap/>
            <w:vAlign w:val="bottom"/>
            <w:hideMark/>
          </w:tcPr>
          <w:p w14:paraId="1EEB3B08"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Black</w:t>
            </w:r>
          </w:p>
        </w:tc>
        <w:tc>
          <w:tcPr>
            <w:tcW w:w="2380" w:type="dxa"/>
            <w:tcBorders>
              <w:top w:val="nil"/>
              <w:left w:val="nil"/>
              <w:bottom w:val="nil"/>
              <w:right w:val="nil"/>
            </w:tcBorders>
            <w:shd w:val="clear" w:color="auto" w:fill="auto"/>
            <w:noWrap/>
            <w:vAlign w:val="bottom"/>
            <w:hideMark/>
          </w:tcPr>
          <w:p w14:paraId="41445D66"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7,135</w:t>
            </w:r>
          </w:p>
        </w:tc>
        <w:tc>
          <w:tcPr>
            <w:tcW w:w="1820" w:type="dxa"/>
            <w:tcBorders>
              <w:top w:val="nil"/>
              <w:left w:val="nil"/>
              <w:bottom w:val="nil"/>
              <w:right w:val="nil"/>
            </w:tcBorders>
            <w:shd w:val="clear" w:color="auto" w:fill="auto"/>
            <w:noWrap/>
            <w:hideMark/>
          </w:tcPr>
          <w:p w14:paraId="76BFF46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84</w:t>
            </w:r>
          </w:p>
        </w:tc>
        <w:tc>
          <w:tcPr>
            <w:tcW w:w="2140" w:type="dxa"/>
            <w:tcBorders>
              <w:top w:val="nil"/>
              <w:left w:val="nil"/>
              <w:bottom w:val="nil"/>
              <w:right w:val="nil"/>
            </w:tcBorders>
            <w:shd w:val="clear" w:color="auto" w:fill="auto"/>
            <w:noWrap/>
            <w:hideMark/>
          </w:tcPr>
          <w:p w14:paraId="3D11331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3.831</w:t>
            </w:r>
          </w:p>
        </w:tc>
      </w:tr>
      <w:tr w:rsidR="00411E8D" w:rsidRPr="004E5DD6" w14:paraId="22C58C45" w14:textId="77777777" w:rsidTr="00FF60C6">
        <w:trPr>
          <w:trHeight w:val="320"/>
        </w:trPr>
        <w:tc>
          <w:tcPr>
            <w:tcW w:w="910" w:type="dxa"/>
            <w:tcBorders>
              <w:top w:val="nil"/>
              <w:left w:val="nil"/>
              <w:bottom w:val="nil"/>
              <w:right w:val="nil"/>
            </w:tcBorders>
            <w:shd w:val="clear" w:color="auto" w:fill="auto"/>
            <w:noWrap/>
            <w:vAlign w:val="bottom"/>
            <w:hideMark/>
          </w:tcPr>
          <w:p w14:paraId="39F2763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15-24</w:t>
            </w:r>
          </w:p>
        </w:tc>
        <w:tc>
          <w:tcPr>
            <w:tcW w:w="1880" w:type="dxa"/>
            <w:tcBorders>
              <w:top w:val="nil"/>
              <w:left w:val="nil"/>
              <w:bottom w:val="nil"/>
              <w:right w:val="nil"/>
            </w:tcBorders>
            <w:shd w:val="clear" w:color="auto" w:fill="auto"/>
            <w:noWrap/>
            <w:vAlign w:val="bottom"/>
            <w:hideMark/>
          </w:tcPr>
          <w:p w14:paraId="25ACEFB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Black</w:t>
            </w:r>
          </w:p>
        </w:tc>
        <w:tc>
          <w:tcPr>
            <w:tcW w:w="2380" w:type="dxa"/>
            <w:tcBorders>
              <w:top w:val="nil"/>
              <w:left w:val="nil"/>
              <w:bottom w:val="nil"/>
              <w:right w:val="nil"/>
            </w:tcBorders>
            <w:shd w:val="clear" w:color="auto" w:fill="auto"/>
            <w:noWrap/>
            <w:vAlign w:val="bottom"/>
            <w:hideMark/>
          </w:tcPr>
          <w:p w14:paraId="76754F57"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12,822</w:t>
            </w:r>
          </w:p>
        </w:tc>
        <w:tc>
          <w:tcPr>
            <w:tcW w:w="1820" w:type="dxa"/>
            <w:tcBorders>
              <w:top w:val="nil"/>
              <w:left w:val="nil"/>
              <w:bottom w:val="nil"/>
              <w:right w:val="nil"/>
            </w:tcBorders>
            <w:shd w:val="clear" w:color="auto" w:fill="auto"/>
            <w:noWrap/>
            <w:hideMark/>
          </w:tcPr>
          <w:p w14:paraId="0D71B338"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646</w:t>
            </w:r>
          </w:p>
        </w:tc>
        <w:tc>
          <w:tcPr>
            <w:tcW w:w="2140" w:type="dxa"/>
            <w:tcBorders>
              <w:top w:val="nil"/>
              <w:left w:val="nil"/>
              <w:bottom w:val="nil"/>
              <w:right w:val="nil"/>
            </w:tcBorders>
            <w:shd w:val="clear" w:color="auto" w:fill="auto"/>
            <w:noWrap/>
            <w:hideMark/>
          </w:tcPr>
          <w:p w14:paraId="5DF5338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3.826</w:t>
            </w:r>
          </w:p>
        </w:tc>
      </w:tr>
      <w:tr w:rsidR="00411E8D" w:rsidRPr="004E5DD6" w14:paraId="19BB5B4D" w14:textId="77777777" w:rsidTr="00FF60C6">
        <w:trPr>
          <w:trHeight w:val="320"/>
        </w:trPr>
        <w:tc>
          <w:tcPr>
            <w:tcW w:w="910" w:type="dxa"/>
            <w:tcBorders>
              <w:top w:val="nil"/>
              <w:left w:val="nil"/>
              <w:bottom w:val="nil"/>
              <w:right w:val="nil"/>
            </w:tcBorders>
            <w:shd w:val="clear" w:color="auto" w:fill="auto"/>
            <w:noWrap/>
            <w:vAlign w:val="bottom"/>
            <w:hideMark/>
          </w:tcPr>
          <w:p w14:paraId="0FA2F395"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25-34</w:t>
            </w:r>
          </w:p>
        </w:tc>
        <w:tc>
          <w:tcPr>
            <w:tcW w:w="1880" w:type="dxa"/>
            <w:tcBorders>
              <w:top w:val="nil"/>
              <w:left w:val="nil"/>
              <w:bottom w:val="nil"/>
              <w:right w:val="nil"/>
            </w:tcBorders>
            <w:shd w:val="clear" w:color="auto" w:fill="auto"/>
            <w:noWrap/>
            <w:vAlign w:val="bottom"/>
            <w:hideMark/>
          </w:tcPr>
          <w:p w14:paraId="79675DA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Black</w:t>
            </w:r>
          </w:p>
        </w:tc>
        <w:tc>
          <w:tcPr>
            <w:tcW w:w="2380" w:type="dxa"/>
            <w:tcBorders>
              <w:top w:val="nil"/>
              <w:left w:val="nil"/>
              <w:bottom w:val="nil"/>
              <w:right w:val="nil"/>
            </w:tcBorders>
            <w:shd w:val="clear" w:color="auto" w:fill="auto"/>
            <w:noWrap/>
            <w:vAlign w:val="bottom"/>
            <w:hideMark/>
          </w:tcPr>
          <w:p w14:paraId="0D8127FD"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17,756</w:t>
            </w:r>
          </w:p>
        </w:tc>
        <w:tc>
          <w:tcPr>
            <w:tcW w:w="1820" w:type="dxa"/>
            <w:tcBorders>
              <w:top w:val="nil"/>
              <w:left w:val="nil"/>
              <w:bottom w:val="nil"/>
              <w:right w:val="nil"/>
            </w:tcBorders>
            <w:shd w:val="clear" w:color="auto" w:fill="auto"/>
            <w:noWrap/>
            <w:hideMark/>
          </w:tcPr>
          <w:p w14:paraId="2EE7D7A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2,655</w:t>
            </w:r>
          </w:p>
        </w:tc>
        <w:tc>
          <w:tcPr>
            <w:tcW w:w="2140" w:type="dxa"/>
            <w:tcBorders>
              <w:top w:val="nil"/>
              <w:left w:val="nil"/>
              <w:bottom w:val="nil"/>
              <w:right w:val="nil"/>
            </w:tcBorders>
            <w:shd w:val="clear" w:color="auto" w:fill="auto"/>
            <w:noWrap/>
            <w:hideMark/>
          </w:tcPr>
          <w:p w14:paraId="0F49B542"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3.746</w:t>
            </w:r>
          </w:p>
        </w:tc>
      </w:tr>
      <w:tr w:rsidR="00411E8D" w:rsidRPr="004E5DD6" w14:paraId="6CE24539" w14:textId="77777777" w:rsidTr="00FF60C6">
        <w:trPr>
          <w:trHeight w:val="320"/>
        </w:trPr>
        <w:tc>
          <w:tcPr>
            <w:tcW w:w="910" w:type="dxa"/>
            <w:tcBorders>
              <w:top w:val="nil"/>
              <w:left w:val="nil"/>
              <w:bottom w:val="nil"/>
              <w:right w:val="nil"/>
            </w:tcBorders>
            <w:shd w:val="clear" w:color="auto" w:fill="auto"/>
            <w:noWrap/>
            <w:vAlign w:val="bottom"/>
            <w:hideMark/>
          </w:tcPr>
          <w:p w14:paraId="43AA66E6"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35-44</w:t>
            </w:r>
          </w:p>
        </w:tc>
        <w:tc>
          <w:tcPr>
            <w:tcW w:w="1880" w:type="dxa"/>
            <w:tcBorders>
              <w:top w:val="nil"/>
              <w:left w:val="nil"/>
              <w:bottom w:val="nil"/>
              <w:right w:val="nil"/>
            </w:tcBorders>
            <w:shd w:val="clear" w:color="auto" w:fill="auto"/>
            <w:noWrap/>
            <w:vAlign w:val="bottom"/>
            <w:hideMark/>
          </w:tcPr>
          <w:p w14:paraId="7B3A5BC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Black</w:t>
            </w:r>
          </w:p>
        </w:tc>
        <w:tc>
          <w:tcPr>
            <w:tcW w:w="2380" w:type="dxa"/>
            <w:tcBorders>
              <w:top w:val="nil"/>
              <w:left w:val="nil"/>
              <w:bottom w:val="nil"/>
              <w:right w:val="nil"/>
            </w:tcBorders>
            <w:shd w:val="clear" w:color="auto" w:fill="auto"/>
            <w:noWrap/>
            <w:vAlign w:val="bottom"/>
            <w:hideMark/>
          </w:tcPr>
          <w:p w14:paraId="08E07D93"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29,720</w:t>
            </w:r>
          </w:p>
        </w:tc>
        <w:tc>
          <w:tcPr>
            <w:tcW w:w="1820" w:type="dxa"/>
            <w:tcBorders>
              <w:top w:val="nil"/>
              <w:left w:val="nil"/>
              <w:bottom w:val="nil"/>
              <w:right w:val="nil"/>
            </w:tcBorders>
            <w:shd w:val="clear" w:color="auto" w:fill="auto"/>
            <w:noWrap/>
            <w:hideMark/>
          </w:tcPr>
          <w:p w14:paraId="273E2993"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6,036</w:t>
            </w:r>
          </w:p>
        </w:tc>
        <w:tc>
          <w:tcPr>
            <w:tcW w:w="2140" w:type="dxa"/>
            <w:tcBorders>
              <w:top w:val="nil"/>
              <w:left w:val="nil"/>
              <w:bottom w:val="nil"/>
              <w:right w:val="nil"/>
            </w:tcBorders>
            <w:shd w:val="clear" w:color="auto" w:fill="auto"/>
            <w:noWrap/>
            <w:hideMark/>
          </w:tcPr>
          <w:p w14:paraId="16CDB696"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3.530</w:t>
            </w:r>
          </w:p>
        </w:tc>
      </w:tr>
      <w:tr w:rsidR="00411E8D" w:rsidRPr="004E5DD6" w14:paraId="7E32658F" w14:textId="77777777" w:rsidTr="00FF60C6">
        <w:trPr>
          <w:trHeight w:val="320"/>
        </w:trPr>
        <w:tc>
          <w:tcPr>
            <w:tcW w:w="910" w:type="dxa"/>
            <w:tcBorders>
              <w:top w:val="nil"/>
              <w:left w:val="nil"/>
              <w:bottom w:val="nil"/>
              <w:right w:val="nil"/>
            </w:tcBorders>
            <w:shd w:val="clear" w:color="auto" w:fill="auto"/>
            <w:noWrap/>
            <w:vAlign w:val="bottom"/>
            <w:hideMark/>
          </w:tcPr>
          <w:p w14:paraId="3F868668"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45-54</w:t>
            </w:r>
          </w:p>
        </w:tc>
        <w:tc>
          <w:tcPr>
            <w:tcW w:w="1880" w:type="dxa"/>
            <w:tcBorders>
              <w:top w:val="nil"/>
              <w:left w:val="nil"/>
              <w:bottom w:val="nil"/>
              <w:right w:val="nil"/>
            </w:tcBorders>
            <w:shd w:val="clear" w:color="auto" w:fill="auto"/>
            <w:noWrap/>
            <w:vAlign w:val="bottom"/>
            <w:hideMark/>
          </w:tcPr>
          <w:p w14:paraId="26DF106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Black</w:t>
            </w:r>
          </w:p>
        </w:tc>
        <w:tc>
          <w:tcPr>
            <w:tcW w:w="2380" w:type="dxa"/>
            <w:tcBorders>
              <w:top w:val="nil"/>
              <w:left w:val="nil"/>
              <w:bottom w:val="nil"/>
              <w:right w:val="nil"/>
            </w:tcBorders>
            <w:shd w:val="clear" w:color="auto" w:fill="auto"/>
            <w:noWrap/>
            <w:vAlign w:val="bottom"/>
            <w:hideMark/>
          </w:tcPr>
          <w:p w14:paraId="56864532"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66,651</w:t>
            </w:r>
          </w:p>
        </w:tc>
        <w:tc>
          <w:tcPr>
            <w:tcW w:w="1820" w:type="dxa"/>
            <w:tcBorders>
              <w:top w:val="nil"/>
              <w:left w:val="nil"/>
              <w:bottom w:val="nil"/>
              <w:right w:val="nil"/>
            </w:tcBorders>
            <w:shd w:val="clear" w:color="auto" w:fill="auto"/>
            <w:noWrap/>
            <w:hideMark/>
          </w:tcPr>
          <w:p w14:paraId="781964F4"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13,192</w:t>
            </w:r>
          </w:p>
        </w:tc>
        <w:tc>
          <w:tcPr>
            <w:tcW w:w="2140" w:type="dxa"/>
            <w:tcBorders>
              <w:top w:val="nil"/>
              <w:left w:val="nil"/>
              <w:bottom w:val="nil"/>
              <w:right w:val="nil"/>
            </w:tcBorders>
            <w:shd w:val="clear" w:color="auto" w:fill="auto"/>
            <w:noWrap/>
            <w:hideMark/>
          </w:tcPr>
          <w:p w14:paraId="0142E406"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3.117</w:t>
            </w:r>
          </w:p>
        </w:tc>
      </w:tr>
      <w:tr w:rsidR="00411E8D" w:rsidRPr="004E5DD6" w14:paraId="636D0BFF" w14:textId="77777777" w:rsidTr="00FF60C6">
        <w:trPr>
          <w:trHeight w:val="320"/>
        </w:trPr>
        <w:tc>
          <w:tcPr>
            <w:tcW w:w="910" w:type="dxa"/>
            <w:tcBorders>
              <w:top w:val="nil"/>
              <w:left w:val="nil"/>
              <w:bottom w:val="nil"/>
              <w:right w:val="nil"/>
            </w:tcBorders>
            <w:shd w:val="clear" w:color="auto" w:fill="auto"/>
            <w:noWrap/>
            <w:vAlign w:val="bottom"/>
            <w:hideMark/>
          </w:tcPr>
          <w:p w14:paraId="6E6F25A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55-64</w:t>
            </w:r>
          </w:p>
        </w:tc>
        <w:tc>
          <w:tcPr>
            <w:tcW w:w="1880" w:type="dxa"/>
            <w:tcBorders>
              <w:top w:val="nil"/>
              <w:left w:val="nil"/>
              <w:bottom w:val="nil"/>
              <w:right w:val="nil"/>
            </w:tcBorders>
            <w:shd w:val="clear" w:color="auto" w:fill="auto"/>
            <w:noWrap/>
            <w:vAlign w:val="bottom"/>
            <w:hideMark/>
          </w:tcPr>
          <w:p w14:paraId="39050D21"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Black</w:t>
            </w:r>
          </w:p>
        </w:tc>
        <w:tc>
          <w:tcPr>
            <w:tcW w:w="2380" w:type="dxa"/>
            <w:tcBorders>
              <w:top w:val="nil"/>
              <w:left w:val="nil"/>
              <w:bottom w:val="nil"/>
              <w:right w:val="nil"/>
            </w:tcBorders>
            <w:shd w:val="clear" w:color="auto" w:fill="auto"/>
            <w:noWrap/>
            <w:vAlign w:val="bottom"/>
            <w:hideMark/>
          </w:tcPr>
          <w:p w14:paraId="11D57625"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91,162</w:t>
            </w:r>
          </w:p>
        </w:tc>
        <w:tc>
          <w:tcPr>
            <w:tcW w:w="1820" w:type="dxa"/>
            <w:tcBorders>
              <w:top w:val="nil"/>
              <w:left w:val="nil"/>
              <w:bottom w:val="nil"/>
              <w:right w:val="nil"/>
            </w:tcBorders>
            <w:shd w:val="clear" w:color="auto" w:fill="auto"/>
            <w:noWrap/>
            <w:hideMark/>
          </w:tcPr>
          <w:p w14:paraId="4522240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27,753</w:t>
            </w:r>
          </w:p>
        </w:tc>
        <w:tc>
          <w:tcPr>
            <w:tcW w:w="2140" w:type="dxa"/>
            <w:tcBorders>
              <w:top w:val="nil"/>
              <w:left w:val="nil"/>
              <w:bottom w:val="nil"/>
              <w:right w:val="nil"/>
            </w:tcBorders>
            <w:shd w:val="clear" w:color="auto" w:fill="auto"/>
            <w:noWrap/>
            <w:hideMark/>
          </w:tcPr>
          <w:p w14:paraId="49CD48C2"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2.570</w:t>
            </w:r>
          </w:p>
        </w:tc>
      </w:tr>
      <w:tr w:rsidR="00411E8D" w:rsidRPr="004E5DD6" w14:paraId="3E118303" w14:textId="77777777" w:rsidTr="00FF60C6">
        <w:trPr>
          <w:trHeight w:val="320"/>
        </w:trPr>
        <w:tc>
          <w:tcPr>
            <w:tcW w:w="910" w:type="dxa"/>
            <w:tcBorders>
              <w:top w:val="nil"/>
              <w:left w:val="nil"/>
              <w:bottom w:val="nil"/>
              <w:right w:val="nil"/>
            </w:tcBorders>
            <w:shd w:val="clear" w:color="auto" w:fill="auto"/>
            <w:noWrap/>
            <w:vAlign w:val="bottom"/>
            <w:hideMark/>
          </w:tcPr>
          <w:p w14:paraId="69722773"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65-74</w:t>
            </w:r>
          </w:p>
        </w:tc>
        <w:tc>
          <w:tcPr>
            <w:tcW w:w="1880" w:type="dxa"/>
            <w:tcBorders>
              <w:top w:val="nil"/>
              <w:left w:val="nil"/>
              <w:bottom w:val="nil"/>
              <w:right w:val="nil"/>
            </w:tcBorders>
            <w:shd w:val="clear" w:color="auto" w:fill="auto"/>
            <w:noWrap/>
            <w:vAlign w:val="bottom"/>
            <w:hideMark/>
          </w:tcPr>
          <w:p w14:paraId="5B60639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Black</w:t>
            </w:r>
          </w:p>
        </w:tc>
        <w:tc>
          <w:tcPr>
            <w:tcW w:w="2380" w:type="dxa"/>
            <w:tcBorders>
              <w:top w:val="nil"/>
              <w:left w:val="nil"/>
              <w:bottom w:val="nil"/>
              <w:right w:val="nil"/>
            </w:tcBorders>
            <w:shd w:val="clear" w:color="auto" w:fill="auto"/>
            <w:noWrap/>
            <w:vAlign w:val="bottom"/>
            <w:hideMark/>
          </w:tcPr>
          <w:p w14:paraId="1BDA22AD"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82,771</w:t>
            </w:r>
          </w:p>
        </w:tc>
        <w:tc>
          <w:tcPr>
            <w:tcW w:w="1820" w:type="dxa"/>
            <w:tcBorders>
              <w:top w:val="nil"/>
              <w:left w:val="nil"/>
              <w:bottom w:val="nil"/>
              <w:right w:val="nil"/>
            </w:tcBorders>
            <w:shd w:val="clear" w:color="auto" w:fill="auto"/>
            <w:noWrap/>
            <w:hideMark/>
          </w:tcPr>
          <w:p w14:paraId="1A7119D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37,688</w:t>
            </w:r>
          </w:p>
        </w:tc>
        <w:tc>
          <w:tcPr>
            <w:tcW w:w="2140" w:type="dxa"/>
            <w:tcBorders>
              <w:top w:val="nil"/>
              <w:left w:val="nil"/>
              <w:bottom w:val="nil"/>
              <w:right w:val="nil"/>
            </w:tcBorders>
            <w:shd w:val="clear" w:color="auto" w:fill="auto"/>
            <w:noWrap/>
            <w:hideMark/>
          </w:tcPr>
          <w:p w14:paraId="7FFA3D6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1.921</w:t>
            </w:r>
          </w:p>
        </w:tc>
      </w:tr>
      <w:tr w:rsidR="00411E8D" w:rsidRPr="004E5DD6" w14:paraId="17BBA953" w14:textId="77777777" w:rsidTr="00FF60C6">
        <w:trPr>
          <w:trHeight w:val="320"/>
        </w:trPr>
        <w:tc>
          <w:tcPr>
            <w:tcW w:w="910" w:type="dxa"/>
            <w:tcBorders>
              <w:top w:val="nil"/>
              <w:left w:val="nil"/>
              <w:bottom w:val="single" w:sz="4" w:space="0" w:color="auto"/>
              <w:right w:val="nil"/>
            </w:tcBorders>
            <w:shd w:val="clear" w:color="auto" w:fill="auto"/>
            <w:noWrap/>
            <w:vAlign w:val="bottom"/>
            <w:hideMark/>
          </w:tcPr>
          <w:p w14:paraId="40DBDCB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75-84</w:t>
            </w:r>
          </w:p>
        </w:tc>
        <w:tc>
          <w:tcPr>
            <w:tcW w:w="1880" w:type="dxa"/>
            <w:tcBorders>
              <w:top w:val="nil"/>
              <w:left w:val="nil"/>
              <w:bottom w:val="single" w:sz="4" w:space="0" w:color="auto"/>
              <w:right w:val="nil"/>
            </w:tcBorders>
            <w:shd w:val="clear" w:color="auto" w:fill="auto"/>
            <w:noWrap/>
            <w:vAlign w:val="bottom"/>
            <w:hideMark/>
          </w:tcPr>
          <w:p w14:paraId="4DAFFF8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Black</w:t>
            </w:r>
          </w:p>
        </w:tc>
        <w:tc>
          <w:tcPr>
            <w:tcW w:w="2380" w:type="dxa"/>
            <w:tcBorders>
              <w:top w:val="nil"/>
              <w:left w:val="nil"/>
              <w:bottom w:val="single" w:sz="4" w:space="0" w:color="auto"/>
              <w:right w:val="nil"/>
            </w:tcBorders>
            <w:shd w:val="clear" w:color="auto" w:fill="auto"/>
            <w:noWrap/>
            <w:vAlign w:val="bottom"/>
            <w:hideMark/>
          </w:tcPr>
          <w:p w14:paraId="73EB833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79,247</w:t>
            </w:r>
          </w:p>
        </w:tc>
        <w:tc>
          <w:tcPr>
            <w:tcW w:w="1820" w:type="dxa"/>
            <w:tcBorders>
              <w:top w:val="nil"/>
              <w:left w:val="nil"/>
              <w:bottom w:val="single" w:sz="4" w:space="0" w:color="auto"/>
              <w:right w:val="nil"/>
            </w:tcBorders>
            <w:shd w:val="clear" w:color="auto" w:fill="auto"/>
            <w:noWrap/>
            <w:hideMark/>
          </w:tcPr>
          <w:p w14:paraId="2D168BC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31,459</w:t>
            </w:r>
          </w:p>
        </w:tc>
        <w:tc>
          <w:tcPr>
            <w:tcW w:w="2140" w:type="dxa"/>
            <w:tcBorders>
              <w:top w:val="nil"/>
              <w:left w:val="nil"/>
              <w:bottom w:val="single" w:sz="4" w:space="0" w:color="auto"/>
              <w:right w:val="nil"/>
            </w:tcBorders>
            <w:shd w:val="clear" w:color="auto" w:fill="auto"/>
            <w:noWrap/>
            <w:hideMark/>
          </w:tcPr>
          <w:p w14:paraId="54FD6294"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1.273</w:t>
            </w:r>
          </w:p>
        </w:tc>
      </w:tr>
      <w:tr w:rsidR="00411E8D" w:rsidRPr="004E5DD6" w14:paraId="5D9A7A2E" w14:textId="77777777" w:rsidTr="00FF60C6">
        <w:trPr>
          <w:trHeight w:val="320"/>
        </w:trPr>
        <w:tc>
          <w:tcPr>
            <w:tcW w:w="910" w:type="dxa"/>
            <w:tcBorders>
              <w:top w:val="single" w:sz="4" w:space="0" w:color="auto"/>
              <w:left w:val="nil"/>
              <w:bottom w:val="single" w:sz="4" w:space="0" w:color="auto"/>
              <w:right w:val="nil"/>
            </w:tcBorders>
            <w:shd w:val="clear" w:color="auto" w:fill="auto"/>
            <w:noWrap/>
            <w:vAlign w:val="bottom"/>
            <w:hideMark/>
          </w:tcPr>
          <w:p w14:paraId="155B9BAA" w14:textId="77777777" w:rsidR="00411E8D" w:rsidRPr="004E5DD6" w:rsidRDefault="00411E8D" w:rsidP="00FF60C6">
            <w:pPr>
              <w:jc w:val="center"/>
              <w:rPr>
                <w:rFonts w:ascii="Arial" w:eastAsia="Times New Roman" w:hAnsi="Arial" w:cs="Arial"/>
                <w:i/>
                <w:iCs/>
                <w:color w:val="000000"/>
                <w:sz w:val="22"/>
                <w:szCs w:val="22"/>
              </w:rPr>
            </w:pPr>
          </w:p>
        </w:tc>
        <w:tc>
          <w:tcPr>
            <w:tcW w:w="1880" w:type="dxa"/>
            <w:tcBorders>
              <w:top w:val="single" w:sz="4" w:space="0" w:color="auto"/>
              <w:left w:val="nil"/>
              <w:bottom w:val="single" w:sz="4" w:space="0" w:color="auto"/>
              <w:right w:val="nil"/>
            </w:tcBorders>
            <w:shd w:val="clear" w:color="auto" w:fill="auto"/>
            <w:noWrap/>
            <w:vAlign w:val="bottom"/>
            <w:hideMark/>
          </w:tcPr>
          <w:p w14:paraId="766F794F" w14:textId="77777777" w:rsidR="00411E8D" w:rsidRPr="004E5DD6" w:rsidRDefault="00411E8D" w:rsidP="00FF60C6">
            <w:pPr>
              <w:jc w:val="center"/>
              <w:rPr>
                <w:rFonts w:ascii="Arial" w:eastAsia="Times New Roman" w:hAnsi="Arial" w:cs="Arial"/>
                <w:i/>
                <w:iCs/>
                <w:sz w:val="22"/>
                <w:szCs w:val="22"/>
              </w:rPr>
            </w:pPr>
          </w:p>
        </w:tc>
        <w:tc>
          <w:tcPr>
            <w:tcW w:w="2380" w:type="dxa"/>
            <w:tcBorders>
              <w:top w:val="single" w:sz="4" w:space="0" w:color="auto"/>
              <w:left w:val="nil"/>
              <w:bottom w:val="single" w:sz="4" w:space="0" w:color="auto"/>
              <w:right w:val="nil"/>
            </w:tcBorders>
            <w:shd w:val="clear" w:color="auto" w:fill="auto"/>
            <w:noWrap/>
            <w:vAlign w:val="bottom"/>
            <w:hideMark/>
          </w:tcPr>
          <w:p w14:paraId="2D8DC084" w14:textId="77777777" w:rsidR="00411E8D" w:rsidRPr="004E5DD6" w:rsidRDefault="00411E8D" w:rsidP="00FF60C6">
            <w:pPr>
              <w:jc w:val="center"/>
              <w:rPr>
                <w:rFonts w:ascii="Arial" w:eastAsia="Times New Roman" w:hAnsi="Arial" w:cs="Arial"/>
                <w:i/>
                <w:iCs/>
                <w:sz w:val="22"/>
                <w:szCs w:val="22"/>
              </w:rPr>
            </w:pPr>
          </w:p>
        </w:tc>
        <w:tc>
          <w:tcPr>
            <w:tcW w:w="1820" w:type="dxa"/>
            <w:tcBorders>
              <w:top w:val="single" w:sz="4" w:space="0" w:color="auto"/>
              <w:left w:val="nil"/>
              <w:bottom w:val="single" w:sz="4" w:space="0" w:color="auto"/>
              <w:right w:val="nil"/>
            </w:tcBorders>
            <w:shd w:val="clear" w:color="auto" w:fill="auto"/>
            <w:noWrap/>
            <w:vAlign w:val="bottom"/>
            <w:hideMark/>
          </w:tcPr>
          <w:p w14:paraId="321F4253" w14:textId="77777777" w:rsidR="00411E8D" w:rsidRPr="004E5DD6" w:rsidRDefault="00411E8D" w:rsidP="00FF60C6">
            <w:pPr>
              <w:jc w:val="center"/>
              <w:rPr>
                <w:rFonts w:ascii="Arial" w:eastAsia="Times New Roman" w:hAnsi="Arial" w:cs="Arial"/>
                <w:i/>
                <w:iCs/>
                <w:sz w:val="22"/>
                <w:szCs w:val="22"/>
              </w:rPr>
            </w:pPr>
          </w:p>
        </w:tc>
        <w:tc>
          <w:tcPr>
            <w:tcW w:w="2140" w:type="dxa"/>
            <w:tcBorders>
              <w:top w:val="single" w:sz="4" w:space="0" w:color="auto"/>
              <w:left w:val="nil"/>
              <w:bottom w:val="single" w:sz="4" w:space="0" w:color="auto"/>
              <w:right w:val="nil"/>
            </w:tcBorders>
            <w:shd w:val="clear" w:color="auto" w:fill="auto"/>
            <w:noWrap/>
            <w:vAlign w:val="bottom"/>
            <w:hideMark/>
          </w:tcPr>
          <w:p w14:paraId="744030BB" w14:textId="77777777" w:rsidR="00411E8D" w:rsidRPr="004E5DD6" w:rsidRDefault="00411E8D" w:rsidP="00FF60C6">
            <w:pPr>
              <w:jc w:val="center"/>
              <w:rPr>
                <w:rFonts w:ascii="Arial" w:eastAsia="Times New Roman" w:hAnsi="Arial" w:cs="Arial"/>
                <w:i/>
                <w:iCs/>
                <w:sz w:val="22"/>
                <w:szCs w:val="22"/>
              </w:rPr>
            </w:pPr>
          </w:p>
        </w:tc>
      </w:tr>
      <w:tr w:rsidR="00411E8D" w:rsidRPr="004E5DD6" w14:paraId="412416AC" w14:textId="77777777" w:rsidTr="00FF60C6">
        <w:trPr>
          <w:trHeight w:val="680"/>
        </w:trPr>
        <w:tc>
          <w:tcPr>
            <w:tcW w:w="910" w:type="dxa"/>
            <w:tcBorders>
              <w:top w:val="single" w:sz="4" w:space="0" w:color="auto"/>
              <w:left w:val="nil"/>
              <w:bottom w:val="single" w:sz="4" w:space="0" w:color="auto"/>
              <w:right w:val="nil"/>
            </w:tcBorders>
            <w:shd w:val="clear" w:color="auto" w:fill="auto"/>
            <w:vAlign w:val="bottom"/>
            <w:hideMark/>
          </w:tcPr>
          <w:p w14:paraId="0A4E277B"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 xml:space="preserve">Age </w:t>
            </w:r>
            <w:r w:rsidRPr="004E5DD6">
              <w:rPr>
                <w:rFonts w:ascii="Arial" w:eastAsia="Times New Roman" w:hAnsi="Arial" w:cs="Arial"/>
                <w:b/>
                <w:bCs/>
                <w:i/>
                <w:iCs/>
                <w:color w:val="000000"/>
                <w:sz w:val="22"/>
                <w:szCs w:val="22"/>
              </w:rPr>
              <w:br/>
              <w:t>Group</w:t>
            </w:r>
          </w:p>
        </w:tc>
        <w:tc>
          <w:tcPr>
            <w:tcW w:w="1880" w:type="dxa"/>
            <w:tcBorders>
              <w:top w:val="single" w:sz="4" w:space="0" w:color="auto"/>
              <w:left w:val="nil"/>
              <w:bottom w:val="single" w:sz="4" w:space="0" w:color="auto"/>
              <w:right w:val="nil"/>
            </w:tcBorders>
            <w:shd w:val="clear" w:color="auto" w:fill="auto"/>
            <w:vAlign w:val="bottom"/>
            <w:hideMark/>
          </w:tcPr>
          <w:p w14:paraId="734D5B51"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Race and Ethnicity</w:t>
            </w:r>
          </w:p>
        </w:tc>
        <w:tc>
          <w:tcPr>
            <w:tcW w:w="2380" w:type="dxa"/>
            <w:tcBorders>
              <w:top w:val="single" w:sz="4" w:space="0" w:color="auto"/>
              <w:left w:val="nil"/>
              <w:bottom w:val="single" w:sz="4" w:space="0" w:color="auto"/>
              <w:right w:val="nil"/>
            </w:tcBorders>
            <w:shd w:val="clear" w:color="auto" w:fill="auto"/>
            <w:vAlign w:val="bottom"/>
            <w:hideMark/>
          </w:tcPr>
          <w:p w14:paraId="79B5371F"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Expected Deaths Without COVID-19</w:t>
            </w:r>
          </w:p>
        </w:tc>
        <w:tc>
          <w:tcPr>
            <w:tcW w:w="1820" w:type="dxa"/>
            <w:tcBorders>
              <w:top w:val="single" w:sz="4" w:space="0" w:color="auto"/>
              <w:left w:val="nil"/>
              <w:bottom w:val="single" w:sz="4" w:space="0" w:color="auto"/>
              <w:right w:val="nil"/>
            </w:tcBorders>
            <w:shd w:val="clear" w:color="auto" w:fill="auto"/>
            <w:vAlign w:val="bottom"/>
            <w:hideMark/>
          </w:tcPr>
          <w:p w14:paraId="3810947A"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 xml:space="preserve">COVID-19 </w:t>
            </w:r>
            <w:r w:rsidRPr="004E5DD6">
              <w:rPr>
                <w:rFonts w:ascii="Arial" w:eastAsia="Times New Roman" w:hAnsi="Arial" w:cs="Arial"/>
                <w:b/>
                <w:bCs/>
                <w:i/>
                <w:iCs/>
                <w:color w:val="000000"/>
                <w:sz w:val="22"/>
                <w:szCs w:val="22"/>
              </w:rPr>
              <w:br/>
              <w:t>Deaths</w:t>
            </w:r>
          </w:p>
        </w:tc>
        <w:tc>
          <w:tcPr>
            <w:tcW w:w="2140" w:type="dxa"/>
            <w:tcBorders>
              <w:top w:val="single" w:sz="4" w:space="0" w:color="auto"/>
              <w:left w:val="nil"/>
              <w:bottom w:val="single" w:sz="4" w:space="0" w:color="auto"/>
              <w:right w:val="nil"/>
            </w:tcBorders>
            <w:shd w:val="clear" w:color="auto" w:fill="auto"/>
            <w:vAlign w:val="bottom"/>
            <w:hideMark/>
          </w:tcPr>
          <w:p w14:paraId="6F1CDBAB"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 xml:space="preserve">Life Expectancy </w:t>
            </w:r>
            <w:r w:rsidRPr="004E5DD6">
              <w:rPr>
                <w:rFonts w:ascii="Arial" w:eastAsia="Times New Roman" w:hAnsi="Arial" w:cs="Arial"/>
                <w:b/>
                <w:bCs/>
                <w:i/>
                <w:iCs/>
                <w:color w:val="000000"/>
                <w:sz w:val="22"/>
                <w:szCs w:val="22"/>
              </w:rPr>
              <w:br/>
              <w:t>Losses (Years)</w:t>
            </w:r>
          </w:p>
        </w:tc>
      </w:tr>
      <w:tr w:rsidR="00411E8D" w:rsidRPr="004E5DD6" w14:paraId="0C0FAA5A" w14:textId="77777777" w:rsidTr="00FF60C6">
        <w:trPr>
          <w:trHeight w:val="320"/>
        </w:trPr>
        <w:tc>
          <w:tcPr>
            <w:tcW w:w="910" w:type="dxa"/>
            <w:tcBorders>
              <w:top w:val="single" w:sz="4" w:space="0" w:color="auto"/>
              <w:left w:val="nil"/>
              <w:bottom w:val="nil"/>
              <w:right w:val="nil"/>
            </w:tcBorders>
            <w:shd w:val="clear" w:color="auto" w:fill="auto"/>
            <w:noWrap/>
            <w:vAlign w:val="bottom"/>
            <w:hideMark/>
          </w:tcPr>
          <w:p w14:paraId="20869F86"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&lt;1</w:t>
            </w:r>
          </w:p>
        </w:tc>
        <w:tc>
          <w:tcPr>
            <w:tcW w:w="1880" w:type="dxa"/>
            <w:tcBorders>
              <w:top w:val="single" w:sz="4" w:space="0" w:color="auto"/>
              <w:left w:val="nil"/>
              <w:bottom w:val="nil"/>
              <w:right w:val="nil"/>
            </w:tcBorders>
            <w:shd w:val="clear" w:color="auto" w:fill="auto"/>
            <w:noWrap/>
            <w:vAlign w:val="bottom"/>
            <w:hideMark/>
          </w:tcPr>
          <w:p w14:paraId="67A2A5C1"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Hispanic</w:t>
            </w:r>
          </w:p>
        </w:tc>
        <w:tc>
          <w:tcPr>
            <w:tcW w:w="2380" w:type="dxa"/>
            <w:tcBorders>
              <w:top w:val="single" w:sz="4" w:space="0" w:color="auto"/>
              <w:left w:val="nil"/>
              <w:bottom w:val="nil"/>
              <w:right w:val="nil"/>
            </w:tcBorders>
            <w:shd w:val="clear" w:color="auto" w:fill="auto"/>
            <w:noWrap/>
            <w:vAlign w:val="bottom"/>
            <w:hideMark/>
          </w:tcPr>
          <w:p w14:paraId="65BDC14A"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6,050</w:t>
            </w:r>
          </w:p>
        </w:tc>
        <w:tc>
          <w:tcPr>
            <w:tcW w:w="1820" w:type="dxa"/>
            <w:tcBorders>
              <w:top w:val="single" w:sz="4" w:space="0" w:color="auto"/>
              <w:left w:val="nil"/>
              <w:bottom w:val="nil"/>
              <w:right w:val="nil"/>
            </w:tcBorders>
            <w:shd w:val="clear" w:color="auto" w:fill="auto"/>
            <w:noWrap/>
            <w:hideMark/>
          </w:tcPr>
          <w:p w14:paraId="3BAD2E77"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76</w:t>
            </w:r>
          </w:p>
        </w:tc>
        <w:tc>
          <w:tcPr>
            <w:tcW w:w="2140" w:type="dxa"/>
            <w:tcBorders>
              <w:top w:val="single" w:sz="4" w:space="0" w:color="auto"/>
              <w:left w:val="nil"/>
              <w:bottom w:val="nil"/>
              <w:right w:val="nil"/>
            </w:tcBorders>
            <w:shd w:val="clear" w:color="auto" w:fill="auto"/>
            <w:noWrap/>
            <w:hideMark/>
          </w:tcPr>
          <w:p w14:paraId="7DDC6B5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5.313</w:t>
            </w:r>
          </w:p>
        </w:tc>
      </w:tr>
      <w:tr w:rsidR="00411E8D" w:rsidRPr="004E5DD6" w14:paraId="4D26493C" w14:textId="77777777" w:rsidTr="00FF60C6">
        <w:trPr>
          <w:trHeight w:val="320"/>
        </w:trPr>
        <w:tc>
          <w:tcPr>
            <w:tcW w:w="910" w:type="dxa"/>
            <w:tcBorders>
              <w:top w:val="nil"/>
              <w:left w:val="nil"/>
              <w:bottom w:val="nil"/>
              <w:right w:val="nil"/>
            </w:tcBorders>
            <w:shd w:val="clear" w:color="auto" w:fill="auto"/>
            <w:noWrap/>
            <w:vAlign w:val="bottom"/>
            <w:hideMark/>
          </w:tcPr>
          <w:p w14:paraId="5006F0F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1-4</w:t>
            </w:r>
          </w:p>
        </w:tc>
        <w:tc>
          <w:tcPr>
            <w:tcW w:w="1880" w:type="dxa"/>
            <w:tcBorders>
              <w:top w:val="nil"/>
              <w:left w:val="nil"/>
              <w:bottom w:val="nil"/>
              <w:right w:val="nil"/>
            </w:tcBorders>
            <w:shd w:val="clear" w:color="auto" w:fill="auto"/>
            <w:noWrap/>
            <w:vAlign w:val="bottom"/>
            <w:hideMark/>
          </w:tcPr>
          <w:p w14:paraId="355755BA"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Hispanic</w:t>
            </w:r>
          </w:p>
        </w:tc>
        <w:tc>
          <w:tcPr>
            <w:tcW w:w="2380" w:type="dxa"/>
            <w:tcBorders>
              <w:top w:val="nil"/>
              <w:left w:val="nil"/>
              <w:bottom w:val="nil"/>
              <w:right w:val="nil"/>
            </w:tcBorders>
            <w:shd w:val="clear" w:color="auto" w:fill="auto"/>
            <w:noWrap/>
            <w:vAlign w:val="bottom"/>
            <w:hideMark/>
          </w:tcPr>
          <w:p w14:paraId="72808F2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1,182</w:t>
            </w:r>
          </w:p>
        </w:tc>
        <w:tc>
          <w:tcPr>
            <w:tcW w:w="1820" w:type="dxa"/>
            <w:tcBorders>
              <w:top w:val="nil"/>
              <w:left w:val="nil"/>
              <w:bottom w:val="nil"/>
              <w:right w:val="nil"/>
            </w:tcBorders>
            <w:shd w:val="clear" w:color="auto" w:fill="auto"/>
            <w:noWrap/>
            <w:hideMark/>
          </w:tcPr>
          <w:p w14:paraId="49015337"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41</w:t>
            </w:r>
          </w:p>
        </w:tc>
        <w:tc>
          <w:tcPr>
            <w:tcW w:w="2140" w:type="dxa"/>
            <w:tcBorders>
              <w:top w:val="nil"/>
              <w:left w:val="nil"/>
              <w:bottom w:val="nil"/>
              <w:right w:val="nil"/>
            </w:tcBorders>
            <w:shd w:val="clear" w:color="auto" w:fill="auto"/>
            <w:noWrap/>
            <w:hideMark/>
          </w:tcPr>
          <w:p w14:paraId="52E242B7"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5.336</w:t>
            </w:r>
          </w:p>
        </w:tc>
      </w:tr>
      <w:tr w:rsidR="00411E8D" w:rsidRPr="004E5DD6" w14:paraId="443929E1" w14:textId="77777777" w:rsidTr="00FF60C6">
        <w:trPr>
          <w:trHeight w:val="320"/>
        </w:trPr>
        <w:tc>
          <w:tcPr>
            <w:tcW w:w="910" w:type="dxa"/>
            <w:tcBorders>
              <w:top w:val="nil"/>
              <w:left w:val="nil"/>
              <w:bottom w:val="nil"/>
              <w:right w:val="nil"/>
            </w:tcBorders>
            <w:shd w:val="clear" w:color="auto" w:fill="auto"/>
            <w:noWrap/>
            <w:vAlign w:val="bottom"/>
            <w:hideMark/>
          </w:tcPr>
          <w:p w14:paraId="50D46C12"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5-14</w:t>
            </w:r>
          </w:p>
        </w:tc>
        <w:tc>
          <w:tcPr>
            <w:tcW w:w="1880" w:type="dxa"/>
            <w:tcBorders>
              <w:top w:val="nil"/>
              <w:left w:val="nil"/>
              <w:bottom w:val="nil"/>
              <w:right w:val="nil"/>
            </w:tcBorders>
            <w:shd w:val="clear" w:color="auto" w:fill="auto"/>
            <w:noWrap/>
            <w:vAlign w:val="bottom"/>
            <w:hideMark/>
          </w:tcPr>
          <w:p w14:paraId="0042D04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Hispanic</w:t>
            </w:r>
          </w:p>
        </w:tc>
        <w:tc>
          <w:tcPr>
            <w:tcW w:w="2380" w:type="dxa"/>
            <w:tcBorders>
              <w:top w:val="nil"/>
              <w:left w:val="nil"/>
              <w:bottom w:val="nil"/>
              <w:right w:val="nil"/>
            </w:tcBorders>
            <w:shd w:val="clear" w:color="auto" w:fill="auto"/>
            <w:noWrap/>
            <w:vAlign w:val="bottom"/>
            <w:hideMark/>
          </w:tcPr>
          <w:p w14:paraId="1E3BD555"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6,344</w:t>
            </w:r>
          </w:p>
        </w:tc>
        <w:tc>
          <w:tcPr>
            <w:tcW w:w="1820" w:type="dxa"/>
            <w:tcBorders>
              <w:top w:val="nil"/>
              <w:left w:val="nil"/>
              <w:bottom w:val="nil"/>
              <w:right w:val="nil"/>
            </w:tcBorders>
            <w:shd w:val="clear" w:color="auto" w:fill="auto"/>
            <w:noWrap/>
            <w:hideMark/>
          </w:tcPr>
          <w:p w14:paraId="7873EC8D"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101</w:t>
            </w:r>
          </w:p>
        </w:tc>
        <w:tc>
          <w:tcPr>
            <w:tcW w:w="2140" w:type="dxa"/>
            <w:tcBorders>
              <w:top w:val="nil"/>
              <w:left w:val="nil"/>
              <w:bottom w:val="nil"/>
              <w:right w:val="nil"/>
            </w:tcBorders>
            <w:shd w:val="clear" w:color="auto" w:fill="auto"/>
            <w:noWrap/>
            <w:hideMark/>
          </w:tcPr>
          <w:p w14:paraId="1246E12D"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5.337</w:t>
            </w:r>
          </w:p>
        </w:tc>
      </w:tr>
      <w:tr w:rsidR="00411E8D" w:rsidRPr="004E5DD6" w14:paraId="07BC6088" w14:textId="77777777" w:rsidTr="00FF60C6">
        <w:trPr>
          <w:trHeight w:val="320"/>
        </w:trPr>
        <w:tc>
          <w:tcPr>
            <w:tcW w:w="910" w:type="dxa"/>
            <w:tcBorders>
              <w:top w:val="nil"/>
              <w:left w:val="nil"/>
              <w:bottom w:val="nil"/>
              <w:right w:val="nil"/>
            </w:tcBorders>
            <w:shd w:val="clear" w:color="auto" w:fill="auto"/>
            <w:noWrap/>
            <w:vAlign w:val="bottom"/>
            <w:hideMark/>
          </w:tcPr>
          <w:p w14:paraId="60086ED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15-24</w:t>
            </w:r>
          </w:p>
        </w:tc>
        <w:tc>
          <w:tcPr>
            <w:tcW w:w="1880" w:type="dxa"/>
            <w:tcBorders>
              <w:top w:val="nil"/>
              <w:left w:val="nil"/>
              <w:bottom w:val="nil"/>
              <w:right w:val="nil"/>
            </w:tcBorders>
            <w:shd w:val="clear" w:color="auto" w:fill="auto"/>
            <w:noWrap/>
            <w:vAlign w:val="bottom"/>
            <w:hideMark/>
          </w:tcPr>
          <w:p w14:paraId="3E91CAC2"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Hispanic</w:t>
            </w:r>
          </w:p>
        </w:tc>
        <w:tc>
          <w:tcPr>
            <w:tcW w:w="2380" w:type="dxa"/>
            <w:tcBorders>
              <w:top w:val="nil"/>
              <w:left w:val="nil"/>
              <w:bottom w:val="nil"/>
              <w:right w:val="nil"/>
            </w:tcBorders>
            <w:shd w:val="clear" w:color="auto" w:fill="auto"/>
            <w:noWrap/>
            <w:vAlign w:val="bottom"/>
            <w:hideMark/>
          </w:tcPr>
          <w:p w14:paraId="7A1C5056"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10,327</w:t>
            </w:r>
          </w:p>
        </w:tc>
        <w:tc>
          <w:tcPr>
            <w:tcW w:w="1820" w:type="dxa"/>
            <w:tcBorders>
              <w:top w:val="nil"/>
              <w:left w:val="nil"/>
              <w:bottom w:val="nil"/>
              <w:right w:val="nil"/>
            </w:tcBorders>
            <w:shd w:val="clear" w:color="auto" w:fill="auto"/>
            <w:noWrap/>
            <w:hideMark/>
          </w:tcPr>
          <w:p w14:paraId="2B42E79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819</w:t>
            </w:r>
          </w:p>
        </w:tc>
        <w:tc>
          <w:tcPr>
            <w:tcW w:w="2140" w:type="dxa"/>
            <w:tcBorders>
              <w:top w:val="nil"/>
              <w:left w:val="nil"/>
              <w:bottom w:val="nil"/>
              <w:right w:val="nil"/>
            </w:tcBorders>
            <w:shd w:val="clear" w:color="auto" w:fill="auto"/>
            <w:noWrap/>
            <w:hideMark/>
          </w:tcPr>
          <w:p w14:paraId="40BC0298"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5.329</w:t>
            </w:r>
          </w:p>
        </w:tc>
      </w:tr>
      <w:tr w:rsidR="00411E8D" w:rsidRPr="004E5DD6" w14:paraId="52E9E80F" w14:textId="77777777" w:rsidTr="00FF60C6">
        <w:trPr>
          <w:trHeight w:val="320"/>
        </w:trPr>
        <w:tc>
          <w:tcPr>
            <w:tcW w:w="910" w:type="dxa"/>
            <w:tcBorders>
              <w:top w:val="nil"/>
              <w:left w:val="nil"/>
              <w:bottom w:val="nil"/>
              <w:right w:val="nil"/>
            </w:tcBorders>
            <w:shd w:val="clear" w:color="auto" w:fill="auto"/>
            <w:noWrap/>
            <w:vAlign w:val="bottom"/>
            <w:hideMark/>
          </w:tcPr>
          <w:p w14:paraId="60CFF6AE"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25-34</w:t>
            </w:r>
          </w:p>
        </w:tc>
        <w:tc>
          <w:tcPr>
            <w:tcW w:w="1880" w:type="dxa"/>
            <w:tcBorders>
              <w:top w:val="nil"/>
              <w:left w:val="nil"/>
              <w:bottom w:val="nil"/>
              <w:right w:val="nil"/>
            </w:tcBorders>
            <w:shd w:val="clear" w:color="auto" w:fill="auto"/>
            <w:noWrap/>
            <w:vAlign w:val="bottom"/>
            <w:hideMark/>
          </w:tcPr>
          <w:p w14:paraId="253750A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Hispanic</w:t>
            </w:r>
          </w:p>
        </w:tc>
        <w:tc>
          <w:tcPr>
            <w:tcW w:w="2380" w:type="dxa"/>
            <w:tcBorders>
              <w:top w:val="nil"/>
              <w:left w:val="nil"/>
              <w:bottom w:val="nil"/>
              <w:right w:val="nil"/>
            </w:tcBorders>
            <w:shd w:val="clear" w:color="auto" w:fill="auto"/>
            <w:noWrap/>
            <w:vAlign w:val="bottom"/>
            <w:hideMark/>
          </w:tcPr>
          <w:p w14:paraId="561E99B2"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13,153</w:t>
            </w:r>
          </w:p>
        </w:tc>
        <w:tc>
          <w:tcPr>
            <w:tcW w:w="1820" w:type="dxa"/>
            <w:tcBorders>
              <w:top w:val="nil"/>
              <w:left w:val="nil"/>
              <w:bottom w:val="nil"/>
              <w:right w:val="nil"/>
            </w:tcBorders>
            <w:shd w:val="clear" w:color="auto" w:fill="auto"/>
            <w:noWrap/>
            <w:hideMark/>
          </w:tcPr>
          <w:p w14:paraId="6EFB18E1"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3,555</w:t>
            </w:r>
          </w:p>
        </w:tc>
        <w:tc>
          <w:tcPr>
            <w:tcW w:w="2140" w:type="dxa"/>
            <w:tcBorders>
              <w:top w:val="nil"/>
              <w:left w:val="nil"/>
              <w:bottom w:val="nil"/>
              <w:right w:val="nil"/>
            </w:tcBorders>
            <w:shd w:val="clear" w:color="auto" w:fill="auto"/>
            <w:noWrap/>
            <w:hideMark/>
          </w:tcPr>
          <w:p w14:paraId="31F65A1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5.234</w:t>
            </w:r>
          </w:p>
        </w:tc>
      </w:tr>
      <w:tr w:rsidR="00411E8D" w:rsidRPr="004E5DD6" w14:paraId="71B28DFC" w14:textId="77777777" w:rsidTr="00FF60C6">
        <w:trPr>
          <w:trHeight w:val="320"/>
        </w:trPr>
        <w:tc>
          <w:tcPr>
            <w:tcW w:w="910" w:type="dxa"/>
            <w:tcBorders>
              <w:top w:val="nil"/>
              <w:left w:val="nil"/>
              <w:bottom w:val="nil"/>
              <w:right w:val="nil"/>
            </w:tcBorders>
            <w:shd w:val="clear" w:color="auto" w:fill="auto"/>
            <w:noWrap/>
            <w:vAlign w:val="bottom"/>
            <w:hideMark/>
          </w:tcPr>
          <w:p w14:paraId="727875E4"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35-44</w:t>
            </w:r>
          </w:p>
        </w:tc>
        <w:tc>
          <w:tcPr>
            <w:tcW w:w="1880" w:type="dxa"/>
            <w:tcBorders>
              <w:top w:val="nil"/>
              <w:left w:val="nil"/>
              <w:bottom w:val="nil"/>
              <w:right w:val="nil"/>
            </w:tcBorders>
            <w:shd w:val="clear" w:color="auto" w:fill="auto"/>
            <w:noWrap/>
            <w:vAlign w:val="bottom"/>
            <w:hideMark/>
          </w:tcPr>
          <w:p w14:paraId="124FA1FE"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Hispanic</w:t>
            </w:r>
          </w:p>
        </w:tc>
        <w:tc>
          <w:tcPr>
            <w:tcW w:w="2380" w:type="dxa"/>
            <w:tcBorders>
              <w:top w:val="nil"/>
              <w:left w:val="nil"/>
              <w:bottom w:val="nil"/>
              <w:right w:val="nil"/>
            </w:tcBorders>
            <w:shd w:val="clear" w:color="auto" w:fill="auto"/>
            <w:noWrap/>
            <w:vAlign w:val="bottom"/>
            <w:hideMark/>
          </w:tcPr>
          <w:p w14:paraId="140651F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22,134</w:t>
            </w:r>
          </w:p>
        </w:tc>
        <w:tc>
          <w:tcPr>
            <w:tcW w:w="1820" w:type="dxa"/>
            <w:tcBorders>
              <w:top w:val="nil"/>
              <w:left w:val="nil"/>
              <w:bottom w:val="nil"/>
              <w:right w:val="nil"/>
            </w:tcBorders>
            <w:shd w:val="clear" w:color="auto" w:fill="auto"/>
            <w:noWrap/>
            <w:hideMark/>
          </w:tcPr>
          <w:p w14:paraId="5183F9AD"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9,252</w:t>
            </w:r>
          </w:p>
        </w:tc>
        <w:tc>
          <w:tcPr>
            <w:tcW w:w="2140" w:type="dxa"/>
            <w:tcBorders>
              <w:top w:val="nil"/>
              <w:left w:val="nil"/>
              <w:bottom w:val="nil"/>
              <w:right w:val="nil"/>
            </w:tcBorders>
            <w:shd w:val="clear" w:color="auto" w:fill="auto"/>
            <w:noWrap/>
            <w:hideMark/>
          </w:tcPr>
          <w:p w14:paraId="4F0E467A"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4.957</w:t>
            </w:r>
          </w:p>
        </w:tc>
      </w:tr>
      <w:tr w:rsidR="00411E8D" w:rsidRPr="004E5DD6" w14:paraId="01FB5F17" w14:textId="77777777" w:rsidTr="00FF60C6">
        <w:trPr>
          <w:trHeight w:val="320"/>
        </w:trPr>
        <w:tc>
          <w:tcPr>
            <w:tcW w:w="910" w:type="dxa"/>
            <w:tcBorders>
              <w:top w:val="nil"/>
              <w:left w:val="nil"/>
              <w:bottom w:val="nil"/>
              <w:right w:val="nil"/>
            </w:tcBorders>
            <w:shd w:val="clear" w:color="auto" w:fill="auto"/>
            <w:noWrap/>
            <w:vAlign w:val="bottom"/>
            <w:hideMark/>
          </w:tcPr>
          <w:p w14:paraId="69FDEA51"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45-54</w:t>
            </w:r>
          </w:p>
        </w:tc>
        <w:tc>
          <w:tcPr>
            <w:tcW w:w="1880" w:type="dxa"/>
            <w:tcBorders>
              <w:top w:val="nil"/>
              <w:left w:val="nil"/>
              <w:bottom w:val="nil"/>
              <w:right w:val="nil"/>
            </w:tcBorders>
            <w:shd w:val="clear" w:color="auto" w:fill="auto"/>
            <w:noWrap/>
            <w:vAlign w:val="bottom"/>
            <w:hideMark/>
          </w:tcPr>
          <w:p w14:paraId="4D13034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Hispanic</w:t>
            </w:r>
          </w:p>
        </w:tc>
        <w:tc>
          <w:tcPr>
            <w:tcW w:w="2380" w:type="dxa"/>
            <w:tcBorders>
              <w:top w:val="nil"/>
              <w:left w:val="nil"/>
              <w:bottom w:val="nil"/>
              <w:right w:val="nil"/>
            </w:tcBorders>
            <w:shd w:val="clear" w:color="auto" w:fill="auto"/>
            <w:noWrap/>
            <w:vAlign w:val="bottom"/>
            <w:hideMark/>
          </w:tcPr>
          <w:p w14:paraId="6D72DE64"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38,166</w:t>
            </w:r>
          </w:p>
        </w:tc>
        <w:tc>
          <w:tcPr>
            <w:tcW w:w="1820" w:type="dxa"/>
            <w:tcBorders>
              <w:top w:val="nil"/>
              <w:left w:val="nil"/>
              <w:bottom w:val="nil"/>
              <w:right w:val="nil"/>
            </w:tcBorders>
            <w:shd w:val="clear" w:color="auto" w:fill="auto"/>
            <w:noWrap/>
            <w:hideMark/>
          </w:tcPr>
          <w:p w14:paraId="6ACA835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19,379</w:t>
            </w:r>
          </w:p>
        </w:tc>
        <w:tc>
          <w:tcPr>
            <w:tcW w:w="2140" w:type="dxa"/>
            <w:tcBorders>
              <w:top w:val="nil"/>
              <w:left w:val="nil"/>
              <w:bottom w:val="nil"/>
              <w:right w:val="nil"/>
            </w:tcBorders>
            <w:shd w:val="clear" w:color="auto" w:fill="auto"/>
            <w:noWrap/>
            <w:hideMark/>
          </w:tcPr>
          <w:p w14:paraId="761E42F3"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4.429</w:t>
            </w:r>
          </w:p>
        </w:tc>
      </w:tr>
      <w:tr w:rsidR="00411E8D" w:rsidRPr="004E5DD6" w14:paraId="75FF2E4A" w14:textId="77777777" w:rsidTr="00FF60C6">
        <w:trPr>
          <w:trHeight w:val="320"/>
        </w:trPr>
        <w:tc>
          <w:tcPr>
            <w:tcW w:w="910" w:type="dxa"/>
            <w:tcBorders>
              <w:top w:val="nil"/>
              <w:left w:val="nil"/>
              <w:bottom w:val="nil"/>
              <w:right w:val="nil"/>
            </w:tcBorders>
            <w:shd w:val="clear" w:color="auto" w:fill="auto"/>
            <w:noWrap/>
            <w:vAlign w:val="bottom"/>
            <w:hideMark/>
          </w:tcPr>
          <w:p w14:paraId="237B9DBE"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55-64</w:t>
            </w:r>
          </w:p>
        </w:tc>
        <w:tc>
          <w:tcPr>
            <w:tcW w:w="1880" w:type="dxa"/>
            <w:tcBorders>
              <w:top w:val="nil"/>
              <w:left w:val="nil"/>
              <w:bottom w:val="nil"/>
              <w:right w:val="nil"/>
            </w:tcBorders>
            <w:shd w:val="clear" w:color="auto" w:fill="auto"/>
            <w:noWrap/>
            <w:vAlign w:val="bottom"/>
            <w:hideMark/>
          </w:tcPr>
          <w:p w14:paraId="585F5831"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Hispanic</w:t>
            </w:r>
          </w:p>
        </w:tc>
        <w:tc>
          <w:tcPr>
            <w:tcW w:w="2380" w:type="dxa"/>
            <w:tcBorders>
              <w:top w:val="nil"/>
              <w:left w:val="nil"/>
              <w:bottom w:val="nil"/>
              <w:right w:val="nil"/>
            </w:tcBorders>
            <w:shd w:val="clear" w:color="auto" w:fill="auto"/>
            <w:noWrap/>
            <w:vAlign w:val="bottom"/>
            <w:hideMark/>
          </w:tcPr>
          <w:p w14:paraId="5CC73C4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47,961</w:t>
            </w:r>
          </w:p>
        </w:tc>
        <w:tc>
          <w:tcPr>
            <w:tcW w:w="1820" w:type="dxa"/>
            <w:tcBorders>
              <w:top w:val="nil"/>
              <w:left w:val="nil"/>
              <w:bottom w:val="nil"/>
              <w:right w:val="nil"/>
            </w:tcBorders>
            <w:shd w:val="clear" w:color="auto" w:fill="auto"/>
            <w:noWrap/>
            <w:hideMark/>
          </w:tcPr>
          <w:p w14:paraId="62610A0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32,564</w:t>
            </w:r>
          </w:p>
        </w:tc>
        <w:tc>
          <w:tcPr>
            <w:tcW w:w="2140" w:type="dxa"/>
            <w:tcBorders>
              <w:top w:val="nil"/>
              <w:left w:val="nil"/>
              <w:bottom w:val="nil"/>
              <w:right w:val="nil"/>
            </w:tcBorders>
            <w:shd w:val="clear" w:color="auto" w:fill="auto"/>
            <w:noWrap/>
            <w:hideMark/>
          </w:tcPr>
          <w:p w14:paraId="3FCB516A"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3.608</w:t>
            </w:r>
          </w:p>
        </w:tc>
      </w:tr>
      <w:tr w:rsidR="00411E8D" w:rsidRPr="004E5DD6" w14:paraId="25ECEC22" w14:textId="77777777" w:rsidTr="00FF60C6">
        <w:trPr>
          <w:trHeight w:val="320"/>
        </w:trPr>
        <w:tc>
          <w:tcPr>
            <w:tcW w:w="910" w:type="dxa"/>
            <w:tcBorders>
              <w:top w:val="nil"/>
              <w:left w:val="nil"/>
              <w:bottom w:val="nil"/>
              <w:right w:val="nil"/>
            </w:tcBorders>
            <w:shd w:val="clear" w:color="auto" w:fill="auto"/>
            <w:noWrap/>
            <w:vAlign w:val="bottom"/>
            <w:hideMark/>
          </w:tcPr>
          <w:p w14:paraId="599FC478"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65-74</w:t>
            </w:r>
          </w:p>
        </w:tc>
        <w:tc>
          <w:tcPr>
            <w:tcW w:w="1880" w:type="dxa"/>
            <w:tcBorders>
              <w:top w:val="nil"/>
              <w:left w:val="nil"/>
              <w:bottom w:val="nil"/>
              <w:right w:val="nil"/>
            </w:tcBorders>
            <w:shd w:val="clear" w:color="auto" w:fill="auto"/>
            <w:noWrap/>
            <w:vAlign w:val="bottom"/>
            <w:hideMark/>
          </w:tcPr>
          <w:p w14:paraId="6141058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Hispanic</w:t>
            </w:r>
          </w:p>
        </w:tc>
        <w:tc>
          <w:tcPr>
            <w:tcW w:w="2380" w:type="dxa"/>
            <w:tcBorders>
              <w:top w:val="nil"/>
              <w:left w:val="nil"/>
              <w:bottom w:val="nil"/>
              <w:right w:val="nil"/>
            </w:tcBorders>
            <w:shd w:val="clear" w:color="auto" w:fill="auto"/>
            <w:noWrap/>
            <w:vAlign w:val="bottom"/>
            <w:hideMark/>
          </w:tcPr>
          <w:p w14:paraId="167E3FB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54,872</w:t>
            </w:r>
          </w:p>
        </w:tc>
        <w:tc>
          <w:tcPr>
            <w:tcW w:w="1820" w:type="dxa"/>
            <w:tcBorders>
              <w:top w:val="nil"/>
              <w:left w:val="nil"/>
              <w:bottom w:val="nil"/>
              <w:right w:val="nil"/>
            </w:tcBorders>
            <w:shd w:val="clear" w:color="auto" w:fill="auto"/>
            <w:noWrap/>
            <w:hideMark/>
          </w:tcPr>
          <w:p w14:paraId="045F65B7"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38,366</w:t>
            </w:r>
          </w:p>
        </w:tc>
        <w:tc>
          <w:tcPr>
            <w:tcW w:w="2140" w:type="dxa"/>
            <w:tcBorders>
              <w:top w:val="nil"/>
              <w:left w:val="nil"/>
              <w:bottom w:val="nil"/>
              <w:right w:val="nil"/>
            </w:tcBorders>
            <w:shd w:val="clear" w:color="auto" w:fill="auto"/>
            <w:noWrap/>
            <w:hideMark/>
          </w:tcPr>
          <w:p w14:paraId="5ACDD83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2.571</w:t>
            </w:r>
          </w:p>
        </w:tc>
      </w:tr>
      <w:tr w:rsidR="00411E8D" w:rsidRPr="004E5DD6" w14:paraId="78BE720B" w14:textId="77777777" w:rsidTr="00FF60C6">
        <w:trPr>
          <w:trHeight w:val="320"/>
        </w:trPr>
        <w:tc>
          <w:tcPr>
            <w:tcW w:w="910" w:type="dxa"/>
            <w:tcBorders>
              <w:top w:val="nil"/>
              <w:left w:val="nil"/>
              <w:bottom w:val="single" w:sz="4" w:space="0" w:color="auto"/>
              <w:right w:val="nil"/>
            </w:tcBorders>
            <w:shd w:val="clear" w:color="auto" w:fill="auto"/>
            <w:noWrap/>
            <w:vAlign w:val="bottom"/>
            <w:hideMark/>
          </w:tcPr>
          <w:p w14:paraId="0D2B9DA3"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75-84</w:t>
            </w:r>
          </w:p>
        </w:tc>
        <w:tc>
          <w:tcPr>
            <w:tcW w:w="1880" w:type="dxa"/>
            <w:tcBorders>
              <w:top w:val="nil"/>
              <w:left w:val="nil"/>
              <w:bottom w:val="single" w:sz="4" w:space="0" w:color="auto"/>
              <w:right w:val="nil"/>
            </w:tcBorders>
            <w:shd w:val="clear" w:color="auto" w:fill="auto"/>
            <w:noWrap/>
            <w:vAlign w:val="bottom"/>
            <w:hideMark/>
          </w:tcPr>
          <w:p w14:paraId="5D4B1C0D"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Hispanic</w:t>
            </w:r>
          </w:p>
        </w:tc>
        <w:tc>
          <w:tcPr>
            <w:tcW w:w="2380" w:type="dxa"/>
            <w:tcBorders>
              <w:top w:val="nil"/>
              <w:left w:val="nil"/>
              <w:bottom w:val="single" w:sz="4" w:space="0" w:color="auto"/>
              <w:right w:val="nil"/>
            </w:tcBorders>
            <w:shd w:val="clear" w:color="auto" w:fill="auto"/>
            <w:noWrap/>
            <w:vAlign w:val="bottom"/>
            <w:hideMark/>
          </w:tcPr>
          <w:p w14:paraId="25801483"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71,073</w:t>
            </w:r>
          </w:p>
        </w:tc>
        <w:tc>
          <w:tcPr>
            <w:tcW w:w="1820" w:type="dxa"/>
            <w:tcBorders>
              <w:top w:val="nil"/>
              <w:left w:val="nil"/>
              <w:bottom w:val="single" w:sz="4" w:space="0" w:color="auto"/>
              <w:right w:val="nil"/>
            </w:tcBorders>
            <w:shd w:val="clear" w:color="auto" w:fill="auto"/>
            <w:noWrap/>
            <w:hideMark/>
          </w:tcPr>
          <w:p w14:paraId="3D9FADB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32,817</w:t>
            </w:r>
          </w:p>
        </w:tc>
        <w:tc>
          <w:tcPr>
            <w:tcW w:w="2140" w:type="dxa"/>
            <w:tcBorders>
              <w:top w:val="nil"/>
              <w:left w:val="nil"/>
              <w:bottom w:val="single" w:sz="4" w:space="0" w:color="auto"/>
              <w:right w:val="nil"/>
            </w:tcBorders>
            <w:shd w:val="clear" w:color="auto" w:fill="auto"/>
            <w:noWrap/>
            <w:hideMark/>
          </w:tcPr>
          <w:p w14:paraId="31D94F28"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1.623</w:t>
            </w:r>
          </w:p>
        </w:tc>
      </w:tr>
      <w:tr w:rsidR="00411E8D" w:rsidRPr="004E5DD6" w14:paraId="62A12051" w14:textId="77777777" w:rsidTr="00FF60C6">
        <w:trPr>
          <w:trHeight w:val="320"/>
        </w:trPr>
        <w:tc>
          <w:tcPr>
            <w:tcW w:w="910" w:type="dxa"/>
            <w:tcBorders>
              <w:top w:val="single" w:sz="4" w:space="0" w:color="auto"/>
              <w:left w:val="nil"/>
              <w:bottom w:val="single" w:sz="4" w:space="0" w:color="auto"/>
              <w:right w:val="nil"/>
            </w:tcBorders>
            <w:shd w:val="clear" w:color="auto" w:fill="auto"/>
            <w:noWrap/>
            <w:vAlign w:val="bottom"/>
            <w:hideMark/>
          </w:tcPr>
          <w:p w14:paraId="3D29F8E5" w14:textId="77777777" w:rsidR="00411E8D" w:rsidRPr="004E5DD6" w:rsidRDefault="00411E8D" w:rsidP="00FF60C6">
            <w:pPr>
              <w:jc w:val="center"/>
              <w:rPr>
                <w:rFonts w:ascii="Arial" w:eastAsia="Times New Roman" w:hAnsi="Arial" w:cs="Arial"/>
                <w:i/>
                <w:iCs/>
                <w:color w:val="000000"/>
                <w:sz w:val="22"/>
                <w:szCs w:val="22"/>
              </w:rPr>
            </w:pPr>
          </w:p>
        </w:tc>
        <w:tc>
          <w:tcPr>
            <w:tcW w:w="1880" w:type="dxa"/>
            <w:tcBorders>
              <w:top w:val="single" w:sz="4" w:space="0" w:color="auto"/>
              <w:left w:val="nil"/>
              <w:bottom w:val="single" w:sz="4" w:space="0" w:color="auto"/>
              <w:right w:val="nil"/>
            </w:tcBorders>
            <w:shd w:val="clear" w:color="auto" w:fill="auto"/>
            <w:noWrap/>
            <w:vAlign w:val="bottom"/>
            <w:hideMark/>
          </w:tcPr>
          <w:p w14:paraId="0E3E4E6C" w14:textId="77777777" w:rsidR="00411E8D" w:rsidRPr="004E5DD6" w:rsidRDefault="00411E8D" w:rsidP="00FF60C6">
            <w:pPr>
              <w:jc w:val="center"/>
              <w:rPr>
                <w:rFonts w:ascii="Arial" w:eastAsia="Times New Roman" w:hAnsi="Arial" w:cs="Arial"/>
                <w:i/>
                <w:iCs/>
                <w:sz w:val="22"/>
                <w:szCs w:val="22"/>
              </w:rPr>
            </w:pPr>
          </w:p>
        </w:tc>
        <w:tc>
          <w:tcPr>
            <w:tcW w:w="2380" w:type="dxa"/>
            <w:tcBorders>
              <w:top w:val="single" w:sz="4" w:space="0" w:color="auto"/>
              <w:left w:val="nil"/>
              <w:bottom w:val="single" w:sz="4" w:space="0" w:color="auto"/>
              <w:right w:val="nil"/>
            </w:tcBorders>
            <w:shd w:val="clear" w:color="auto" w:fill="auto"/>
            <w:noWrap/>
            <w:vAlign w:val="bottom"/>
            <w:hideMark/>
          </w:tcPr>
          <w:p w14:paraId="075347ED" w14:textId="77777777" w:rsidR="00411E8D" w:rsidRPr="004E5DD6" w:rsidRDefault="00411E8D" w:rsidP="00FF60C6">
            <w:pPr>
              <w:jc w:val="center"/>
              <w:rPr>
                <w:rFonts w:ascii="Arial" w:eastAsia="Times New Roman" w:hAnsi="Arial" w:cs="Arial"/>
                <w:i/>
                <w:iCs/>
                <w:sz w:val="22"/>
                <w:szCs w:val="22"/>
              </w:rPr>
            </w:pPr>
          </w:p>
        </w:tc>
        <w:tc>
          <w:tcPr>
            <w:tcW w:w="1820" w:type="dxa"/>
            <w:tcBorders>
              <w:top w:val="single" w:sz="4" w:space="0" w:color="auto"/>
              <w:left w:val="nil"/>
              <w:bottom w:val="single" w:sz="4" w:space="0" w:color="auto"/>
              <w:right w:val="nil"/>
            </w:tcBorders>
            <w:shd w:val="clear" w:color="auto" w:fill="auto"/>
            <w:noWrap/>
            <w:vAlign w:val="bottom"/>
            <w:hideMark/>
          </w:tcPr>
          <w:p w14:paraId="20FAF58A" w14:textId="77777777" w:rsidR="00411E8D" w:rsidRPr="004E5DD6" w:rsidRDefault="00411E8D" w:rsidP="00FF60C6">
            <w:pPr>
              <w:jc w:val="center"/>
              <w:rPr>
                <w:rFonts w:ascii="Arial" w:eastAsia="Times New Roman" w:hAnsi="Arial" w:cs="Arial"/>
                <w:i/>
                <w:iCs/>
                <w:sz w:val="22"/>
                <w:szCs w:val="22"/>
              </w:rPr>
            </w:pPr>
          </w:p>
        </w:tc>
        <w:tc>
          <w:tcPr>
            <w:tcW w:w="2140" w:type="dxa"/>
            <w:tcBorders>
              <w:top w:val="single" w:sz="4" w:space="0" w:color="auto"/>
              <w:left w:val="nil"/>
              <w:bottom w:val="single" w:sz="4" w:space="0" w:color="auto"/>
              <w:right w:val="nil"/>
            </w:tcBorders>
            <w:shd w:val="clear" w:color="auto" w:fill="auto"/>
            <w:noWrap/>
            <w:vAlign w:val="bottom"/>
            <w:hideMark/>
          </w:tcPr>
          <w:p w14:paraId="56AA6993" w14:textId="77777777" w:rsidR="00411E8D" w:rsidRPr="004E5DD6" w:rsidRDefault="00411E8D" w:rsidP="00FF60C6">
            <w:pPr>
              <w:jc w:val="center"/>
              <w:rPr>
                <w:rFonts w:ascii="Arial" w:eastAsia="Times New Roman" w:hAnsi="Arial" w:cs="Arial"/>
                <w:i/>
                <w:iCs/>
                <w:sz w:val="22"/>
                <w:szCs w:val="22"/>
              </w:rPr>
            </w:pPr>
          </w:p>
        </w:tc>
      </w:tr>
      <w:tr w:rsidR="00411E8D" w:rsidRPr="004E5DD6" w14:paraId="190A3A0E" w14:textId="77777777" w:rsidTr="00FF60C6">
        <w:trPr>
          <w:trHeight w:val="680"/>
        </w:trPr>
        <w:tc>
          <w:tcPr>
            <w:tcW w:w="910" w:type="dxa"/>
            <w:tcBorders>
              <w:top w:val="single" w:sz="4" w:space="0" w:color="auto"/>
              <w:left w:val="nil"/>
              <w:bottom w:val="single" w:sz="4" w:space="0" w:color="auto"/>
              <w:right w:val="nil"/>
            </w:tcBorders>
            <w:shd w:val="clear" w:color="auto" w:fill="auto"/>
            <w:vAlign w:val="bottom"/>
            <w:hideMark/>
          </w:tcPr>
          <w:p w14:paraId="5A619D30"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 xml:space="preserve">Age </w:t>
            </w:r>
            <w:r w:rsidRPr="004E5DD6">
              <w:rPr>
                <w:rFonts w:ascii="Arial" w:eastAsia="Times New Roman" w:hAnsi="Arial" w:cs="Arial"/>
                <w:b/>
                <w:bCs/>
                <w:i/>
                <w:iCs/>
                <w:color w:val="000000"/>
                <w:sz w:val="22"/>
                <w:szCs w:val="22"/>
              </w:rPr>
              <w:br/>
              <w:t>Group</w:t>
            </w:r>
          </w:p>
        </w:tc>
        <w:tc>
          <w:tcPr>
            <w:tcW w:w="1880" w:type="dxa"/>
            <w:tcBorders>
              <w:top w:val="single" w:sz="4" w:space="0" w:color="auto"/>
              <w:left w:val="nil"/>
              <w:bottom w:val="single" w:sz="4" w:space="0" w:color="auto"/>
              <w:right w:val="nil"/>
            </w:tcBorders>
            <w:shd w:val="clear" w:color="auto" w:fill="auto"/>
            <w:vAlign w:val="bottom"/>
            <w:hideMark/>
          </w:tcPr>
          <w:p w14:paraId="6DD82B80"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Race and Ethnicity</w:t>
            </w:r>
          </w:p>
        </w:tc>
        <w:tc>
          <w:tcPr>
            <w:tcW w:w="2380" w:type="dxa"/>
            <w:tcBorders>
              <w:top w:val="single" w:sz="4" w:space="0" w:color="auto"/>
              <w:left w:val="nil"/>
              <w:bottom w:val="single" w:sz="4" w:space="0" w:color="auto"/>
              <w:right w:val="nil"/>
            </w:tcBorders>
            <w:shd w:val="clear" w:color="auto" w:fill="auto"/>
            <w:vAlign w:val="bottom"/>
            <w:hideMark/>
          </w:tcPr>
          <w:p w14:paraId="1909D160"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Expected Deaths Without COVID-19</w:t>
            </w:r>
          </w:p>
        </w:tc>
        <w:tc>
          <w:tcPr>
            <w:tcW w:w="1820" w:type="dxa"/>
            <w:tcBorders>
              <w:top w:val="single" w:sz="4" w:space="0" w:color="auto"/>
              <w:left w:val="nil"/>
              <w:bottom w:val="single" w:sz="4" w:space="0" w:color="auto"/>
              <w:right w:val="nil"/>
            </w:tcBorders>
            <w:shd w:val="clear" w:color="auto" w:fill="auto"/>
            <w:vAlign w:val="bottom"/>
            <w:hideMark/>
          </w:tcPr>
          <w:p w14:paraId="28B21DBA"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 xml:space="preserve">COVID-19 </w:t>
            </w:r>
            <w:r w:rsidRPr="004E5DD6">
              <w:rPr>
                <w:rFonts w:ascii="Arial" w:eastAsia="Times New Roman" w:hAnsi="Arial" w:cs="Arial"/>
                <w:b/>
                <w:bCs/>
                <w:i/>
                <w:iCs/>
                <w:color w:val="000000"/>
                <w:sz w:val="22"/>
                <w:szCs w:val="22"/>
              </w:rPr>
              <w:br/>
              <w:t>Deaths</w:t>
            </w:r>
          </w:p>
        </w:tc>
        <w:tc>
          <w:tcPr>
            <w:tcW w:w="2140" w:type="dxa"/>
            <w:tcBorders>
              <w:top w:val="single" w:sz="4" w:space="0" w:color="auto"/>
              <w:left w:val="nil"/>
              <w:bottom w:val="single" w:sz="4" w:space="0" w:color="auto"/>
              <w:right w:val="nil"/>
            </w:tcBorders>
            <w:shd w:val="clear" w:color="auto" w:fill="auto"/>
            <w:vAlign w:val="bottom"/>
            <w:hideMark/>
          </w:tcPr>
          <w:p w14:paraId="542B37D8"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 xml:space="preserve">Life Expectancy </w:t>
            </w:r>
            <w:r w:rsidRPr="004E5DD6">
              <w:rPr>
                <w:rFonts w:ascii="Arial" w:eastAsia="Times New Roman" w:hAnsi="Arial" w:cs="Arial"/>
                <w:b/>
                <w:bCs/>
                <w:i/>
                <w:iCs/>
                <w:color w:val="000000"/>
                <w:sz w:val="22"/>
                <w:szCs w:val="22"/>
              </w:rPr>
              <w:br/>
              <w:t>Losses (Years)</w:t>
            </w:r>
          </w:p>
        </w:tc>
      </w:tr>
      <w:tr w:rsidR="00411E8D" w:rsidRPr="004E5DD6" w14:paraId="48DBA8CF" w14:textId="77777777" w:rsidTr="00FF60C6">
        <w:trPr>
          <w:trHeight w:val="320"/>
        </w:trPr>
        <w:tc>
          <w:tcPr>
            <w:tcW w:w="910" w:type="dxa"/>
            <w:tcBorders>
              <w:top w:val="single" w:sz="4" w:space="0" w:color="auto"/>
              <w:left w:val="nil"/>
              <w:bottom w:val="nil"/>
              <w:right w:val="nil"/>
            </w:tcBorders>
            <w:shd w:val="clear" w:color="auto" w:fill="auto"/>
            <w:noWrap/>
            <w:vAlign w:val="bottom"/>
            <w:hideMark/>
          </w:tcPr>
          <w:p w14:paraId="3861E3B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&lt;1</w:t>
            </w:r>
          </w:p>
        </w:tc>
        <w:tc>
          <w:tcPr>
            <w:tcW w:w="1880" w:type="dxa"/>
            <w:tcBorders>
              <w:top w:val="single" w:sz="4" w:space="0" w:color="auto"/>
              <w:left w:val="nil"/>
              <w:bottom w:val="nil"/>
              <w:right w:val="nil"/>
            </w:tcBorders>
            <w:shd w:val="clear" w:color="auto" w:fill="auto"/>
            <w:noWrap/>
            <w:vAlign w:val="bottom"/>
            <w:hideMark/>
          </w:tcPr>
          <w:p w14:paraId="1E6A631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Asian</w:t>
            </w:r>
          </w:p>
        </w:tc>
        <w:tc>
          <w:tcPr>
            <w:tcW w:w="2380" w:type="dxa"/>
            <w:tcBorders>
              <w:top w:val="single" w:sz="4" w:space="0" w:color="auto"/>
              <w:left w:val="nil"/>
              <w:bottom w:val="nil"/>
              <w:right w:val="nil"/>
            </w:tcBorders>
            <w:shd w:val="clear" w:color="auto" w:fill="auto"/>
            <w:noWrap/>
            <w:vAlign w:val="bottom"/>
            <w:hideMark/>
          </w:tcPr>
          <w:p w14:paraId="72672664"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3,093</w:t>
            </w:r>
          </w:p>
        </w:tc>
        <w:tc>
          <w:tcPr>
            <w:tcW w:w="1820" w:type="dxa"/>
            <w:tcBorders>
              <w:top w:val="single" w:sz="4" w:space="0" w:color="auto"/>
              <w:left w:val="nil"/>
              <w:bottom w:val="nil"/>
              <w:right w:val="nil"/>
            </w:tcBorders>
            <w:shd w:val="clear" w:color="auto" w:fill="auto"/>
            <w:noWrap/>
            <w:hideMark/>
          </w:tcPr>
          <w:p w14:paraId="7A38B266"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5</w:t>
            </w:r>
          </w:p>
        </w:tc>
        <w:tc>
          <w:tcPr>
            <w:tcW w:w="2140" w:type="dxa"/>
            <w:tcBorders>
              <w:top w:val="single" w:sz="4" w:space="0" w:color="auto"/>
              <w:left w:val="nil"/>
              <w:bottom w:val="nil"/>
              <w:right w:val="nil"/>
            </w:tcBorders>
            <w:shd w:val="clear" w:color="auto" w:fill="auto"/>
            <w:noWrap/>
            <w:hideMark/>
          </w:tcPr>
          <w:p w14:paraId="6C20FEC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1.371</w:t>
            </w:r>
          </w:p>
        </w:tc>
      </w:tr>
      <w:tr w:rsidR="00411E8D" w:rsidRPr="004E5DD6" w14:paraId="019E890B" w14:textId="77777777" w:rsidTr="00FF60C6">
        <w:trPr>
          <w:trHeight w:val="320"/>
        </w:trPr>
        <w:tc>
          <w:tcPr>
            <w:tcW w:w="910" w:type="dxa"/>
            <w:tcBorders>
              <w:top w:val="nil"/>
              <w:left w:val="nil"/>
              <w:bottom w:val="nil"/>
              <w:right w:val="nil"/>
            </w:tcBorders>
            <w:shd w:val="clear" w:color="auto" w:fill="auto"/>
            <w:noWrap/>
            <w:vAlign w:val="bottom"/>
            <w:hideMark/>
          </w:tcPr>
          <w:p w14:paraId="2DE7D8CE"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1-4</w:t>
            </w:r>
          </w:p>
        </w:tc>
        <w:tc>
          <w:tcPr>
            <w:tcW w:w="1880" w:type="dxa"/>
            <w:tcBorders>
              <w:top w:val="nil"/>
              <w:left w:val="nil"/>
              <w:bottom w:val="nil"/>
              <w:right w:val="nil"/>
            </w:tcBorders>
            <w:shd w:val="clear" w:color="auto" w:fill="auto"/>
            <w:noWrap/>
            <w:vAlign w:val="bottom"/>
            <w:hideMark/>
          </w:tcPr>
          <w:p w14:paraId="327514E1"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Asian</w:t>
            </w:r>
          </w:p>
        </w:tc>
        <w:tc>
          <w:tcPr>
            <w:tcW w:w="2380" w:type="dxa"/>
            <w:tcBorders>
              <w:top w:val="nil"/>
              <w:left w:val="nil"/>
              <w:bottom w:val="nil"/>
              <w:right w:val="nil"/>
            </w:tcBorders>
            <w:shd w:val="clear" w:color="auto" w:fill="auto"/>
            <w:noWrap/>
            <w:vAlign w:val="bottom"/>
            <w:hideMark/>
          </w:tcPr>
          <w:p w14:paraId="50AEBE8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902</w:t>
            </w:r>
          </w:p>
        </w:tc>
        <w:tc>
          <w:tcPr>
            <w:tcW w:w="1820" w:type="dxa"/>
            <w:tcBorders>
              <w:top w:val="nil"/>
              <w:left w:val="nil"/>
              <w:bottom w:val="nil"/>
              <w:right w:val="nil"/>
            </w:tcBorders>
            <w:shd w:val="clear" w:color="auto" w:fill="auto"/>
            <w:noWrap/>
            <w:hideMark/>
          </w:tcPr>
          <w:p w14:paraId="5ACF0845"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7</w:t>
            </w:r>
          </w:p>
        </w:tc>
        <w:tc>
          <w:tcPr>
            <w:tcW w:w="2140" w:type="dxa"/>
            <w:tcBorders>
              <w:top w:val="nil"/>
              <w:left w:val="nil"/>
              <w:bottom w:val="nil"/>
              <w:right w:val="nil"/>
            </w:tcBorders>
            <w:shd w:val="clear" w:color="auto" w:fill="auto"/>
            <w:noWrap/>
            <w:hideMark/>
          </w:tcPr>
          <w:p w14:paraId="537D1BC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1.375</w:t>
            </w:r>
          </w:p>
        </w:tc>
      </w:tr>
      <w:tr w:rsidR="00411E8D" w:rsidRPr="004E5DD6" w14:paraId="06D54A6A" w14:textId="77777777" w:rsidTr="00FF60C6">
        <w:trPr>
          <w:trHeight w:val="320"/>
        </w:trPr>
        <w:tc>
          <w:tcPr>
            <w:tcW w:w="910" w:type="dxa"/>
            <w:tcBorders>
              <w:top w:val="nil"/>
              <w:left w:val="nil"/>
              <w:bottom w:val="nil"/>
              <w:right w:val="nil"/>
            </w:tcBorders>
            <w:shd w:val="clear" w:color="auto" w:fill="auto"/>
            <w:noWrap/>
            <w:vAlign w:val="bottom"/>
            <w:hideMark/>
          </w:tcPr>
          <w:p w14:paraId="39FC1AE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5-14</w:t>
            </w:r>
          </w:p>
        </w:tc>
        <w:tc>
          <w:tcPr>
            <w:tcW w:w="1880" w:type="dxa"/>
            <w:tcBorders>
              <w:top w:val="nil"/>
              <w:left w:val="nil"/>
              <w:bottom w:val="nil"/>
              <w:right w:val="nil"/>
            </w:tcBorders>
            <w:shd w:val="clear" w:color="auto" w:fill="auto"/>
            <w:noWrap/>
            <w:vAlign w:val="bottom"/>
            <w:hideMark/>
          </w:tcPr>
          <w:p w14:paraId="179FDFD7"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Asian</w:t>
            </w:r>
          </w:p>
        </w:tc>
        <w:tc>
          <w:tcPr>
            <w:tcW w:w="2380" w:type="dxa"/>
            <w:tcBorders>
              <w:top w:val="nil"/>
              <w:left w:val="nil"/>
              <w:bottom w:val="nil"/>
              <w:right w:val="nil"/>
            </w:tcBorders>
            <w:shd w:val="clear" w:color="auto" w:fill="auto"/>
            <w:noWrap/>
            <w:vAlign w:val="bottom"/>
            <w:hideMark/>
          </w:tcPr>
          <w:p w14:paraId="6B5AFF96"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2,119</w:t>
            </w:r>
          </w:p>
        </w:tc>
        <w:tc>
          <w:tcPr>
            <w:tcW w:w="1820" w:type="dxa"/>
            <w:tcBorders>
              <w:top w:val="nil"/>
              <w:left w:val="nil"/>
              <w:bottom w:val="nil"/>
              <w:right w:val="nil"/>
            </w:tcBorders>
            <w:shd w:val="clear" w:color="auto" w:fill="auto"/>
            <w:noWrap/>
            <w:hideMark/>
          </w:tcPr>
          <w:p w14:paraId="1D0C1E72"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11</w:t>
            </w:r>
          </w:p>
        </w:tc>
        <w:tc>
          <w:tcPr>
            <w:tcW w:w="2140" w:type="dxa"/>
            <w:tcBorders>
              <w:top w:val="nil"/>
              <w:left w:val="nil"/>
              <w:bottom w:val="nil"/>
              <w:right w:val="nil"/>
            </w:tcBorders>
            <w:shd w:val="clear" w:color="auto" w:fill="auto"/>
            <w:noWrap/>
            <w:hideMark/>
          </w:tcPr>
          <w:p w14:paraId="74F8C61D"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1.376</w:t>
            </w:r>
          </w:p>
        </w:tc>
      </w:tr>
      <w:tr w:rsidR="00411E8D" w:rsidRPr="004E5DD6" w14:paraId="0B4A4846" w14:textId="77777777" w:rsidTr="00FF60C6">
        <w:trPr>
          <w:trHeight w:val="320"/>
        </w:trPr>
        <w:tc>
          <w:tcPr>
            <w:tcW w:w="910" w:type="dxa"/>
            <w:tcBorders>
              <w:top w:val="nil"/>
              <w:left w:val="nil"/>
              <w:bottom w:val="nil"/>
              <w:right w:val="nil"/>
            </w:tcBorders>
            <w:shd w:val="clear" w:color="auto" w:fill="auto"/>
            <w:noWrap/>
            <w:vAlign w:val="bottom"/>
            <w:hideMark/>
          </w:tcPr>
          <w:p w14:paraId="3F946BF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15-24</w:t>
            </w:r>
          </w:p>
        </w:tc>
        <w:tc>
          <w:tcPr>
            <w:tcW w:w="1880" w:type="dxa"/>
            <w:tcBorders>
              <w:top w:val="nil"/>
              <w:left w:val="nil"/>
              <w:bottom w:val="nil"/>
              <w:right w:val="nil"/>
            </w:tcBorders>
            <w:shd w:val="clear" w:color="auto" w:fill="auto"/>
            <w:noWrap/>
            <w:vAlign w:val="bottom"/>
            <w:hideMark/>
          </w:tcPr>
          <w:p w14:paraId="3BFFE4E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Asian</w:t>
            </w:r>
          </w:p>
        </w:tc>
        <w:tc>
          <w:tcPr>
            <w:tcW w:w="2380" w:type="dxa"/>
            <w:tcBorders>
              <w:top w:val="nil"/>
              <w:left w:val="nil"/>
              <w:bottom w:val="nil"/>
              <w:right w:val="nil"/>
            </w:tcBorders>
            <w:shd w:val="clear" w:color="auto" w:fill="auto"/>
            <w:noWrap/>
            <w:vAlign w:val="bottom"/>
            <w:hideMark/>
          </w:tcPr>
          <w:p w14:paraId="62FD9F3A"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600</w:t>
            </w:r>
          </w:p>
        </w:tc>
        <w:tc>
          <w:tcPr>
            <w:tcW w:w="1820" w:type="dxa"/>
            <w:tcBorders>
              <w:top w:val="nil"/>
              <w:left w:val="nil"/>
              <w:bottom w:val="nil"/>
              <w:right w:val="nil"/>
            </w:tcBorders>
            <w:shd w:val="clear" w:color="auto" w:fill="auto"/>
            <w:noWrap/>
            <w:hideMark/>
          </w:tcPr>
          <w:p w14:paraId="36D25315"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81</w:t>
            </w:r>
          </w:p>
        </w:tc>
        <w:tc>
          <w:tcPr>
            <w:tcW w:w="2140" w:type="dxa"/>
            <w:tcBorders>
              <w:top w:val="nil"/>
              <w:left w:val="nil"/>
              <w:bottom w:val="nil"/>
              <w:right w:val="nil"/>
            </w:tcBorders>
            <w:shd w:val="clear" w:color="auto" w:fill="auto"/>
            <w:noWrap/>
            <w:hideMark/>
          </w:tcPr>
          <w:p w14:paraId="3DCA0C65"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1.373</w:t>
            </w:r>
          </w:p>
        </w:tc>
      </w:tr>
      <w:tr w:rsidR="00411E8D" w:rsidRPr="004E5DD6" w14:paraId="38154C03" w14:textId="77777777" w:rsidTr="00FF60C6">
        <w:trPr>
          <w:trHeight w:val="320"/>
        </w:trPr>
        <w:tc>
          <w:tcPr>
            <w:tcW w:w="910" w:type="dxa"/>
            <w:tcBorders>
              <w:top w:val="nil"/>
              <w:left w:val="nil"/>
              <w:bottom w:val="nil"/>
              <w:right w:val="nil"/>
            </w:tcBorders>
            <w:shd w:val="clear" w:color="auto" w:fill="auto"/>
            <w:noWrap/>
            <w:vAlign w:val="bottom"/>
            <w:hideMark/>
          </w:tcPr>
          <w:p w14:paraId="3BC36724"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25-34</w:t>
            </w:r>
          </w:p>
        </w:tc>
        <w:tc>
          <w:tcPr>
            <w:tcW w:w="1880" w:type="dxa"/>
            <w:tcBorders>
              <w:top w:val="nil"/>
              <w:left w:val="nil"/>
              <w:bottom w:val="nil"/>
              <w:right w:val="nil"/>
            </w:tcBorders>
            <w:shd w:val="clear" w:color="auto" w:fill="auto"/>
            <w:noWrap/>
            <w:vAlign w:val="bottom"/>
            <w:hideMark/>
          </w:tcPr>
          <w:p w14:paraId="5258B561"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Asian</w:t>
            </w:r>
          </w:p>
        </w:tc>
        <w:tc>
          <w:tcPr>
            <w:tcW w:w="2380" w:type="dxa"/>
            <w:tcBorders>
              <w:top w:val="nil"/>
              <w:left w:val="nil"/>
              <w:bottom w:val="nil"/>
              <w:right w:val="nil"/>
            </w:tcBorders>
            <w:shd w:val="clear" w:color="auto" w:fill="auto"/>
            <w:noWrap/>
            <w:vAlign w:val="bottom"/>
            <w:hideMark/>
          </w:tcPr>
          <w:p w14:paraId="30333A42"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4,211</w:t>
            </w:r>
          </w:p>
        </w:tc>
        <w:tc>
          <w:tcPr>
            <w:tcW w:w="1820" w:type="dxa"/>
            <w:tcBorders>
              <w:top w:val="nil"/>
              <w:left w:val="nil"/>
              <w:bottom w:val="nil"/>
              <w:right w:val="nil"/>
            </w:tcBorders>
            <w:shd w:val="clear" w:color="auto" w:fill="auto"/>
            <w:noWrap/>
            <w:hideMark/>
          </w:tcPr>
          <w:p w14:paraId="384EBEA8"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363</w:t>
            </w:r>
          </w:p>
        </w:tc>
        <w:tc>
          <w:tcPr>
            <w:tcW w:w="2140" w:type="dxa"/>
            <w:tcBorders>
              <w:top w:val="nil"/>
              <w:left w:val="nil"/>
              <w:bottom w:val="nil"/>
              <w:right w:val="nil"/>
            </w:tcBorders>
            <w:shd w:val="clear" w:color="auto" w:fill="auto"/>
            <w:noWrap/>
            <w:hideMark/>
          </w:tcPr>
          <w:p w14:paraId="3FF51437"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1.238</w:t>
            </w:r>
          </w:p>
        </w:tc>
      </w:tr>
      <w:tr w:rsidR="00411E8D" w:rsidRPr="004E5DD6" w14:paraId="1A833F2A" w14:textId="77777777" w:rsidTr="00FF60C6">
        <w:trPr>
          <w:trHeight w:val="320"/>
        </w:trPr>
        <w:tc>
          <w:tcPr>
            <w:tcW w:w="910" w:type="dxa"/>
            <w:tcBorders>
              <w:top w:val="nil"/>
              <w:left w:val="nil"/>
              <w:bottom w:val="nil"/>
              <w:right w:val="nil"/>
            </w:tcBorders>
            <w:shd w:val="clear" w:color="auto" w:fill="auto"/>
            <w:noWrap/>
            <w:vAlign w:val="bottom"/>
            <w:hideMark/>
          </w:tcPr>
          <w:p w14:paraId="2411D44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35-44</w:t>
            </w:r>
          </w:p>
        </w:tc>
        <w:tc>
          <w:tcPr>
            <w:tcW w:w="1880" w:type="dxa"/>
            <w:tcBorders>
              <w:top w:val="nil"/>
              <w:left w:val="nil"/>
              <w:bottom w:val="nil"/>
              <w:right w:val="nil"/>
            </w:tcBorders>
            <w:shd w:val="clear" w:color="auto" w:fill="auto"/>
            <w:noWrap/>
            <w:vAlign w:val="bottom"/>
            <w:hideMark/>
          </w:tcPr>
          <w:p w14:paraId="5B0867D3"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Asian</w:t>
            </w:r>
          </w:p>
        </w:tc>
        <w:tc>
          <w:tcPr>
            <w:tcW w:w="2380" w:type="dxa"/>
            <w:tcBorders>
              <w:top w:val="nil"/>
              <w:left w:val="nil"/>
              <w:bottom w:val="nil"/>
              <w:right w:val="nil"/>
            </w:tcBorders>
            <w:shd w:val="clear" w:color="auto" w:fill="auto"/>
            <w:noWrap/>
            <w:vAlign w:val="bottom"/>
            <w:hideMark/>
          </w:tcPr>
          <w:p w14:paraId="6C83FBEA"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7,554</w:t>
            </w:r>
          </w:p>
        </w:tc>
        <w:tc>
          <w:tcPr>
            <w:tcW w:w="1820" w:type="dxa"/>
            <w:tcBorders>
              <w:top w:val="nil"/>
              <w:left w:val="nil"/>
              <w:bottom w:val="nil"/>
              <w:right w:val="nil"/>
            </w:tcBorders>
            <w:shd w:val="clear" w:color="auto" w:fill="auto"/>
            <w:noWrap/>
            <w:hideMark/>
          </w:tcPr>
          <w:p w14:paraId="1E64404A"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794</w:t>
            </w:r>
          </w:p>
        </w:tc>
        <w:tc>
          <w:tcPr>
            <w:tcW w:w="2140" w:type="dxa"/>
            <w:tcBorders>
              <w:top w:val="nil"/>
              <w:left w:val="nil"/>
              <w:bottom w:val="nil"/>
              <w:right w:val="nil"/>
            </w:tcBorders>
            <w:shd w:val="clear" w:color="auto" w:fill="auto"/>
            <w:noWrap/>
            <w:hideMark/>
          </w:tcPr>
          <w:p w14:paraId="0703092A"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1.196</w:t>
            </w:r>
          </w:p>
        </w:tc>
      </w:tr>
      <w:tr w:rsidR="00411E8D" w:rsidRPr="004E5DD6" w14:paraId="04AE063A" w14:textId="77777777" w:rsidTr="00FF60C6">
        <w:trPr>
          <w:trHeight w:val="320"/>
        </w:trPr>
        <w:tc>
          <w:tcPr>
            <w:tcW w:w="910" w:type="dxa"/>
            <w:tcBorders>
              <w:top w:val="nil"/>
              <w:left w:val="nil"/>
              <w:bottom w:val="nil"/>
              <w:right w:val="nil"/>
            </w:tcBorders>
            <w:shd w:val="clear" w:color="auto" w:fill="auto"/>
            <w:noWrap/>
            <w:vAlign w:val="bottom"/>
            <w:hideMark/>
          </w:tcPr>
          <w:p w14:paraId="381AFCD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45-54</w:t>
            </w:r>
          </w:p>
        </w:tc>
        <w:tc>
          <w:tcPr>
            <w:tcW w:w="1880" w:type="dxa"/>
            <w:tcBorders>
              <w:top w:val="nil"/>
              <w:left w:val="nil"/>
              <w:bottom w:val="nil"/>
              <w:right w:val="nil"/>
            </w:tcBorders>
            <w:shd w:val="clear" w:color="auto" w:fill="auto"/>
            <w:noWrap/>
            <w:vAlign w:val="bottom"/>
            <w:hideMark/>
          </w:tcPr>
          <w:p w14:paraId="7E634C26"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Asian</w:t>
            </w:r>
          </w:p>
        </w:tc>
        <w:tc>
          <w:tcPr>
            <w:tcW w:w="2380" w:type="dxa"/>
            <w:tcBorders>
              <w:top w:val="nil"/>
              <w:left w:val="nil"/>
              <w:bottom w:val="nil"/>
              <w:right w:val="nil"/>
            </w:tcBorders>
            <w:shd w:val="clear" w:color="auto" w:fill="auto"/>
            <w:noWrap/>
            <w:vAlign w:val="bottom"/>
            <w:hideMark/>
          </w:tcPr>
          <w:p w14:paraId="426D51E7"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6,229</w:t>
            </w:r>
          </w:p>
        </w:tc>
        <w:tc>
          <w:tcPr>
            <w:tcW w:w="1820" w:type="dxa"/>
            <w:tcBorders>
              <w:top w:val="nil"/>
              <w:left w:val="nil"/>
              <w:bottom w:val="nil"/>
              <w:right w:val="nil"/>
            </w:tcBorders>
            <w:shd w:val="clear" w:color="auto" w:fill="auto"/>
            <w:noWrap/>
            <w:hideMark/>
          </w:tcPr>
          <w:p w14:paraId="76EBEDB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1,844</w:t>
            </w:r>
          </w:p>
        </w:tc>
        <w:tc>
          <w:tcPr>
            <w:tcW w:w="2140" w:type="dxa"/>
            <w:tcBorders>
              <w:top w:val="nil"/>
              <w:left w:val="nil"/>
              <w:bottom w:val="nil"/>
              <w:right w:val="nil"/>
            </w:tcBorders>
            <w:shd w:val="clear" w:color="auto" w:fill="auto"/>
            <w:noWrap/>
            <w:hideMark/>
          </w:tcPr>
          <w:p w14:paraId="540CA8A1"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1.084</w:t>
            </w:r>
          </w:p>
        </w:tc>
      </w:tr>
      <w:tr w:rsidR="00411E8D" w:rsidRPr="004E5DD6" w14:paraId="28908A7B" w14:textId="77777777" w:rsidTr="00FF60C6">
        <w:trPr>
          <w:trHeight w:val="320"/>
        </w:trPr>
        <w:tc>
          <w:tcPr>
            <w:tcW w:w="910" w:type="dxa"/>
            <w:tcBorders>
              <w:top w:val="nil"/>
              <w:left w:val="nil"/>
              <w:bottom w:val="nil"/>
              <w:right w:val="nil"/>
            </w:tcBorders>
            <w:shd w:val="clear" w:color="auto" w:fill="auto"/>
            <w:noWrap/>
            <w:vAlign w:val="bottom"/>
            <w:hideMark/>
          </w:tcPr>
          <w:p w14:paraId="23319B77"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55-64</w:t>
            </w:r>
          </w:p>
        </w:tc>
        <w:tc>
          <w:tcPr>
            <w:tcW w:w="1880" w:type="dxa"/>
            <w:tcBorders>
              <w:top w:val="nil"/>
              <w:left w:val="nil"/>
              <w:bottom w:val="nil"/>
              <w:right w:val="nil"/>
            </w:tcBorders>
            <w:shd w:val="clear" w:color="auto" w:fill="auto"/>
            <w:noWrap/>
            <w:vAlign w:val="bottom"/>
            <w:hideMark/>
          </w:tcPr>
          <w:p w14:paraId="4125E724"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Asian</w:t>
            </w:r>
          </w:p>
        </w:tc>
        <w:tc>
          <w:tcPr>
            <w:tcW w:w="2380" w:type="dxa"/>
            <w:tcBorders>
              <w:top w:val="nil"/>
              <w:left w:val="nil"/>
              <w:bottom w:val="nil"/>
              <w:right w:val="nil"/>
            </w:tcBorders>
            <w:shd w:val="clear" w:color="auto" w:fill="auto"/>
            <w:noWrap/>
            <w:vAlign w:val="bottom"/>
            <w:hideMark/>
          </w:tcPr>
          <w:p w14:paraId="662131C8"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40,940</w:t>
            </w:r>
          </w:p>
        </w:tc>
        <w:tc>
          <w:tcPr>
            <w:tcW w:w="1820" w:type="dxa"/>
            <w:tcBorders>
              <w:top w:val="nil"/>
              <w:left w:val="nil"/>
              <w:bottom w:val="nil"/>
              <w:right w:val="nil"/>
            </w:tcBorders>
            <w:shd w:val="clear" w:color="auto" w:fill="auto"/>
            <w:noWrap/>
            <w:hideMark/>
          </w:tcPr>
          <w:p w14:paraId="227FC077"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4,184</w:t>
            </w:r>
          </w:p>
        </w:tc>
        <w:tc>
          <w:tcPr>
            <w:tcW w:w="2140" w:type="dxa"/>
            <w:tcBorders>
              <w:top w:val="nil"/>
              <w:left w:val="nil"/>
              <w:bottom w:val="nil"/>
              <w:right w:val="nil"/>
            </w:tcBorders>
            <w:shd w:val="clear" w:color="auto" w:fill="auto"/>
            <w:noWrap/>
            <w:hideMark/>
          </w:tcPr>
          <w:p w14:paraId="1A0763E8"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0.496</w:t>
            </w:r>
          </w:p>
        </w:tc>
      </w:tr>
      <w:tr w:rsidR="00411E8D" w:rsidRPr="004E5DD6" w14:paraId="02B33258" w14:textId="77777777" w:rsidTr="00FF60C6">
        <w:trPr>
          <w:trHeight w:val="320"/>
        </w:trPr>
        <w:tc>
          <w:tcPr>
            <w:tcW w:w="910" w:type="dxa"/>
            <w:tcBorders>
              <w:top w:val="nil"/>
              <w:left w:val="nil"/>
              <w:bottom w:val="nil"/>
              <w:right w:val="nil"/>
            </w:tcBorders>
            <w:shd w:val="clear" w:color="auto" w:fill="auto"/>
            <w:noWrap/>
            <w:vAlign w:val="bottom"/>
            <w:hideMark/>
          </w:tcPr>
          <w:p w14:paraId="4C1D6A4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65-74</w:t>
            </w:r>
          </w:p>
        </w:tc>
        <w:tc>
          <w:tcPr>
            <w:tcW w:w="1880" w:type="dxa"/>
            <w:tcBorders>
              <w:top w:val="nil"/>
              <w:left w:val="nil"/>
              <w:bottom w:val="nil"/>
              <w:right w:val="nil"/>
            </w:tcBorders>
            <w:shd w:val="clear" w:color="auto" w:fill="auto"/>
            <w:noWrap/>
            <w:vAlign w:val="bottom"/>
            <w:hideMark/>
          </w:tcPr>
          <w:p w14:paraId="1F83C8BE"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Asian</w:t>
            </w:r>
          </w:p>
        </w:tc>
        <w:tc>
          <w:tcPr>
            <w:tcW w:w="2380" w:type="dxa"/>
            <w:tcBorders>
              <w:top w:val="nil"/>
              <w:left w:val="nil"/>
              <w:bottom w:val="nil"/>
              <w:right w:val="nil"/>
            </w:tcBorders>
            <w:shd w:val="clear" w:color="auto" w:fill="auto"/>
            <w:noWrap/>
            <w:vAlign w:val="bottom"/>
            <w:hideMark/>
          </w:tcPr>
          <w:p w14:paraId="1DB8E06A"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134,842</w:t>
            </w:r>
          </w:p>
        </w:tc>
        <w:tc>
          <w:tcPr>
            <w:tcW w:w="1820" w:type="dxa"/>
            <w:tcBorders>
              <w:top w:val="nil"/>
              <w:left w:val="nil"/>
              <w:bottom w:val="nil"/>
              <w:right w:val="nil"/>
            </w:tcBorders>
            <w:shd w:val="clear" w:color="auto" w:fill="auto"/>
            <w:noWrap/>
            <w:hideMark/>
          </w:tcPr>
          <w:p w14:paraId="58860F9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7,418</w:t>
            </w:r>
          </w:p>
        </w:tc>
        <w:tc>
          <w:tcPr>
            <w:tcW w:w="2140" w:type="dxa"/>
            <w:tcBorders>
              <w:top w:val="nil"/>
              <w:left w:val="nil"/>
              <w:bottom w:val="nil"/>
              <w:right w:val="nil"/>
            </w:tcBorders>
            <w:shd w:val="clear" w:color="auto" w:fill="auto"/>
            <w:noWrap/>
            <w:hideMark/>
          </w:tcPr>
          <w:p w14:paraId="2A11A9FE"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0.250</w:t>
            </w:r>
          </w:p>
        </w:tc>
      </w:tr>
      <w:tr w:rsidR="00411E8D" w:rsidRPr="004E5DD6" w14:paraId="2B124504" w14:textId="77777777" w:rsidTr="00FF60C6">
        <w:trPr>
          <w:trHeight w:val="320"/>
        </w:trPr>
        <w:tc>
          <w:tcPr>
            <w:tcW w:w="910" w:type="dxa"/>
            <w:tcBorders>
              <w:top w:val="nil"/>
              <w:left w:val="nil"/>
              <w:bottom w:val="single" w:sz="4" w:space="0" w:color="auto"/>
              <w:right w:val="nil"/>
            </w:tcBorders>
            <w:shd w:val="clear" w:color="auto" w:fill="auto"/>
            <w:noWrap/>
            <w:vAlign w:val="bottom"/>
            <w:hideMark/>
          </w:tcPr>
          <w:p w14:paraId="2F9F0ED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75-84</w:t>
            </w:r>
          </w:p>
        </w:tc>
        <w:tc>
          <w:tcPr>
            <w:tcW w:w="1880" w:type="dxa"/>
            <w:tcBorders>
              <w:top w:val="nil"/>
              <w:left w:val="nil"/>
              <w:bottom w:val="single" w:sz="4" w:space="0" w:color="auto"/>
              <w:right w:val="nil"/>
            </w:tcBorders>
            <w:shd w:val="clear" w:color="auto" w:fill="auto"/>
            <w:noWrap/>
            <w:vAlign w:val="bottom"/>
            <w:hideMark/>
          </w:tcPr>
          <w:p w14:paraId="040A3DA3"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Asian</w:t>
            </w:r>
          </w:p>
        </w:tc>
        <w:tc>
          <w:tcPr>
            <w:tcW w:w="2380" w:type="dxa"/>
            <w:tcBorders>
              <w:top w:val="nil"/>
              <w:left w:val="nil"/>
              <w:bottom w:val="single" w:sz="4" w:space="0" w:color="auto"/>
              <w:right w:val="nil"/>
            </w:tcBorders>
            <w:shd w:val="clear" w:color="auto" w:fill="auto"/>
            <w:noWrap/>
            <w:vAlign w:val="bottom"/>
            <w:hideMark/>
          </w:tcPr>
          <w:p w14:paraId="17EB384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385,050</w:t>
            </w:r>
          </w:p>
        </w:tc>
        <w:tc>
          <w:tcPr>
            <w:tcW w:w="1820" w:type="dxa"/>
            <w:tcBorders>
              <w:top w:val="nil"/>
              <w:left w:val="nil"/>
              <w:bottom w:val="single" w:sz="4" w:space="0" w:color="auto"/>
              <w:right w:val="nil"/>
            </w:tcBorders>
            <w:shd w:val="clear" w:color="auto" w:fill="auto"/>
            <w:noWrap/>
            <w:hideMark/>
          </w:tcPr>
          <w:p w14:paraId="35DBFAFA"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8,063</w:t>
            </w:r>
          </w:p>
        </w:tc>
        <w:tc>
          <w:tcPr>
            <w:tcW w:w="2140" w:type="dxa"/>
            <w:tcBorders>
              <w:top w:val="nil"/>
              <w:left w:val="nil"/>
              <w:bottom w:val="single" w:sz="4" w:space="0" w:color="auto"/>
              <w:right w:val="nil"/>
            </w:tcBorders>
            <w:shd w:val="clear" w:color="auto" w:fill="auto"/>
            <w:noWrap/>
            <w:hideMark/>
          </w:tcPr>
          <w:p w14:paraId="53381F36"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0.140</w:t>
            </w:r>
          </w:p>
        </w:tc>
      </w:tr>
      <w:tr w:rsidR="00411E8D" w:rsidRPr="004E5DD6" w14:paraId="6F8A79F3" w14:textId="77777777" w:rsidTr="00FF60C6">
        <w:trPr>
          <w:trHeight w:val="320"/>
        </w:trPr>
        <w:tc>
          <w:tcPr>
            <w:tcW w:w="910" w:type="dxa"/>
            <w:tcBorders>
              <w:top w:val="single" w:sz="4" w:space="0" w:color="auto"/>
              <w:left w:val="nil"/>
              <w:bottom w:val="single" w:sz="4" w:space="0" w:color="auto"/>
              <w:right w:val="nil"/>
            </w:tcBorders>
            <w:shd w:val="clear" w:color="auto" w:fill="auto"/>
            <w:noWrap/>
            <w:vAlign w:val="bottom"/>
            <w:hideMark/>
          </w:tcPr>
          <w:p w14:paraId="76EE8197" w14:textId="77777777" w:rsidR="00411E8D" w:rsidRPr="004E5DD6" w:rsidRDefault="00411E8D" w:rsidP="00FF60C6">
            <w:pPr>
              <w:jc w:val="center"/>
              <w:rPr>
                <w:rFonts w:ascii="Arial" w:eastAsia="Times New Roman" w:hAnsi="Arial" w:cs="Arial"/>
                <w:i/>
                <w:iCs/>
                <w:color w:val="000000"/>
                <w:sz w:val="22"/>
                <w:szCs w:val="22"/>
              </w:rPr>
            </w:pPr>
          </w:p>
        </w:tc>
        <w:tc>
          <w:tcPr>
            <w:tcW w:w="1880" w:type="dxa"/>
            <w:tcBorders>
              <w:top w:val="single" w:sz="4" w:space="0" w:color="auto"/>
              <w:left w:val="nil"/>
              <w:bottom w:val="single" w:sz="4" w:space="0" w:color="auto"/>
              <w:right w:val="nil"/>
            </w:tcBorders>
            <w:shd w:val="clear" w:color="auto" w:fill="auto"/>
            <w:noWrap/>
            <w:vAlign w:val="bottom"/>
            <w:hideMark/>
          </w:tcPr>
          <w:p w14:paraId="36EE8793" w14:textId="77777777" w:rsidR="00411E8D" w:rsidRPr="004E5DD6" w:rsidRDefault="00411E8D" w:rsidP="00FF60C6">
            <w:pPr>
              <w:jc w:val="center"/>
              <w:rPr>
                <w:rFonts w:ascii="Arial" w:eastAsia="Times New Roman" w:hAnsi="Arial" w:cs="Arial"/>
                <w:i/>
                <w:iCs/>
                <w:sz w:val="22"/>
                <w:szCs w:val="22"/>
              </w:rPr>
            </w:pPr>
          </w:p>
        </w:tc>
        <w:tc>
          <w:tcPr>
            <w:tcW w:w="2380" w:type="dxa"/>
            <w:tcBorders>
              <w:top w:val="single" w:sz="4" w:space="0" w:color="auto"/>
              <w:left w:val="nil"/>
              <w:bottom w:val="single" w:sz="4" w:space="0" w:color="auto"/>
              <w:right w:val="nil"/>
            </w:tcBorders>
            <w:shd w:val="clear" w:color="auto" w:fill="auto"/>
            <w:noWrap/>
            <w:vAlign w:val="bottom"/>
            <w:hideMark/>
          </w:tcPr>
          <w:p w14:paraId="77D3E6D8" w14:textId="77777777" w:rsidR="00411E8D" w:rsidRPr="004E5DD6" w:rsidRDefault="00411E8D" w:rsidP="00FF60C6">
            <w:pPr>
              <w:jc w:val="center"/>
              <w:rPr>
                <w:rFonts w:ascii="Arial" w:eastAsia="Times New Roman" w:hAnsi="Arial" w:cs="Arial"/>
                <w:i/>
                <w:iCs/>
                <w:sz w:val="22"/>
                <w:szCs w:val="22"/>
              </w:rPr>
            </w:pPr>
          </w:p>
        </w:tc>
        <w:tc>
          <w:tcPr>
            <w:tcW w:w="1820" w:type="dxa"/>
            <w:tcBorders>
              <w:top w:val="single" w:sz="4" w:space="0" w:color="auto"/>
              <w:left w:val="nil"/>
              <w:bottom w:val="single" w:sz="4" w:space="0" w:color="auto"/>
              <w:right w:val="nil"/>
            </w:tcBorders>
            <w:shd w:val="clear" w:color="auto" w:fill="auto"/>
            <w:noWrap/>
            <w:vAlign w:val="bottom"/>
            <w:hideMark/>
          </w:tcPr>
          <w:p w14:paraId="174BE182" w14:textId="77777777" w:rsidR="00411E8D" w:rsidRPr="004E5DD6" w:rsidRDefault="00411E8D" w:rsidP="00FF60C6">
            <w:pPr>
              <w:jc w:val="center"/>
              <w:rPr>
                <w:rFonts w:ascii="Arial" w:eastAsia="Times New Roman" w:hAnsi="Arial" w:cs="Arial"/>
                <w:i/>
                <w:iCs/>
                <w:sz w:val="22"/>
                <w:szCs w:val="22"/>
              </w:rPr>
            </w:pPr>
          </w:p>
        </w:tc>
        <w:tc>
          <w:tcPr>
            <w:tcW w:w="2140" w:type="dxa"/>
            <w:tcBorders>
              <w:top w:val="single" w:sz="4" w:space="0" w:color="auto"/>
              <w:left w:val="nil"/>
              <w:bottom w:val="single" w:sz="4" w:space="0" w:color="auto"/>
              <w:right w:val="nil"/>
            </w:tcBorders>
            <w:shd w:val="clear" w:color="auto" w:fill="auto"/>
            <w:noWrap/>
            <w:vAlign w:val="bottom"/>
            <w:hideMark/>
          </w:tcPr>
          <w:p w14:paraId="55170793" w14:textId="77777777" w:rsidR="00411E8D" w:rsidRPr="004E5DD6" w:rsidRDefault="00411E8D" w:rsidP="00FF60C6">
            <w:pPr>
              <w:jc w:val="center"/>
              <w:rPr>
                <w:rFonts w:ascii="Arial" w:eastAsia="Times New Roman" w:hAnsi="Arial" w:cs="Arial"/>
                <w:i/>
                <w:iCs/>
                <w:sz w:val="22"/>
                <w:szCs w:val="22"/>
              </w:rPr>
            </w:pPr>
          </w:p>
        </w:tc>
      </w:tr>
      <w:tr w:rsidR="00411E8D" w:rsidRPr="004E5DD6" w14:paraId="2EF62DF0" w14:textId="77777777" w:rsidTr="00FF60C6">
        <w:trPr>
          <w:trHeight w:val="680"/>
        </w:trPr>
        <w:tc>
          <w:tcPr>
            <w:tcW w:w="910" w:type="dxa"/>
            <w:tcBorders>
              <w:top w:val="single" w:sz="4" w:space="0" w:color="auto"/>
              <w:left w:val="nil"/>
              <w:bottom w:val="single" w:sz="4" w:space="0" w:color="auto"/>
              <w:right w:val="nil"/>
            </w:tcBorders>
            <w:shd w:val="clear" w:color="auto" w:fill="auto"/>
            <w:vAlign w:val="bottom"/>
            <w:hideMark/>
          </w:tcPr>
          <w:p w14:paraId="2E756088"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 xml:space="preserve">Age </w:t>
            </w:r>
            <w:r w:rsidRPr="004E5DD6">
              <w:rPr>
                <w:rFonts w:ascii="Arial" w:eastAsia="Times New Roman" w:hAnsi="Arial" w:cs="Arial"/>
                <w:b/>
                <w:bCs/>
                <w:i/>
                <w:iCs/>
                <w:color w:val="000000"/>
                <w:sz w:val="22"/>
                <w:szCs w:val="22"/>
              </w:rPr>
              <w:br/>
              <w:t>Group</w:t>
            </w:r>
          </w:p>
        </w:tc>
        <w:tc>
          <w:tcPr>
            <w:tcW w:w="1880" w:type="dxa"/>
            <w:tcBorders>
              <w:top w:val="single" w:sz="4" w:space="0" w:color="auto"/>
              <w:left w:val="nil"/>
              <w:bottom w:val="single" w:sz="4" w:space="0" w:color="auto"/>
              <w:right w:val="nil"/>
            </w:tcBorders>
            <w:shd w:val="clear" w:color="auto" w:fill="auto"/>
            <w:vAlign w:val="bottom"/>
            <w:hideMark/>
          </w:tcPr>
          <w:p w14:paraId="6805019E"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Race and Ethnicity</w:t>
            </w:r>
          </w:p>
        </w:tc>
        <w:tc>
          <w:tcPr>
            <w:tcW w:w="2380" w:type="dxa"/>
            <w:tcBorders>
              <w:top w:val="single" w:sz="4" w:space="0" w:color="auto"/>
              <w:left w:val="nil"/>
              <w:bottom w:val="single" w:sz="4" w:space="0" w:color="auto"/>
              <w:right w:val="nil"/>
            </w:tcBorders>
            <w:shd w:val="clear" w:color="auto" w:fill="auto"/>
            <w:vAlign w:val="bottom"/>
            <w:hideMark/>
          </w:tcPr>
          <w:p w14:paraId="231BFDCA"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Expected Deaths Without COVID-19</w:t>
            </w:r>
          </w:p>
        </w:tc>
        <w:tc>
          <w:tcPr>
            <w:tcW w:w="1820" w:type="dxa"/>
            <w:tcBorders>
              <w:top w:val="single" w:sz="4" w:space="0" w:color="auto"/>
              <w:left w:val="nil"/>
              <w:bottom w:val="single" w:sz="4" w:space="0" w:color="auto"/>
              <w:right w:val="nil"/>
            </w:tcBorders>
            <w:shd w:val="clear" w:color="auto" w:fill="auto"/>
            <w:vAlign w:val="bottom"/>
            <w:hideMark/>
          </w:tcPr>
          <w:p w14:paraId="03E3FDBC"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 xml:space="preserve">COVID-19 </w:t>
            </w:r>
            <w:r w:rsidRPr="004E5DD6">
              <w:rPr>
                <w:rFonts w:ascii="Arial" w:eastAsia="Times New Roman" w:hAnsi="Arial" w:cs="Arial"/>
                <w:b/>
                <w:bCs/>
                <w:i/>
                <w:iCs/>
                <w:color w:val="000000"/>
                <w:sz w:val="22"/>
                <w:szCs w:val="22"/>
              </w:rPr>
              <w:br/>
              <w:t>Deaths</w:t>
            </w:r>
          </w:p>
        </w:tc>
        <w:tc>
          <w:tcPr>
            <w:tcW w:w="2140" w:type="dxa"/>
            <w:tcBorders>
              <w:top w:val="single" w:sz="4" w:space="0" w:color="auto"/>
              <w:left w:val="nil"/>
              <w:bottom w:val="single" w:sz="4" w:space="0" w:color="auto"/>
              <w:right w:val="nil"/>
            </w:tcBorders>
            <w:shd w:val="clear" w:color="auto" w:fill="auto"/>
            <w:vAlign w:val="bottom"/>
            <w:hideMark/>
          </w:tcPr>
          <w:p w14:paraId="5C89D67C" w14:textId="77777777" w:rsidR="00411E8D" w:rsidRPr="004E5DD6" w:rsidRDefault="00411E8D" w:rsidP="00FF60C6">
            <w:pPr>
              <w:jc w:val="center"/>
              <w:rPr>
                <w:rFonts w:ascii="Arial" w:eastAsia="Times New Roman" w:hAnsi="Arial" w:cs="Arial"/>
                <w:b/>
                <w:bCs/>
                <w:i/>
                <w:iCs/>
                <w:color w:val="000000"/>
                <w:sz w:val="22"/>
                <w:szCs w:val="22"/>
              </w:rPr>
            </w:pPr>
            <w:r w:rsidRPr="004E5DD6">
              <w:rPr>
                <w:rFonts w:ascii="Arial" w:eastAsia="Times New Roman" w:hAnsi="Arial" w:cs="Arial"/>
                <w:b/>
                <w:bCs/>
                <w:i/>
                <w:iCs/>
                <w:color w:val="000000"/>
                <w:sz w:val="22"/>
                <w:szCs w:val="22"/>
              </w:rPr>
              <w:t xml:space="preserve">Life Expectancy </w:t>
            </w:r>
            <w:r w:rsidRPr="004E5DD6">
              <w:rPr>
                <w:rFonts w:ascii="Arial" w:eastAsia="Times New Roman" w:hAnsi="Arial" w:cs="Arial"/>
                <w:b/>
                <w:bCs/>
                <w:i/>
                <w:iCs/>
                <w:color w:val="000000"/>
                <w:sz w:val="22"/>
                <w:szCs w:val="22"/>
              </w:rPr>
              <w:br/>
              <w:t>Losses (Years)</w:t>
            </w:r>
          </w:p>
        </w:tc>
      </w:tr>
      <w:tr w:rsidR="00411E8D" w:rsidRPr="004E5DD6" w14:paraId="37675C94" w14:textId="77777777" w:rsidTr="00FF60C6">
        <w:trPr>
          <w:trHeight w:val="320"/>
        </w:trPr>
        <w:tc>
          <w:tcPr>
            <w:tcW w:w="910" w:type="dxa"/>
            <w:tcBorders>
              <w:top w:val="single" w:sz="4" w:space="0" w:color="auto"/>
              <w:left w:val="nil"/>
              <w:bottom w:val="nil"/>
              <w:right w:val="nil"/>
            </w:tcBorders>
            <w:shd w:val="clear" w:color="auto" w:fill="auto"/>
            <w:noWrap/>
            <w:vAlign w:val="bottom"/>
            <w:hideMark/>
          </w:tcPr>
          <w:p w14:paraId="354D1054"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&lt;1</w:t>
            </w:r>
          </w:p>
        </w:tc>
        <w:tc>
          <w:tcPr>
            <w:tcW w:w="1880" w:type="dxa"/>
            <w:tcBorders>
              <w:top w:val="single" w:sz="4" w:space="0" w:color="auto"/>
              <w:left w:val="nil"/>
              <w:bottom w:val="nil"/>
              <w:right w:val="nil"/>
            </w:tcBorders>
            <w:shd w:val="clear" w:color="auto" w:fill="auto"/>
            <w:noWrap/>
            <w:vAlign w:val="bottom"/>
            <w:hideMark/>
          </w:tcPr>
          <w:p w14:paraId="68782C92"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Total Population</w:t>
            </w:r>
          </w:p>
        </w:tc>
        <w:tc>
          <w:tcPr>
            <w:tcW w:w="2380" w:type="dxa"/>
            <w:tcBorders>
              <w:top w:val="single" w:sz="4" w:space="0" w:color="auto"/>
              <w:left w:val="nil"/>
              <w:bottom w:val="nil"/>
              <w:right w:val="nil"/>
            </w:tcBorders>
            <w:shd w:val="clear" w:color="auto" w:fill="auto"/>
            <w:noWrap/>
            <w:vAlign w:val="bottom"/>
            <w:hideMark/>
          </w:tcPr>
          <w:p w14:paraId="6552D6D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27,080</w:t>
            </w:r>
          </w:p>
        </w:tc>
        <w:tc>
          <w:tcPr>
            <w:tcW w:w="1820" w:type="dxa"/>
            <w:tcBorders>
              <w:top w:val="single" w:sz="4" w:space="0" w:color="auto"/>
              <w:left w:val="nil"/>
              <w:bottom w:val="nil"/>
              <w:right w:val="nil"/>
            </w:tcBorders>
            <w:shd w:val="clear" w:color="auto" w:fill="auto"/>
            <w:noWrap/>
            <w:hideMark/>
          </w:tcPr>
          <w:p w14:paraId="360A103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273</w:t>
            </w:r>
          </w:p>
        </w:tc>
        <w:tc>
          <w:tcPr>
            <w:tcW w:w="2140" w:type="dxa"/>
            <w:tcBorders>
              <w:top w:val="single" w:sz="4" w:space="0" w:color="auto"/>
              <w:left w:val="nil"/>
              <w:bottom w:val="nil"/>
              <w:right w:val="nil"/>
            </w:tcBorders>
            <w:shd w:val="clear" w:color="auto" w:fill="auto"/>
            <w:noWrap/>
            <w:hideMark/>
          </w:tcPr>
          <w:p w14:paraId="3B1BDFD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3.080</w:t>
            </w:r>
          </w:p>
        </w:tc>
      </w:tr>
      <w:tr w:rsidR="00411E8D" w:rsidRPr="004E5DD6" w14:paraId="3120478A" w14:textId="77777777" w:rsidTr="00FF60C6">
        <w:trPr>
          <w:trHeight w:val="320"/>
        </w:trPr>
        <w:tc>
          <w:tcPr>
            <w:tcW w:w="910" w:type="dxa"/>
            <w:tcBorders>
              <w:top w:val="nil"/>
              <w:left w:val="nil"/>
              <w:bottom w:val="nil"/>
              <w:right w:val="nil"/>
            </w:tcBorders>
            <w:shd w:val="clear" w:color="auto" w:fill="auto"/>
            <w:noWrap/>
            <w:vAlign w:val="bottom"/>
            <w:hideMark/>
          </w:tcPr>
          <w:p w14:paraId="13575DF4"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1-4</w:t>
            </w:r>
          </w:p>
        </w:tc>
        <w:tc>
          <w:tcPr>
            <w:tcW w:w="1880" w:type="dxa"/>
            <w:tcBorders>
              <w:top w:val="nil"/>
              <w:left w:val="nil"/>
              <w:bottom w:val="nil"/>
              <w:right w:val="nil"/>
            </w:tcBorders>
            <w:shd w:val="clear" w:color="auto" w:fill="auto"/>
            <w:noWrap/>
            <w:vAlign w:val="bottom"/>
            <w:hideMark/>
          </w:tcPr>
          <w:p w14:paraId="19BC185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Total Population</w:t>
            </w:r>
          </w:p>
        </w:tc>
        <w:tc>
          <w:tcPr>
            <w:tcW w:w="2380" w:type="dxa"/>
            <w:tcBorders>
              <w:top w:val="nil"/>
              <w:left w:val="nil"/>
              <w:bottom w:val="nil"/>
              <w:right w:val="nil"/>
            </w:tcBorders>
            <w:shd w:val="clear" w:color="auto" w:fill="auto"/>
            <w:noWrap/>
            <w:vAlign w:val="bottom"/>
            <w:hideMark/>
          </w:tcPr>
          <w:p w14:paraId="5FFF362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5,469</w:t>
            </w:r>
          </w:p>
        </w:tc>
        <w:tc>
          <w:tcPr>
            <w:tcW w:w="1820" w:type="dxa"/>
            <w:tcBorders>
              <w:top w:val="nil"/>
              <w:left w:val="nil"/>
              <w:bottom w:val="nil"/>
              <w:right w:val="nil"/>
            </w:tcBorders>
            <w:shd w:val="clear" w:color="auto" w:fill="auto"/>
            <w:noWrap/>
            <w:hideMark/>
          </w:tcPr>
          <w:p w14:paraId="5CCE0B07"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138</w:t>
            </w:r>
          </w:p>
        </w:tc>
        <w:tc>
          <w:tcPr>
            <w:tcW w:w="2140" w:type="dxa"/>
            <w:tcBorders>
              <w:top w:val="nil"/>
              <w:left w:val="nil"/>
              <w:bottom w:val="nil"/>
              <w:right w:val="nil"/>
            </w:tcBorders>
            <w:shd w:val="clear" w:color="auto" w:fill="auto"/>
            <w:noWrap/>
            <w:hideMark/>
          </w:tcPr>
          <w:p w14:paraId="6789EB9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3.093</w:t>
            </w:r>
          </w:p>
        </w:tc>
      </w:tr>
      <w:tr w:rsidR="00411E8D" w:rsidRPr="004E5DD6" w14:paraId="1F1E4D11" w14:textId="77777777" w:rsidTr="00FF60C6">
        <w:trPr>
          <w:trHeight w:val="320"/>
        </w:trPr>
        <w:tc>
          <w:tcPr>
            <w:tcW w:w="910" w:type="dxa"/>
            <w:tcBorders>
              <w:top w:val="nil"/>
              <w:left w:val="nil"/>
              <w:bottom w:val="nil"/>
              <w:right w:val="nil"/>
            </w:tcBorders>
            <w:shd w:val="clear" w:color="auto" w:fill="auto"/>
            <w:noWrap/>
            <w:vAlign w:val="bottom"/>
            <w:hideMark/>
          </w:tcPr>
          <w:p w14:paraId="3E6555B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5-14</w:t>
            </w:r>
          </w:p>
        </w:tc>
        <w:tc>
          <w:tcPr>
            <w:tcW w:w="1880" w:type="dxa"/>
            <w:tcBorders>
              <w:top w:val="nil"/>
              <w:left w:val="nil"/>
              <w:bottom w:val="nil"/>
              <w:right w:val="nil"/>
            </w:tcBorders>
            <w:shd w:val="clear" w:color="auto" w:fill="auto"/>
            <w:noWrap/>
            <w:vAlign w:val="bottom"/>
            <w:hideMark/>
          </w:tcPr>
          <w:p w14:paraId="50974758"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Total Population</w:t>
            </w:r>
          </w:p>
        </w:tc>
        <w:tc>
          <w:tcPr>
            <w:tcW w:w="2380" w:type="dxa"/>
            <w:tcBorders>
              <w:top w:val="nil"/>
              <w:left w:val="nil"/>
              <w:bottom w:val="nil"/>
              <w:right w:val="nil"/>
            </w:tcBorders>
            <w:shd w:val="clear" w:color="auto" w:fill="auto"/>
            <w:noWrap/>
            <w:vAlign w:val="bottom"/>
            <w:hideMark/>
          </w:tcPr>
          <w:p w14:paraId="5698D555"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29,891</w:t>
            </w:r>
          </w:p>
        </w:tc>
        <w:tc>
          <w:tcPr>
            <w:tcW w:w="1820" w:type="dxa"/>
            <w:tcBorders>
              <w:top w:val="nil"/>
              <w:left w:val="nil"/>
              <w:bottom w:val="nil"/>
              <w:right w:val="nil"/>
            </w:tcBorders>
            <w:shd w:val="clear" w:color="auto" w:fill="auto"/>
            <w:noWrap/>
            <w:hideMark/>
          </w:tcPr>
          <w:p w14:paraId="403CF9F7"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333</w:t>
            </w:r>
          </w:p>
        </w:tc>
        <w:tc>
          <w:tcPr>
            <w:tcW w:w="2140" w:type="dxa"/>
            <w:tcBorders>
              <w:top w:val="nil"/>
              <w:left w:val="nil"/>
              <w:bottom w:val="nil"/>
              <w:right w:val="nil"/>
            </w:tcBorders>
            <w:shd w:val="clear" w:color="auto" w:fill="auto"/>
            <w:noWrap/>
            <w:hideMark/>
          </w:tcPr>
          <w:p w14:paraId="7E4E5BA2"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3.092</w:t>
            </w:r>
          </w:p>
        </w:tc>
      </w:tr>
      <w:tr w:rsidR="00411E8D" w:rsidRPr="004E5DD6" w14:paraId="3DED69E0" w14:textId="77777777" w:rsidTr="00FF60C6">
        <w:trPr>
          <w:trHeight w:val="320"/>
        </w:trPr>
        <w:tc>
          <w:tcPr>
            <w:tcW w:w="910" w:type="dxa"/>
            <w:tcBorders>
              <w:top w:val="nil"/>
              <w:left w:val="nil"/>
              <w:bottom w:val="nil"/>
              <w:right w:val="nil"/>
            </w:tcBorders>
            <w:shd w:val="clear" w:color="auto" w:fill="auto"/>
            <w:noWrap/>
            <w:vAlign w:val="bottom"/>
            <w:hideMark/>
          </w:tcPr>
          <w:p w14:paraId="687F385A"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15-24</w:t>
            </w:r>
          </w:p>
        </w:tc>
        <w:tc>
          <w:tcPr>
            <w:tcW w:w="1880" w:type="dxa"/>
            <w:tcBorders>
              <w:top w:val="nil"/>
              <w:left w:val="nil"/>
              <w:bottom w:val="nil"/>
              <w:right w:val="nil"/>
            </w:tcBorders>
            <w:shd w:val="clear" w:color="auto" w:fill="auto"/>
            <w:noWrap/>
            <w:vAlign w:val="bottom"/>
            <w:hideMark/>
          </w:tcPr>
          <w:p w14:paraId="73A1B0D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Total Population</w:t>
            </w:r>
          </w:p>
        </w:tc>
        <w:tc>
          <w:tcPr>
            <w:tcW w:w="2380" w:type="dxa"/>
            <w:tcBorders>
              <w:top w:val="nil"/>
              <w:left w:val="nil"/>
              <w:bottom w:val="nil"/>
              <w:right w:val="nil"/>
            </w:tcBorders>
            <w:shd w:val="clear" w:color="auto" w:fill="auto"/>
            <w:noWrap/>
            <w:vAlign w:val="bottom"/>
            <w:hideMark/>
          </w:tcPr>
          <w:p w14:paraId="1D0AAB6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60,606</w:t>
            </w:r>
          </w:p>
        </w:tc>
        <w:tc>
          <w:tcPr>
            <w:tcW w:w="1820" w:type="dxa"/>
            <w:tcBorders>
              <w:top w:val="nil"/>
              <w:left w:val="nil"/>
              <w:bottom w:val="nil"/>
              <w:right w:val="nil"/>
            </w:tcBorders>
            <w:shd w:val="clear" w:color="auto" w:fill="auto"/>
            <w:noWrap/>
            <w:hideMark/>
          </w:tcPr>
          <w:p w14:paraId="3D5F8E2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2,642</w:t>
            </w:r>
          </w:p>
        </w:tc>
        <w:tc>
          <w:tcPr>
            <w:tcW w:w="2140" w:type="dxa"/>
            <w:tcBorders>
              <w:top w:val="nil"/>
              <w:left w:val="nil"/>
              <w:bottom w:val="nil"/>
              <w:right w:val="nil"/>
            </w:tcBorders>
            <w:shd w:val="clear" w:color="auto" w:fill="auto"/>
            <w:noWrap/>
            <w:hideMark/>
          </w:tcPr>
          <w:p w14:paraId="15DC426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3.082</w:t>
            </w:r>
          </w:p>
        </w:tc>
      </w:tr>
      <w:tr w:rsidR="00411E8D" w:rsidRPr="004E5DD6" w14:paraId="2A8C9905" w14:textId="77777777" w:rsidTr="00FF60C6">
        <w:trPr>
          <w:trHeight w:val="320"/>
        </w:trPr>
        <w:tc>
          <w:tcPr>
            <w:tcW w:w="910" w:type="dxa"/>
            <w:tcBorders>
              <w:top w:val="nil"/>
              <w:left w:val="nil"/>
              <w:bottom w:val="nil"/>
              <w:right w:val="nil"/>
            </w:tcBorders>
            <w:shd w:val="clear" w:color="auto" w:fill="auto"/>
            <w:noWrap/>
            <w:vAlign w:val="bottom"/>
            <w:hideMark/>
          </w:tcPr>
          <w:p w14:paraId="58039023"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25-34</w:t>
            </w:r>
          </w:p>
        </w:tc>
        <w:tc>
          <w:tcPr>
            <w:tcW w:w="1880" w:type="dxa"/>
            <w:tcBorders>
              <w:top w:val="nil"/>
              <w:left w:val="nil"/>
              <w:bottom w:val="nil"/>
              <w:right w:val="nil"/>
            </w:tcBorders>
            <w:shd w:val="clear" w:color="auto" w:fill="auto"/>
            <w:noWrap/>
            <w:vAlign w:val="bottom"/>
            <w:hideMark/>
          </w:tcPr>
          <w:p w14:paraId="1BBD7FC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Total Population</w:t>
            </w:r>
          </w:p>
        </w:tc>
        <w:tc>
          <w:tcPr>
            <w:tcW w:w="2380" w:type="dxa"/>
            <w:tcBorders>
              <w:top w:val="nil"/>
              <w:left w:val="nil"/>
              <w:bottom w:val="nil"/>
              <w:right w:val="nil"/>
            </w:tcBorders>
            <w:shd w:val="clear" w:color="auto" w:fill="auto"/>
            <w:noWrap/>
            <w:vAlign w:val="bottom"/>
            <w:hideMark/>
          </w:tcPr>
          <w:p w14:paraId="4FDBF92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87,191</w:t>
            </w:r>
          </w:p>
        </w:tc>
        <w:tc>
          <w:tcPr>
            <w:tcW w:w="1820" w:type="dxa"/>
            <w:tcBorders>
              <w:top w:val="nil"/>
              <w:left w:val="nil"/>
              <w:bottom w:val="nil"/>
              <w:right w:val="nil"/>
            </w:tcBorders>
            <w:shd w:val="clear" w:color="auto" w:fill="auto"/>
            <w:noWrap/>
            <w:hideMark/>
          </w:tcPr>
          <w:p w14:paraId="44F2B47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11,161</w:t>
            </w:r>
          </w:p>
        </w:tc>
        <w:tc>
          <w:tcPr>
            <w:tcW w:w="2140" w:type="dxa"/>
            <w:tcBorders>
              <w:top w:val="nil"/>
              <w:left w:val="nil"/>
              <w:bottom w:val="nil"/>
              <w:right w:val="nil"/>
            </w:tcBorders>
            <w:shd w:val="clear" w:color="auto" w:fill="auto"/>
            <w:noWrap/>
            <w:hideMark/>
          </w:tcPr>
          <w:p w14:paraId="2E02553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3.020</w:t>
            </w:r>
          </w:p>
        </w:tc>
      </w:tr>
      <w:tr w:rsidR="00411E8D" w:rsidRPr="004E5DD6" w14:paraId="1961CEEE" w14:textId="77777777" w:rsidTr="00FF60C6">
        <w:trPr>
          <w:trHeight w:val="320"/>
        </w:trPr>
        <w:tc>
          <w:tcPr>
            <w:tcW w:w="910" w:type="dxa"/>
            <w:tcBorders>
              <w:top w:val="nil"/>
              <w:left w:val="nil"/>
              <w:bottom w:val="nil"/>
              <w:right w:val="nil"/>
            </w:tcBorders>
            <w:shd w:val="clear" w:color="auto" w:fill="auto"/>
            <w:noWrap/>
            <w:vAlign w:val="bottom"/>
            <w:hideMark/>
          </w:tcPr>
          <w:p w14:paraId="6ED70D76"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35-44</w:t>
            </w:r>
          </w:p>
        </w:tc>
        <w:tc>
          <w:tcPr>
            <w:tcW w:w="1880" w:type="dxa"/>
            <w:tcBorders>
              <w:top w:val="nil"/>
              <w:left w:val="nil"/>
              <w:bottom w:val="nil"/>
              <w:right w:val="nil"/>
            </w:tcBorders>
            <w:shd w:val="clear" w:color="auto" w:fill="auto"/>
            <w:noWrap/>
            <w:vAlign w:val="bottom"/>
            <w:hideMark/>
          </w:tcPr>
          <w:p w14:paraId="4B2C4DFE"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Total Population</w:t>
            </w:r>
          </w:p>
        </w:tc>
        <w:tc>
          <w:tcPr>
            <w:tcW w:w="2380" w:type="dxa"/>
            <w:tcBorders>
              <w:top w:val="nil"/>
              <w:left w:val="nil"/>
              <w:bottom w:val="nil"/>
              <w:right w:val="nil"/>
            </w:tcBorders>
            <w:shd w:val="clear" w:color="auto" w:fill="auto"/>
            <w:noWrap/>
            <w:vAlign w:val="bottom"/>
            <w:hideMark/>
          </w:tcPr>
          <w:p w14:paraId="7DB8F94A"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157,229</w:t>
            </w:r>
          </w:p>
        </w:tc>
        <w:tc>
          <w:tcPr>
            <w:tcW w:w="1820" w:type="dxa"/>
            <w:tcBorders>
              <w:top w:val="nil"/>
              <w:left w:val="nil"/>
              <w:bottom w:val="nil"/>
              <w:right w:val="nil"/>
            </w:tcBorders>
            <w:shd w:val="clear" w:color="auto" w:fill="auto"/>
            <w:noWrap/>
            <w:hideMark/>
          </w:tcPr>
          <w:p w14:paraId="3C407AED"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27,687</w:t>
            </w:r>
          </w:p>
        </w:tc>
        <w:tc>
          <w:tcPr>
            <w:tcW w:w="2140" w:type="dxa"/>
            <w:tcBorders>
              <w:top w:val="nil"/>
              <w:left w:val="nil"/>
              <w:bottom w:val="nil"/>
              <w:right w:val="nil"/>
            </w:tcBorders>
            <w:shd w:val="clear" w:color="auto" w:fill="auto"/>
            <w:noWrap/>
            <w:hideMark/>
          </w:tcPr>
          <w:p w14:paraId="10B8B76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2.859</w:t>
            </w:r>
          </w:p>
        </w:tc>
      </w:tr>
      <w:tr w:rsidR="00411E8D" w:rsidRPr="004E5DD6" w14:paraId="5FC7A24B" w14:textId="77777777" w:rsidTr="00FF60C6">
        <w:trPr>
          <w:trHeight w:val="320"/>
        </w:trPr>
        <w:tc>
          <w:tcPr>
            <w:tcW w:w="910" w:type="dxa"/>
            <w:tcBorders>
              <w:top w:val="nil"/>
              <w:left w:val="nil"/>
              <w:bottom w:val="nil"/>
              <w:right w:val="nil"/>
            </w:tcBorders>
            <w:shd w:val="clear" w:color="auto" w:fill="auto"/>
            <w:noWrap/>
            <w:vAlign w:val="bottom"/>
            <w:hideMark/>
          </w:tcPr>
          <w:p w14:paraId="584C3D6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45-54</w:t>
            </w:r>
          </w:p>
        </w:tc>
        <w:tc>
          <w:tcPr>
            <w:tcW w:w="1880" w:type="dxa"/>
            <w:tcBorders>
              <w:top w:val="nil"/>
              <w:left w:val="nil"/>
              <w:bottom w:val="nil"/>
              <w:right w:val="nil"/>
            </w:tcBorders>
            <w:shd w:val="clear" w:color="auto" w:fill="auto"/>
            <w:noWrap/>
            <w:vAlign w:val="bottom"/>
            <w:hideMark/>
          </w:tcPr>
          <w:p w14:paraId="7FDB7F9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Total Population</w:t>
            </w:r>
          </w:p>
        </w:tc>
        <w:tc>
          <w:tcPr>
            <w:tcW w:w="2380" w:type="dxa"/>
            <w:tcBorders>
              <w:top w:val="nil"/>
              <w:left w:val="nil"/>
              <w:bottom w:val="nil"/>
              <w:right w:val="nil"/>
            </w:tcBorders>
            <w:shd w:val="clear" w:color="auto" w:fill="auto"/>
            <w:noWrap/>
            <w:vAlign w:val="bottom"/>
            <w:hideMark/>
          </w:tcPr>
          <w:p w14:paraId="22B9A28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373,546</w:t>
            </w:r>
          </w:p>
        </w:tc>
        <w:tc>
          <w:tcPr>
            <w:tcW w:w="1820" w:type="dxa"/>
            <w:tcBorders>
              <w:top w:val="nil"/>
              <w:left w:val="nil"/>
              <w:bottom w:val="nil"/>
              <w:right w:val="nil"/>
            </w:tcBorders>
            <w:shd w:val="clear" w:color="auto" w:fill="auto"/>
            <w:noWrap/>
            <w:hideMark/>
          </w:tcPr>
          <w:p w14:paraId="469D38E9"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66,556</w:t>
            </w:r>
          </w:p>
        </w:tc>
        <w:tc>
          <w:tcPr>
            <w:tcW w:w="2140" w:type="dxa"/>
            <w:tcBorders>
              <w:top w:val="nil"/>
              <w:left w:val="nil"/>
              <w:bottom w:val="nil"/>
              <w:right w:val="nil"/>
            </w:tcBorders>
            <w:shd w:val="clear" w:color="auto" w:fill="auto"/>
            <w:noWrap/>
            <w:hideMark/>
          </w:tcPr>
          <w:p w14:paraId="189D2601"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2.530</w:t>
            </w:r>
          </w:p>
        </w:tc>
      </w:tr>
      <w:tr w:rsidR="00411E8D" w:rsidRPr="004E5DD6" w14:paraId="0DF16499" w14:textId="77777777" w:rsidTr="00FF60C6">
        <w:trPr>
          <w:trHeight w:val="320"/>
        </w:trPr>
        <w:tc>
          <w:tcPr>
            <w:tcW w:w="910" w:type="dxa"/>
            <w:tcBorders>
              <w:top w:val="nil"/>
              <w:left w:val="nil"/>
              <w:bottom w:val="nil"/>
              <w:right w:val="nil"/>
            </w:tcBorders>
            <w:shd w:val="clear" w:color="auto" w:fill="auto"/>
            <w:noWrap/>
            <w:vAlign w:val="bottom"/>
            <w:hideMark/>
          </w:tcPr>
          <w:p w14:paraId="08A9FE5A"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55-64</w:t>
            </w:r>
          </w:p>
        </w:tc>
        <w:tc>
          <w:tcPr>
            <w:tcW w:w="1880" w:type="dxa"/>
            <w:tcBorders>
              <w:top w:val="nil"/>
              <w:left w:val="nil"/>
              <w:bottom w:val="nil"/>
              <w:right w:val="nil"/>
            </w:tcBorders>
            <w:shd w:val="clear" w:color="auto" w:fill="auto"/>
            <w:noWrap/>
            <w:vAlign w:val="bottom"/>
            <w:hideMark/>
          </w:tcPr>
          <w:p w14:paraId="7C8F73C5"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Total Population</w:t>
            </w:r>
          </w:p>
        </w:tc>
        <w:tc>
          <w:tcPr>
            <w:tcW w:w="2380" w:type="dxa"/>
            <w:tcBorders>
              <w:top w:val="nil"/>
              <w:left w:val="nil"/>
              <w:bottom w:val="nil"/>
              <w:right w:val="nil"/>
            </w:tcBorders>
            <w:shd w:val="clear" w:color="auto" w:fill="auto"/>
            <w:noWrap/>
            <w:vAlign w:val="bottom"/>
            <w:hideMark/>
          </w:tcPr>
          <w:p w14:paraId="26594BCC"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622,883</w:t>
            </w:r>
          </w:p>
        </w:tc>
        <w:tc>
          <w:tcPr>
            <w:tcW w:w="1820" w:type="dxa"/>
            <w:tcBorders>
              <w:top w:val="nil"/>
              <w:left w:val="nil"/>
              <w:bottom w:val="nil"/>
              <w:right w:val="nil"/>
            </w:tcBorders>
            <w:shd w:val="clear" w:color="auto" w:fill="auto"/>
            <w:noWrap/>
            <w:hideMark/>
          </w:tcPr>
          <w:p w14:paraId="4ABD9512"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146,886</w:t>
            </w:r>
          </w:p>
        </w:tc>
        <w:tc>
          <w:tcPr>
            <w:tcW w:w="2140" w:type="dxa"/>
            <w:tcBorders>
              <w:top w:val="nil"/>
              <w:left w:val="nil"/>
              <w:bottom w:val="nil"/>
              <w:right w:val="nil"/>
            </w:tcBorders>
            <w:shd w:val="clear" w:color="auto" w:fill="auto"/>
            <w:noWrap/>
            <w:hideMark/>
          </w:tcPr>
          <w:p w14:paraId="660CA3B6"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2.069</w:t>
            </w:r>
          </w:p>
        </w:tc>
      </w:tr>
      <w:tr w:rsidR="00411E8D" w:rsidRPr="004E5DD6" w14:paraId="2168BFE8" w14:textId="77777777" w:rsidTr="00FF60C6">
        <w:trPr>
          <w:trHeight w:val="320"/>
        </w:trPr>
        <w:tc>
          <w:tcPr>
            <w:tcW w:w="910" w:type="dxa"/>
            <w:tcBorders>
              <w:top w:val="nil"/>
              <w:left w:val="nil"/>
              <w:bottom w:val="nil"/>
              <w:right w:val="nil"/>
            </w:tcBorders>
            <w:shd w:val="clear" w:color="auto" w:fill="auto"/>
            <w:noWrap/>
            <w:vAlign w:val="bottom"/>
            <w:hideMark/>
          </w:tcPr>
          <w:p w14:paraId="00ACEF25"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65-74</w:t>
            </w:r>
          </w:p>
        </w:tc>
        <w:tc>
          <w:tcPr>
            <w:tcW w:w="1880" w:type="dxa"/>
            <w:tcBorders>
              <w:top w:val="nil"/>
              <w:left w:val="nil"/>
              <w:bottom w:val="nil"/>
              <w:right w:val="nil"/>
            </w:tcBorders>
            <w:shd w:val="clear" w:color="auto" w:fill="auto"/>
            <w:noWrap/>
            <w:vAlign w:val="bottom"/>
            <w:hideMark/>
          </w:tcPr>
          <w:p w14:paraId="055EFC57"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Total Population</w:t>
            </w:r>
          </w:p>
        </w:tc>
        <w:tc>
          <w:tcPr>
            <w:tcW w:w="2380" w:type="dxa"/>
            <w:tcBorders>
              <w:top w:val="nil"/>
              <w:left w:val="nil"/>
              <w:bottom w:val="nil"/>
              <w:right w:val="nil"/>
            </w:tcBorders>
            <w:shd w:val="clear" w:color="auto" w:fill="auto"/>
            <w:noWrap/>
            <w:vAlign w:val="bottom"/>
            <w:hideMark/>
          </w:tcPr>
          <w:p w14:paraId="28035B4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840,672</w:t>
            </w:r>
          </w:p>
        </w:tc>
        <w:tc>
          <w:tcPr>
            <w:tcW w:w="1820" w:type="dxa"/>
            <w:tcBorders>
              <w:top w:val="nil"/>
              <w:left w:val="nil"/>
              <w:bottom w:val="nil"/>
              <w:right w:val="nil"/>
            </w:tcBorders>
            <w:shd w:val="clear" w:color="auto" w:fill="auto"/>
            <w:noWrap/>
            <w:hideMark/>
          </w:tcPr>
          <w:p w14:paraId="23D20860"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229,685</w:t>
            </w:r>
          </w:p>
        </w:tc>
        <w:tc>
          <w:tcPr>
            <w:tcW w:w="2140" w:type="dxa"/>
            <w:tcBorders>
              <w:top w:val="nil"/>
              <w:left w:val="nil"/>
              <w:bottom w:val="nil"/>
              <w:right w:val="nil"/>
            </w:tcBorders>
            <w:shd w:val="clear" w:color="auto" w:fill="auto"/>
            <w:noWrap/>
            <w:hideMark/>
          </w:tcPr>
          <w:p w14:paraId="4B9800EF"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1.544</w:t>
            </w:r>
          </w:p>
        </w:tc>
      </w:tr>
      <w:tr w:rsidR="00411E8D" w:rsidRPr="004E5DD6" w14:paraId="0DB5D718" w14:textId="77777777" w:rsidTr="00FF60C6">
        <w:trPr>
          <w:trHeight w:val="320"/>
        </w:trPr>
        <w:tc>
          <w:tcPr>
            <w:tcW w:w="910" w:type="dxa"/>
            <w:tcBorders>
              <w:top w:val="nil"/>
              <w:left w:val="nil"/>
              <w:bottom w:val="single" w:sz="4" w:space="0" w:color="auto"/>
              <w:right w:val="nil"/>
            </w:tcBorders>
            <w:shd w:val="clear" w:color="auto" w:fill="auto"/>
            <w:noWrap/>
            <w:vAlign w:val="bottom"/>
            <w:hideMark/>
          </w:tcPr>
          <w:p w14:paraId="4A96F8CE"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color w:val="000000"/>
                <w:sz w:val="22"/>
                <w:szCs w:val="22"/>
              </w:rPr>
              <w:t>75-84</w:t>
            </w:r>
          </w:p>
        </w:tc>
        <w:tc>
          <w:tcPr>
            <w:tcW w:w="1880" w:type="dxa"/>
            <w:tcBorders>
              <w:top w:val="nil"/>
              <w:left w:val="nil"/>
              <w:bottom w:val="single" w:sz="4" w:space="0" w:color="auto"/>
              <w:right w:val="nil"/>
            </w:tcBorders>
            <w:shd w:val="clear" w:color="auto" w:fill="auto"/>
            <w:noWrap/>
            <w:vAlign w:val="bottom"/>
            <w:hideMark/>
          </w:tcPr>
          <w:p w14:paraId="1CD3C24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Total Population</w:t>
            </w:r>
          </w:p>
        </w:tc>
        <w:tc>
          <w:tcPr>
            <w:tcW w:w="2380" w:type="dxa"/>
            <w:tcBorders>
              <w:top w:val="nil"/>
              <w:left w:val="nil"/>
              <w:bottom w:val="single" w:sz="4" w:space="0" w:color="auto"/>
              <w:right w:val="nil"/>
            </w:tcBorders>
            <w:shd w:val="clear" w:color="auto" w:fill="auto"/>
            <w:noWrap/>
            <w:vAlign w:val="bottom"/>
            <w:hideMark/>
          </w:tcPr>
          <w:p w14:paraId="02D1675B"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eastAsia="Times New Roman" w:hAnsi="Arial" w:cs="Arial"/>
                <w:i/>
                <w:iCs/>
                <w:color w:val="000000"/>
                <w:sz w:val="22"/>
                <w:szCs w:val="22"/>
              </w:rPr>
              <w:t>1,037,800</w:t>
            </w:r>
          </w:p>
        </w:tc>
        <w:tc>
          <w:tcPr>
            <w:tcW w:w="1820" w:type="dxa"/>
            <w:tcBorders>
              <w:top w:val="nil"/>
              <w:left w:val="nil"/>
              <w:bottom w:val="single" w:sz="4" w:space="0" w:color="auto"/>
              <w:right w:val="nil"/>
            </w:tcBorders>
            <w:shd w:val="clear" w:color="auto" w:fill="auto"/>
            <w:noWrap/>
            <w:hideMark/>
          </w:tcPr>
          <w:p w14:paraId="3676B2B3"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257,553</w:t>
            </w:r>
          </w:p>
        </w:tc>
        <w:tc>
          <w:tcPr>
            <w:tcW w:w="2140" w:type="dxa"/>
            <w:tcBorders>
              <w:top w:val="nil"/>
              <w:left w:val="nil"/>
              <w:bottom w:val="single" w:sz="4" w:space="0" w:color="auto"/>
              <w:right w:val="nil"/>
            </w:tcBorders>
            <w:shd w:val="clear" w:color="auto" w:fill="auto"/>
            <w:noWrap/>
            <w:hideMark/>
          </w:tcPr>
          <w:p w14:paraId="02B2500E" w14:textId="77777777" w:rsidR="00411E8D" w:rsidRPr="004E5DD6" w:rsidRDefault="00411E8D" w:rsidP="00FF60C6">
            <w:pPr>
              <w:jc w:val="center"/>
              <w:rPr>
                <w:rFonts w:ascii="Arial" w:eastAsia="Times New Roman" w:hAnsi="Arial" w:cs="Arial"/>
                <w:i/>
                <w:iCs/>
                <w:color w:val="000000"/>
                <w:sz w:val="22"/>
                <w:szCs w:val="22"/>
              </w:rPr>
            </w:pPr>
            <w:r w:rsidRPr="004E5DD6">
              <w:rPr>
                <w:rFonts w:ascii="Arial" w:hAnsi="Arial" w:cs="Arial"/>
                <w:i/>
                <w:iCs/>
                <w:sz w:val="22"/>
                <w:szCs w:val="22"/>
              </w:rPr>
              <w:t>1.075</w:t>
            </w:r>
          </w:p>
        </w:tc>
      </w:tr>
    </w:tbl>
    <w:p w14:paraId="14097B6E" w14:textId="77777777" w:rsidR="00411E8D" w:rsidRPr="004E5DD6" w:rsidRDefault="00411E8D" w:rsidP="00411E8D">
      <w:pPr>
        <w:rPr>
          <w:rFonts w:ascii="Arial" w:hAnsi="Arial" w:cs="Arial"/>
          <w:i/>
          <w:iCs/>
          <w:sz w:val="22"/>
          <w:szCs w:val="22"/>
        </w:rPr>
      </w:pPr>
    </w:p>
    <w:p w14:paraId="4AD0EEEC" w14:textId="1003B670" w:rsidR="00411E8D" w:rsidRPr="004E5DD6" w:rsidRDefault="0043220A" w:rsidP="00411E8D">
      <w:pPr>
        <w:rPr>
          <w:rFonts w:ascii="Arial" w:hAnsi="Arial" w:cs="Arial"/>
          <w:i/>
          <w:iCs/>
          <w:sz w:val="22"/>
          <w:szCs w:val="22"/>
        </w:rPr>
      </w:pPr>
      <w:r>
        <w:rPr>
          <w:rFonts w:ascii="Arial" w:hAnsi="Arial" w:cs="Arial"/>
          <w:b/>
          <w:bCs/>
          <w:sz w:val="22"/>
          <w:szCs w:val="22"/>
        </w:rPr>
        <w:t xml:space="preserve">Supplemental </w:t>
      </w:r>
      <w:r w:rsidR="00411E8D" w:rsidRPr="004E5DD6">
        <w:rPr>
          <w:rFonts w:ascii="Arial" w:hAnsi="Arial" w:cs="Arial"/>
          <w:b/>
          <w:bCs/>
          <w:i/>
          <w:iCs/>
          <w:sz w:val="22"/>
          <w:szCs w:val="22"/>
        </w:rPr>
        <w:t xml:space="preserve">Table </w:t>
      </w:r>
      <w:r w:rsidR="00FC79BD" w:rsidRPr="004E5DD6">
        <w:rPr>
          <w:rFonts w:ascii="Arial" w:hAnsi="Arial" w:cs="Arial"/>
          <w:b/>
          <w:bCs/>
          <w:i/>
          <w:iCs/>
          <w:sz w:val="22"/>
          <w:szCs w:val="22"/>
        </w:rPr>
        <w:t>2</w:t>
      </w:r>
      <w:r w:rsidR="00411E8D" w:rsidRPr="004E5DD6">
        <w:rPr>
          <w:rFonts w:ascii="Arial" w:hAnsi="Arial" w:cs="Arial"/>
          <w:i/>
          <w:iCs/>
          <w:sz w:val="22"/>
          <w:szCs w:val="22"/>
        </w:rPr>
        <w:t>: Life expectancy losses in the United States from January 1, 2020, to May 7, 2022, by race and ethnicity. Estimated as the contribution of COVID-19 deaths towards all-cause mortality in the US life tables by Hispanic origin, race, and sex, based on age-specific death rates in 2019. Expected deaths without COVID-19 estimated by applying age-specific death rates (</w:t>
      </w:r>
      <w:proofErr w:type="spellStart"/>
      <w:r w:rsidR="00411E8D" w:rsidRPr="004E5DD6">
        <w:rPr>
          <w:rFonts w:ascii="Arial" w:hAnsi="Arial" w:cs="Arial"/>
          <w:i/>
          <w:iCs/>
          <w:sz w:val="22"/>
          <w:szCs w:val="22"/>
          <w:vertAlign w:val="subscript"/>
        </w:rPr>
        <w:t>n</w:t>
      </w:r>
      <w:r w:rsidR="00411E8D" w:rsidRPr="004E5DD6">
        <w:rPr>
          <w:rFonts w:ascii="Arial" w:hAnsi="Arial" w:cs="Arial"/>
          <w:i/>
          <w:iCs/>
          <w:sz w:val="22"/>
          <w:szCs w:val="22"/>
        </w:rPr>
        <w:t>M</w:t>
      </w:r>
      <w:r w:rsidR="00411E8D" w:rsidRPr="004E5DD6">
        <w:rPr>
          <w:rFonts w:ascii="Arial" w:hAnsi="Arial" w:cs="Arial"/>
          <w:i/>
          <w:iCs/>
          <w:sz w:val="22"/>
          <w:szCs w:val="22"/>
          <w:vertAlign w:val="subscript"/>
        </w:rPr>
        <w:t>x</w:t>
      </w:r>
      <w:proofErr w:type="spellEnd"/>
      <w:r w:rsidR="00411E8D" w:rsidRPr="004E5DD6">
        <w:rPr>
          <w:rFonts w:ascii="Arial" w:hAnsi="Arial" w:cs="Arial"/>
          <w:i/>
          <w:iCs/>
          <w:sz w:val="22"/>
          <w:szCs w:val="22"/>
        </w:rPr>
        <w:t xml:space="preserve">) to population counts in each age interval. </w:t>
      </w:r>
    </w:p>
    <w:p w14:paraId="27E29AE6" w14:textId="77777777" w:rsidR="00B1138B" w:rsidRDefault="00B1138B" w:rsidP="00A8461F">
      <w:pPr>
        <w:rPr>
          <w:rFonts w:ascii="Arial" w:hAnsi="Arial" w:cs="Arial"/>
          <w:b/>
          <w:bCs/>
          <w:sz w:val="22"/>
          <w:szCs w:val="22"/>
        </w:rPr>
      </w:pPr>
    </w:p>
    <w:p w14:paraId="58CCFB46" w14:textId="072B6C33" w:rsidR="00A8461F" w:rsidRPr="00B1138B" w:rsidRDefault="00A8461F" w:rsidP="00A8461F">
      <w:pPr>
        <w:rPr>
          <w:rFonts w:ascii="Arial" w:hAnsi="Arial" w:cs="Arial"/>
          <w:b/>
          <w:bCs/>
          <w:sz w:val="22"/>
          <w:szCs w:val="22"/>
        </w:rPr>
      </w:pPr>
      <w:r w:rsidRPr="00B1138B">
        <w:rPr>
          <w:rFonts w:ascii="Arial" w:hAnsi="Arial" w:cs="Arial"/>
          <w:b/>
          <w:bCs/>
          <w:sz w:val="22"/>
          <w:szCs w:val="22"/>
        </w:rPr>
        <w:t>References</w:t>
      </w:r>
    </w:p>
    <w:p w14:paraId="4AD09F98" w14:textId="77777777" w:rsidR="00A8461F" w:rsidRPr="00B1138B" w:rsidRDefault="00A8461F" w:rsidP="00A8461F">
      <w:pPr>
        <w:rPr>
          <w:rFonts w:ascii="Arial" w:hAnsi="Arial" w:cs="Arial"/>
          <w:sz w:val="22"/>
          <w:szCs w:val="22"/>
        </w:rPr>
      </w:pPr>
    </w:p>
    <w:p w14:paraId="57B2C06F" w14:textId="77777777" w:rsidR="00127728" w:rsidRPr="00127728" w:rsidRDefault="00A8461F" w:rsidP="00127728">
      <w:pPr>
        <w:pStyle w:val="Bibliography"/>
        <w:rPr>
          <w:rFonts w:ascii="Calibri" w:cs="Calibri"/>
          <w:sz w:val="22"/>
        </w:rPr>
      </w:pPr>
      <w:r w:rsidRPr="00B1138B">
        <w:rPr>
          <w:rFonts w:ascii="Arial" w:hAnsi="Arial" w:cs="Arial"/>
          <w:sz w:val="22"/>
          <w:szCs w:val="22"/>
        </w:rPr>
        <w:fldChar w:fldCharType="begin"/>
      </w:r>
      <w:r w:rsidR="00935036">
        <w:rPr>
          <w:rFonts w:ascii="Arial" w:hAnsi="Arial" w:cs="Arial"/>
          <w:sz w:val="22"/>
          <w:szCs w:val="22"/>
        </w:rPr>
        <w:instrText xml:space="preserve"> ADDIN ZOTERO_BIBL {"uncited":[],"omitted":[],"custom":[]} CSL_BIBLIOGRAPHY </w:instrText>
      </w:r>
      <w:r w:rsidRPr="00B1138B">
        <w:rPr>
          <w:rFonts w:ascii="Arial" w:hAnsi="Arial" w:cs="Arial"/>
          <w:sz w:val="22"/>
          <w:szCs w:val="22"/>
        </w:rPr>
        <w:fldChar w:fldCharType="separate"/>
      </w:r>
      <w:r w:rsidR="00127728" w:rsidRPr="00127728">
        <w:rPr>
          <w:rFonts w:ascii="Calibri" w:cs="Calibri"/>
          <w:sz w:val="22"/>
        </w:rPr>
        <w:t>1.</w:t>
      </w:r>
      <w:r w:rsidR="00127728" w:rsidRPr="00127728">
        <w:rPr>
          <w:rFonts w:ascii="Calibri" w:cs="Calibri"/>
          <w:sz w:val="22"/>
        </w:rPr>
        <w:tab/>
        <w:t xml:space="preserve">Arias, E. &amp; Xu, J. United States Life Tables, 2019. </w:t>
      </w:r>
      <w:r w:rsidR="00127728" w:rsidRPr="00127728">
        <w:rPr>
          <w:rFonts w:ascii="Calibri" w:cs="Calibri"/>
          <w:i/>
          <w:iCs/>
          <w:sz w:val="22"/>
        </w:rPr>
        <w:t>Natl Vital Stat Rep</w:t>
      </w:r>
      <w:r w:rsidR="00127728" w:rsidRPr="00127728">
        <w:rPr>
          <w:rFonts w:ascii="Calibri" w:cs="Calibri"/>
          <w:sz w:val="22"/>
        </w:rPr>
        <w:t xml:space="preserve"> </w:t>
      </w:r>
      <w:r w:rsidR="00127728" w:rsidRPr="00127728">
        <w:rPr>
          <w:rFonts w:ascii="Calibri" w:cs="Calibri"/>
          <w:b/>
          <w:bCs/>
          <w:sz w:val="22"/>
        </w:rPr>
        <w:t>70</w:t>
      </w:r>
      <w:r w:rsidR="00127728" w:rsidRPr="00127728">
        <w:rPr>
          <w:rFonts w:ascii="Calibri" w:cs="Calibri"/>
          <w:sz w:val="22"/>
        </w:rPr>
        <w:t>, 1–59 (2022).</w:t>
      </w:r>
    </w:p>
    <w:p w14:paraId="7F8D4F57" w14:textId="77777777" w:rsidR="00127728" w:rsidRPr="00127728" w:rsidRDefault="00127728" w:rsidP="00127728">
      <w:pPr>
        <w:pStyle w:val="Bibliography"/>
        <w:rPr>
          <w:rFonts w:ascii="Calibri" w:cs="Calibri"/>
          <w:sz w:val="22"/>
        </w:rPr>
      </w:pPr>
      <w:r w:rsidRPr="00127728">
        <w:rPr>
          <w:rFonts w:ascii="Calibri" w:cs="Calibri"/>
          <w:sz w:val="22"/>
        </w:rPr>
        <w:t>2.</w:t>
      </w:r>
      <w:r w:rsidRPr="00127728">
        <w:rPr>
          <w:rFonts w:ascii="Calibri" w:cs="Calibri"/>
          <w:sz w:val="22"/>
        </w:rPr>
        <w:tab/>
        <w:t xml:space="preserve">National Center for Health Statistics. Provisional COVID-19 Deaths by Race and Hispanic Origin, and Age. </w:t>
      </w:r>
      <w:r w:rsidRPr="00127728">
        <w:rPr>
          <w:rFonts w:ascii="Calibri" w:cs="Calibri"/>
          <w:i/>
          <w:iCs/>
          <w:sz w:val="22"/>
        </w:rPr>
        <w:t xml:space="preserve">Centers for Disease Control and Prevention. Data: Provisional COVID-19 Deaths by Race and </w:t>
      </w:r>
      <w:r w:rsidRPr="00127728">
        <w:rPr>
          <w:rFonts w:ascii="Calibri" w:cs="Calibri"/>
          <w:i/>
          <w:iCs/>
          <w:sz w:val="22"/>
        </w:rPr>
        <w:lastRenderedPageBreak/>
        <w:t>Hispanic Origin, and Age</w:t>
      </w:r>
      <w:r w:rsidRPr="00127728">
        <w:rPr>
          <w:rFonts w:ascii="Calibri" w:cs="Calibri"/>
          <w:sz w:val="22"/>
        </w:rPr>
        <w:t xml:space="preserve"> https://data.cdc.gov/NCHS/Provisional-COVID-19-Deaths-by-Race-and-Hispanic-O/ks3g-spdg.</w:t>
      </w:r>
    </w:p>
    <w:p w14:paraId="6B29C7D2" w14:textId="77777777" w:rsidR="00127728" w:rsidRPr="00127728" w:rsidRDefault="00127728" w:rsidP="00127728">
      <w:pPr>
        <w:pStyle w:val="Bibliography"/>
        <w:rPr>
          <w:rFonts w:ascii="Calibri" w:cs="Calibri"/>
          <w:sz w:val="22"/>
        </w:rPr>
      </w:pPr>
      <w:r w:rsidRPr="00127728">
        <w:rPr>
          <w:rFonts w:ascii="Calibri" w:cs="Calibri"/>
          <w:sz w:val="22"/>
        </w:rPr>
        <w:t>3.</w:t>
      </w:r>
      <w:r w:rsidRPr="00127728">
        <w:rPr>
          <w:rFonts w:ascii="Calibri" w:cs="Calibri"/>
          <w:sz w:val="22"/>
        </w:rPr>
        <w:tab/>
        <w:t xml:space="preserve">Preston, S., Heuveline, P. &amp; Guillot, M. </w:t>
      </w:r>
      <w:r w:rsidRPr="00127728">
        <w:rPr>
          <w:rFonts w:ascii="Calibri" w:cs="Calibri"/>
          <w:i/>
          <w:iCs/>
          <w:sz w:val="22"/>
        </w:rPr>
        <w:t>Demography: Measuring and Modeling Population Processes</w:t>
      </w:r>
      <w:r w:rsidRPr="00127728">
        <w:rPr>
          <w:rFonts w:ascii="Calibri" w:cs="Calibri"/>
          <w:sz w:val="22"/>
        </w:rPr>
        <w:t>. (Wiley-Blackwell, 2000).</w:t>
      </w:r>
    </w:p>
    <w:p w14:paraId="3CE3B003" w14:textId="77777777" w:rsidR="00127728" w:rsidRPr="00127728" w:rsidRDefault="00127728" w:rsidP="00127728">
      <w:pPr>
        <w:pStyle w:val="Bibliography"/>
        <w:rPr>
          <w:rFonts w:ascii="Calibri" w:cs="Calibri"/>
          <w:sz w:val="22"/>
        </w:rPr>
      </w:pPr>
      <w:r w:rsidRPr="00127728">
        <w:rPr>
          <w:rFonts w:ascii="Calibri" w:cs="Calibri"/>
          <w:sz w:val="22"/>
        </w:rPr>
        <w:t>4.</w:t>
      </w:r>
      <w:r w:rsidRPr="00127728">
        <w:rPr>
          <w:rFonts w:ascii="Calibri" w:cs="Calibri"/>
          <w:sz w:val="22"/>
        </w:rPr>
        <w:tab/>
        <w:t xml:space="preserve">Bureau, U. C. 2019 Population Estimates by Age, Sex, Race and Hispanic Origin. </w:t>
      </w:r>
      <w:r w:rsidRPr="00127728">
        <w:rPr>
          <w:rFonts w:ascii="Calibri" w:cs="Calibri"/>
          <w:i/>
          <w:iCs/>
          <w:sz w:val="22"/>
        </w:rPr>
        <w:t>Census.gov</w:t>
      </w:r>
      <w:r w:rsidRPr="00127728">
        <w:rPr>
          <w:rFonts w:ascii="Calibri" w:cs="Calibri"/>
          <w:sz w:val="22"/>
        </w:rPr>
        <w:t xml:space="preserve"> https://www.census.gov/newsroom/press-kits/2020/population-estimates-detailed.html.</w:t>
      </w:r>
    </w:p>
    <w:p w14:paraId="05E42C26" w14:textId="77777777" w:rsidR="00127728" w:rsidRPr="00127728" w:rsidRDefault="00127728" w:rsidP="00127728">
      <w:pPr>
        <w:pStyle w:val="Bibliography"/>
        <w:rPr>
          <w:rFonts w:ascii="Calibri" w:cs="Calibri"/>
          <w:sz w:val="22"/>
        </w:rPr>
      </w:pPr>
      <w:r w:rsidRPr="00127728">
        <w:rPr>
          <w:rFonts w:ascii="Calibri" w:cs="Calibri"/>
          <w:sz w:val="22"/>
        </w:rPr>
        <w:t>5.</w:t>
      </w:r>
      <w:r w:rsidRPr="00127728">
        <w:rPr>
          <w:rFonts w:ascii="Calibri" w:cs="Calibri"/>
          <w:sz w:val="22"/>
        </w:rPr>
        <w:tab/>
        <w:t xml:space="preserve">Jamison, D. T. </w:t>
      </w:r>
      <w:r w:rsidRPr="00127728">
        <w:rPr>
          <w:rFonts w:ascii="Calibri" w:cs="Calibri"/>
          <w:i/>
          <w:iCs/>
          <w:sz w:val="22"/>
        </w:rPr>
        <w:t>et al.</w:t>
      </w:r>
      <w:r w:rsidRPr="00127728">
        <w:rPr>
          <w:rFonts w:ascii="Calibri" w:cs="Calibri"/>
          <w:sz w:val="22"/>
        </w:rPr>
        <w:t xml:space="preserve"> Global health 2035: a world converging within a generation. </w:t>
      </w:r>
      <w:r w:rsidRPr="00127728">
        <w:rPr>
          <w:rFonts w:ascii="Calibri" w:cs="Calibri"/>
          <w:i/>
          <w:iCs/>
          <w:sz w:val="22"/>
        </w:rPr>
        <w:t>The Lancet</w:t>
      </w:r>
      <w:r w:rsidRPr="00127728">
        <w:rPr>
          <w:rFonts w:ascii="Calibri" w:cs="Calibri"/>
          <w:sz w:val="22"/>
        </w:rPr>
        <w:t xml:space="preserve"> </w:t>
      </w:r>
      <w:r w:rsidRPr="00127728">
        <w:rPr>
          <w:rFonts w:ascii="Calibri" w:cs="Calibri"/>
          <w:b/>
          <w:bCs/>
          <w:sz w:val="22"/>
        </w:rPr>
        <w:t>382</w:t>
      </w:r>
      <w:r w:rsidRPr="00127728">
        <w:rPr>
          <w:rFonts w:ascii="Calibri" w:cs="Calibri"/>
          <w:sz w:val="22"/>
        </w:rPr>
        <w:t>, 1898–1955 (2013).</w:t>
      </w:r>
    </w:p>
    <w:p w14:paraId="1D7E651B" w14:textId="77777777" w:rsidR="00127728" w:rsidRPr="00127728" w:rsidRDefault="00127728" w:rsidP="00127728">
      <w:pPr>
        <w:pStyle w:val="Bibliography"/>
        <w:rPr>
          <w:rFonts w:ascii="Calibri" w:cs="Calibri"/>
          <w:sz w:val="22"/>
        </w:rPr>
      </w:pPr>
      <w:r w:rsidRPr="00127728">
        <w:rPr>
          <w:rFonts w:ascii="Calibri" w:cs="Calibri"/>
          <w:sz w:val="22"/>
        </w:rPr>
        <w:t>6.</w:t>
      </w:r>
      <w:r w:rsidRPr="00127728">
        <w:rPr>
          <w:rFonts w:ascii="Calibri" w:cs="Calibri"/>
          <w:sz w:val="22"/>
        </w:rPr>
        <w:tab/>
        <w:t xml:space="preserve">Nordhaus, W. D. Irving Fisher and the Contribution of Improved Longevity to Living Standards. </w:t>
      </w:r>
      <w:r w:rsidRPr="00127728">
        <w:rPr>
          <w:rFonts w:ascii="Calibri" w:cs="Calibri"/>
          <w:i/>
          <w:iCs/>
          <w:sz w:val="22"/>
        </w:rPr>
        <w:t>The American Journal of Economics and Sociology</w:t>
      </w:r>
      <w:r w:rsidRPr="00127728">
        <w:rPr>
          <w:rFonts w:ascii="Calibri" w:cs="Calibri"/>
          <w:sz w:val="22"/>
        </w:rPr>
        <w:t xml:space="preserve"> </w:t>
      </w:r>
      <w:r w:rsidRPr="00127728">
        <w:rPr>
          <w:rFonts w:ascii="Calibri" w:cs="Calibri"/>
          <w:b/>
          <w:bCs/>
          <w:sz w:val="22"/>
        </w:rPr>
        <w:t>64</w:t>
      </w:r>
      <w:r w:rsidRPr="00127728">
        <w:rPr>
          <w:rFonts w:ascii="Calibri" w:cs="Calibri"/>
          <w:sz w:val="22"/>
        </w:rPr>
        <w:t>, 367–392 (2005).</w:t>
      </w:r>
    </w:p>
    <w:p w14:paraId="14F9723C" w14:textId="77777777" w:rsidR="00127728" w:rsidRPr="00127728" w:rsidRDefault="00127728" w:rsidP="00127728">
      <w:pPr>
        <w:pStyle w:val="Bibliography"/>
        <w:rPr>
          <w:rFonts w:ascii="Calibri" w:cs="Calibri"/>
          <w:sz w:val="22"/>
        </w:rPr>
      </w:pPr>
      <w:r w:rsidRPr="00127728">
        <w:rPr>
          <w:rFonts w:ascii="Calibri" w:cs="Calibri"/>
          <w:sz w:val="22"/>
        </w:rPr>
        <w:t>7.</w:t>
      </w:r>
      <w:r w:rsidRPr="00127728">
        <w:rPr>
          <w:rFonts w:ascii="Calibri" w:cs="Calibri"/>
          <w:sz w:val="22"/>
        </w:rPr>
        <w:tab/>
        <w:t>U.S. Bureau of Economic Analysis. U.S. Bureau of Economic Analysis (BEA), Gross Domestic Product, Table 1. Real Gross Domestic Product and Related Measures: Percent Change from Preceding Period. https://www.bea.gov/data/gdp/gross-domestic-product.</w:t>
      </w:r>
    </w:p>
    <w:p w14:paraId="40A02ED4" w14:textId="77777777" w:rsidR="00127728" w:rsidRPr="00127728" w:rsidRDefault="00127728" w:rsidP="00127728">
      <w:pPr>
        <w:pStyle w:val="Bibliography"/>
        <w:rPr>
          <w:rFonts w:ascii="Calibri" w:cs="Calibri"/>
          <w:sz w:val="22"/>
        </w:rPr>
      </w:pPr>
      <w:r w:rsidRPr="00127728">
        <w:rPr>
          <w:rFonts w:ascii="Calibri" w:cs="Calibri"/>
          <w:sz w:val="22"/>
        </w:rPr>
        <w:t>8.</w:t>
      </w:r>
      <w:r w:rsidRPr="00127728">
        <w:rPr>
          <w:rFonts w:ascii="Calibri" w:cs="Calibri"/>
          <w:sz w:val="22"/>
        </w:rPr>
        <w:tab/>
        <w:t>Global Burden of Disease Collaborative Network. Gross Domestic Product Per Capita 1960-2050. (2021) doi:10.6069/WC70-FC19.</w:t>
      </w:r>
    </w:p>
    <w:p w14:paraId="5C315C59" w14:textId="77777777" w:rsidR="00127728" w:rsidRPr="00127728" w:rsidRDefault="00127728" w:rsidP="00127728">
      <w:pPr>
        <w:pStyle w:val="Bibliography"/>
        <w:rPr>
          <w:rFonts w:ascii="Calibri" w:cs="Calibri"/>
          <w:sz w:val="22"/>
        </w:rPr>
      </w:pPr>
      <w:r w:rsidRPr="00127728">
        <w:rPr>
          <w:rFonts w:ascii="Calibri" w:cs="Calibri"/>
          <w:sz w:val="22"/>
        </w:rPr>
        <w:t>9.</w:t>
      </w:r>
      <w:r w:rsidRPr="00127728">
        <w:rPr>
          <w:rFonts w:ascii="Calibri" w:cs="Calibri"/>
          <w:sz w:val="22"/>
        </w:rPr>
        <w:tab/>
        <w:t xml:space="preserve">U.S. Department of Health and Human Services. Appendix D: Updating Value per Statistical Life (VSL) Estimates for Inflation and Changes in Real Income. </w:t>
      </w:r>
      <w:r w:rsidRPr="00127728">
        <w:rPr>
          <w:rFonts w:ascii="Calibri" w:cs="Calibri"/>
          <w:i/>
          <w:iCs/>
          <w:sz w:val="22"/>
        </w:rPr>
        <w:t>ASPE</w:t>
      </w:r>
      <w:r w:rsidRPr="00127728">
        <w:rPr>
          <w:rFonts w:ascii="Calibri" w:cs="Calibri"/>
          <w:sz w:val="22"/>
        </w:rPr>
        <w:t xml:space="preserve"> https://aspe.hhs.gov/reports/updating-vsl-estimates.</w:t>
      </w:r>
    </w:p>
    <w:p w14:paraId="6CB09A4C" w14:textId="77777777" w:rsidR="00127728" w:rsidRPr="00127728" w:rsidRDefault="00127728" w:rsidP="00127728">
      <w:pPr>
        <w:pStyle w:val="Bibliography"/>
        <w:rPr>
          <w:rFonts w:ascii="Calibri" w:cs="Calibri"/>
          <w:sz w:val="22"/>
        </w:rPr>
      </w:pPr>
      <w:r w:rsidRPr="00127728">
        <w:rPr>
          <w:rFonts w:ascii="Calibri" w:cs="Calibri"/>
          <w:sz w:val="22"/>
        </w:rPr>
        <w:t>10.</w:t>
      </w:r>
      <w:r w:rsidRPr="00127728">
        <w:rPr>
          <w:rFonts w:ascii="Calibri" w:cs="Calibri"/>
          <w:sz w:val="22"/>
        </w:rPr>
        <w:tab/>
        <w:t xml:space="preserve">Aldy, J. E. &amp; Viscusi, W. K. Adjusting the Value of a Statistical Life for Age and Cohort Effects. </w:t>
      </w:r>
      <w:r w:rsidRPr="00127728">
        <w:rPr>
          <w:rFonts w:ascii="Calibri" w:cs="Calibri"/>
          <w:i/>
          <w:iCs/>
          <w:sz w:val="22"/>
        </w:rPr>
        <w:t>The Review of Economics and Statistics</w:t>
      </w:r>
      <w:r w:rsidRPr="00127728">
        <w:rPr>
          <w:rFonts w:ascii="Calibri" w:cs="Calibri"/>
          <w:sz w:val="22"/>
        </w:rPr>
        <w:t xml:space="preserve"> </w:t>
      </w:r>
      <w:r w:rsidRPr="00127728">
        <w:rPr>
          <w:rFonts w:ascii="Calibri" w:cs="Calibri"/>
          <w:b/>
          <w:bCs/>
          <w:sz w:val="22"/>
        </w:rPr>
        <w:t>90</w:t>
      </w:r>
      <w:r w:rsidRPr="00127728">
        <w:rPr>
          <w:rFonts w:ascii="Calibri" w:cs="Calibri"/>
          <w:sz w:val="22"/>
        </w:rPr>
        <w:t>, 573–581 (2008).</w:t>
      </w:r>
    </w:p>
    <w:p w14:paraId="4E1C38E4" w14:textId="77777777" w:rsidR="00127728" w:rsidRPr="00127728" w:rsidRDefault="00127728" w:rsidP="00127728">
      <w:pPr>
        <w:pStyle w:val="Bibliography"/>
        <w:rPr>
          <w:rFonts w:ascii="Calibri" w:cs="Calibri"/>
          <w:sz w:val="22"/>
        </w:rPr>
      </w:pPr>
      <w:r w:rsidRPr="00127728">
        <w:rPr>
          <w:rFonts w:ascii="Calibri" w:cs="Calibri"/>
          <w:sz w:val="22"/>
        </w:rPr>
        <w:t>11.</w:t>
      </w:r>
      <w:r w:rsidRPr="00127728">
        <w:rPr>
          <w:rFonts w:ascii="Calibri" w:cs="Calibri"/>
          <w:sz w:val="22"/>
        </w:rPr>
        <w:tab/>
        <w:t>U.S. Bureau of Labor Statistics. U.S. Bureau of Labor Statistics, Table 2. Median usual weekly earnings of full-time wage and salary workers, not seasonally adjusted. https://www.bls.gov/webapps/legacy/cpswktab2.htm.</w:t>
      </w:r>
    </w:p>
    <w:p w14:paraId="2BBF503B" w14:textId="77777777" w:rsidR="00127728" w:rsidRPr="00127728" w:rsidRDefault="00127728" w:rsidP="00127728">
      <w:pPr>
        <w:pStyle w:val="Bibliography"/>
        <w:rPr>
          <w:rFonts w:ascii="Calibri" w:cs="Calibri"/>
          <w:sz w:val="22"/>
        </w:rPr>
      </w:pPr>
      <w:r w:rsidRPr="00127728">
        <w:rPr>
          <w:rFonts w:ascii="Calibri" w:cs="Calibri"/>
          <w:sz w:val="22"/>
        </w:rPr>
        <w:lastRenderedPageBreak/>
        <w:t>12.</w:t>
      </w:r>
      <w:r w:rsidRPr="00127728">
        <w:rPr>
          <w:rFonts w:ascii="Calibri" w:cs="Calibri"/>
          <w:sz w:val="22"/>
        </w:rPr>
        <w:tab/>
        <w:t>U.S. Bureau of Labor Statistics. U.S. Bureau of Labor Statistics: Consumer Price Index (CPI) Databases. https://www.bls.gov/cpi/data.htm.</w:t>
      </w:r>
    </w:p>
    <w:p w14:paraId="6575B342" w14:textId="77777777" w:rsidR="00127728" w:rsidRPr="00127728" w:rsidRDefault="00127728" w:rsidP="00127728">
      <w:pPr>
        <w:pStyle w:val="Bibliography"/>
        <w:rPr>
          <w:rFonts w:ascii="Calibri" w:cs="Calibri"/>
          <w:sz w:val="22"/>
        </w:rPr>
      </w:pPr>
      <w:r w:rsidRPr="00127728">
        <w:rPr>
          <w:rFonts w:ascii="Calibri" w:cs="Calibri"/>
          <w:sz w:val="22"/>
        </w:rPr>
        <w:t>13.</w:t>
      </w:r>
      <w:r w:rsidRPr="00127728">
        <w:rPr>
          <w:rFonts w:ascii="Calibri" w:cs="Calibri"/>
          <w:sz w:val="22"/>
        </w:rPr>
        <w:tab/>
        <w:t xml:space="preserve">Robinson, L. A., Sullivan, R. &amp; Shogren, J. F. Do the Benefits of COVID‐19 Policies Exceed the Costs? Exploring Uncertainties in the Age–VSL Relationship. </w:t>
      </w:r>
      <w:r w:rsidRPr="00127728">
        <w:rPr>
          <w:rFonts w:ascii="Calibri" w:cs="Calibri"/>
          <w:i/>
          <w:iCs/>
          <w:sz w:val="22"/>
        </w:rPr>
        <w:t>Risk Anal</w:t>
      </w:r>
      <w:r w:rsidRPr="00127728">
        <w:rPr>
          <w:rFonts w:ascii="Calibri" w:cs="Calibri"/>
          <w:sz w:val="22"/>
        </w:rPr>
        <w:t xml:space="preserve"> 10.1111/risa.13561 (2020) doi:10.1111/risa.13561.</w:t>
      </w:r>
    </w:p>
    <w:p w14:paraId="6F6AE448" w14:textId="77777777" w:rsidR="00127728" w:rsidRPr="00127728" w:rsidRDefault="00127728" w:rsidP="00127728">
      <w:pPr>
        <w:pStyle w:val="Bibliography"/>
        <w:rPr>
          <w:rFonts w:ascii="Calibri" w:cs="Calibri"/>
          <w:sz w:val="22"/>
        </w:rPr>
      </w:pPr>
      <w:r w:rsidRPr="00127728">
        <w:rPr>
          <w:rFonts w:ascii="Calibri" w:cs="Calibri"/>
          <w:sz w:val="22"/>
        </w:rPr>
        <w:t>14.</w:t>
      </w:r>
      <w:r w:rsidRPr="00127728">
        <w:rPr>
          <w:rFonts w:ascii="Calibri" w:cs="Calibri"/>
          <w:sz w:val="22"/>
        </w:rPr>
        <w:tab/>
        <w:t>World Bank Open Data | Data. https://data.worldbank.org/?year_high_desc=false.</w:t>
      </w:r>
    </w:p>
    <w:p w14:paraId="72C4A147" w14:textId="77777777" w:rsidR="00127728" w:rsidRPr="00127728" w:rsidRDefault="00127728" w:rsidP="00127728">
      <w:pPr>
        <w:pStyle w:val="Bibliography"/>
        <w:rPr>
          <w:rFonts w:ascii="Calibri" w:cs="Calibri"/>
          <w:sz w:val="22"/>
        </w:rPr>
      </w:pPr>
      <w:r w:rsidRPr="00127728">
        <w:rPr>
          <w:rFonts w:ascii="Calibri" w:cs="Calibri"/>
          <w:sz w:val="22"/>
        </w:rPr>
        <w:t>15.</w:t>
      </w:r>
      <w:r w:rsidRPr="00127728">
        <w:rPr>
          <w:rFonts w:ascii="Calibri" w:cs="Calibri"/>
          <w:sz w:val="22"/>
        </w:rPr>
        <w:tab/>
        <w:t xml:space="preserve">Orwa, T. O., Mbogo, R. W. &amp; Luboobi, L. S. Uncertainty and Sensitivity Analysis Applied to an In-Host Malaria Model with Multiple Vaccine Antigens. </w:t>
      </w:r>
      <w:r w:rsidRPr="00127728">
        <w:rPr>
          <w:rFonts w:ascii="Calibri" w:cs="Calibri"/>
          <w:i/>
          <w:iCs/>
          <w:sz w:val="22"/>
        </w:rPr>
        <w:t>Int. J. Appl. Comput. Math</w:t>
      </w:r>
      <w:r w:rsidRPr="00127728">
        <w:rPr>
          <w:rFonts w:ascii="Calibri" w:cs="Calibri"/>
          <w:sz w:val="22"/>
        </w:rPr>
        <w:t xml:space="preserve"> </w:t>
      </w:r>
      <w:r w:rsidRPr="00127728">
        <w:rPr>
          <w:rFonts w:ascii="Calibri" w:cs="Calibri"/>
          <w:b/>
          <w:bCs/>
          <w:sz w:val="22"/>
        </w:rPr>
        <w:t>5</w:t>
      </w:r>
      <w:r w:rsidRPr="00127728">
        <w:rPr>
          <w:rFonts w:ascii="Calibri" w:cs="Calibri"/>
          <w:sz w:val="22"/>
        </w:rPr>
        <w:t>, 73 (2019).</w:t>
      </w:r>
    </w:p>
    <w:p w14:paraId="7C6C1C32" w14:textId="77777777" w:rsidR="00127728" w:rsidRPr="00127728" w:rsidRDefault="00127728" w:rsidP="00127728">
      <w:pPr>
        <w:pStyle w:val="Bibliography"/>
        <w:rPr>
          <w:rFonts w:ascii="Calibri" w:cs="Calibri"/>
          <w:sz w:val="22"/>
        </w:rPr>
      </w:pPr>
      <w:r w:rsidRPr="00127728">
        <w:rPr>
          <w:rFonts w:ascii="Calibri" w:cs="Calibri"/>
          <w:sz w:val="22"/>
        </w:rPr>
        <w:t>16.</w:t>
      </w:r>
      <w:r w:rsidRPr="00127728">
        <w:rPr>
          <w:rFonts w:ascii="Calibri" w:cs="Calibri"/>
          <w:sz w:val="22"/>
        </w:rPr>
        <w:tab/>
        <w:t xml:space="preserve">Hammitt, J. K. &amp; Robinson, L. A. The Income Elasticity of the Value per Statistical Life: Transferring Estimates between High and Low Income Populations. </w:t>
      </w:r>
      <w:r w:rsidRPr="00127728">
        <w:rPr>
          <w:rFonts w:ascii="Calibri" w:cs="Calibri"/>
          <w:i/>
          <w:iCs/>
          <w:sz w:val="22"/>
        </w:rPr>
        <w:t>Journal of Benefit-Cost Analysis</w:t>
      </w:r>
      <w:r w:rsidRPr="00127728">
        <w:rPr>
          <w:rFonts w:ascii="Calibri" w:cs="Calibri"/>
          <w:sz w:val="22"/>
        </w:rPr>
        <w:t xml:space="preserve"> </w:t>
      </w:r>
      <w:r w:rsidRPr="00127728">
        <w:rPr>
          <w:rFonts w:ascii="Calibri" w:cs="Calibri"/>
          <w:b/>
          <w:bCs/>
          <w:sz w:val="22"/>
        </w:rPr>
        <w:t>2</w:t>
      </w:r>
      <w:r w:rsidRPr="00127728">
        <w:rPr>
          <w:rFonts w:ascii="Calibri" w:cs="Calibri"/>
          <w:sz w:val="22"/>
        </w:rPr>
        <w:t>, 1–29 (2011).</w:t>
      </w:r>
    </w:p>
    <w:p w14:paraId="0CB92356" w14:textId="0F866169" w:rsidR="00A8461F" w:rsidRPr="00B1138B" w:rsidRDefault="00A8461F" w:rsidP="00A8461F">
      <w:pPr>
        <w:rPr>
          <w:rFonts w:ascii="Arial" w:hAnsi="Arial" w:cs="Arial"/>
          <w:sz w:val="22"/>
          <w:szCs w:val="22"/>
        </w:rPr>
      </w:pPr>
      <w:r w:rsidRPr="00B1138B">
        <w:rPr>
          <w:rFonts w:ascii="Arial" w:hAnsi="Arial" w:cs="Arial"/>
          <w:sz w:val="22"/>
          <w:szCs w:val="22"/>
        </w:rPr>
        <w:fldChar w:fldCharType="end"/>
      </w:r>
    </w:p>
    <w:p w14:paraId="038DF4B8" w14:textId="77777777" w:rsidR="0071356C" w:rsidRPr="00B1138B" w:rsidRDefault="0071356C" w:rsidP="006F266E">
      <w:pPr>
        <w:rPr>
          <w:rFonts w:ascii="Arial" w:hAnsi="Arial" w:cs="Arial"/>
          <w:sz w:val="22"/>
          <w:szCs w:val="22"/>
        </w:rPr>
      </w:pPr>
    </w:p>
    <w:sectPr w:rsidR="0071356C" w:rsidRPr="00B1138B" w:rsidSect="007135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B7F9D"/>
    <w:multiLevelType w:val="hybridMultilevel"/>
    <w:tmpl w:val="A9C0BEEA"/>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580597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6FA"/>
    <w:rsid w:val="000023D3"/>
    <w:rsid w:val="00003C5E"/>
    <w:rsid w:val="000052AB"/>
    <w:rsid w:val="00015D79"/>
    <w:rsid w:val="00022988"/>
    <w:rsid w:val="000478CE"/>
    <w:rsid w:val="000501DF"/>
    <w:rsid w:val="00051DAA"/>
    <w:rsid w:val="00054DB4"/>
    <w:rsid w:val="00057396"/>
    <w:rsid w:val="00063A13"/>
    <w:rsid w:val="00073992"/>
    <w:rsid w:val="00074320"/>
    <w:rsid w:val="00083AB4"/>
    <w:rsid w:val="00087EEB"/>
    <w:rsid w:val="000978B4"/>
    <w:rsid w:val="000A33DA"/>
    <w:rsid w:val="000A4310"/>
    <w:rsid w:val="000C5212"/>
    <w:rsid w:val="000C5567"/>
    <w:rsid w:val="000D2F96"/>
    <w:rsid w:val="000F102B"/>
    <w:rsid w:val="000F37CE"/>
    <w:rsid w:val="001006EA"/>
    <w:rsid w:val="00117074"/>
    <w:rsid w:val="001210E2"/>
    <w:rsid w:val="00127728"/>
    <w:rsid w:val="001363CC"/>
    <w:rsid w:val="00144D98"/>
    <w:rsid w:val="0015168C"/>
    <w:rsid w:val="001546F1"/>
    <w:rsid w:val="00163E27"/>
    <w:rsid w:val="00185408"/>
    <w:rsid w:val="00190531"/>
    <w:rsid w:val="001910F0"/>
    <w:rsid w:val="00192A16"/>
    <w:rsid w:val="00196673"/>
    <w:rsid w:val="00197886"/>
    <w:rsid w:val="001A7D2F"/>
    <w:rsid w:val="001B5E12"/>
    <w:rsid w:val="001C3517"/>
    <w:rsid w:val="001C3FCF"/>
    <w:rsid w:val="001D4EF3"/>
    <w:rsid w:val="001D5257"/>
    <w:rsid w:val="001E2771"/>
    <w:rsid w:val="001E352F"/>
    <w:rsid w:val="001F1A2E"/>
    <w:rsid w:val="00203175"/>
    <w:rsid w:val="00210212"/>
    <w:rsid w:val="002250BB"/>
    <w:rsid w:val="00232546"/>
    <w:rsid w:val="00236514"/>
    <w:rsid w:val="00237127"/>
    <w:rsid w:val="00252114"/>
    <w:rsid w:val="0025414C"/>
    <w:rsid w:val="00283830"/>
    <w:rsid w:val="00293A32"/>
    <w:rsid w:val="002A0091"/>
    <w:rsid w:val="002A1AF1"/>
    <w:rsid w:val="002B0D6D"/>
    <w:rsid w:val="002C17A1"/>
    <w:rsid w:val="002C1FEC"/>
    <w:rsid w:val="002E3A18"/>
    <w:rsid w:val="002E536B"/>
    <w:rsid w:val="002E718C"/>
    <w:rsid w:val="002F64F9"/>
    <w:rsid w:val="00302373"/>
    <w:rsid w:val="0033043F"/>
    <w:rsid w:val="00331E90"/>
    <w:rsid w:val="0033369C"/>
    <w:rsid w:val="003422E7"/>
    <w:rsid w:val="003457F7"/>
    <w:rsid w:val="00345D88"/>
    <w:rsid w:val="003518E3"/>
    <w:rsid w:val="0035678D"/>
    <w:rsid w:val="00357B9F"/>
    <w:rsid w:val="003629F4"/>
    <w:rsid w:val="00364270"/>
    <w:rsid w:val="0036482D"/>
    <w:rsid w:val="00373E0E"/>
    <w:rsid w:val="00375FF6"/>
    <w:rsid w:val="00380A3E"/>
    <w:rsid w:val="00380E35"/>
    <w:rsid w:val="003830A1"/>
    <w:rsid w:val="0038586B"/>
    <w:rsid w:val="00395FBA"/>
    <w:rsid w:val="003A0ADB"/>
    <w:rsid w:val="003B7BBF"/>
    <w:rsid w:val="003B7D94"/>
    <w:rsid w:val="003C1889"/>
    <w:rsid w:val="003C24FF"/>
    <w:rsid w:val="003C2D44"/>
    <w:rsid w:val="003C728A"/>
    <w:rsid w:val="003D44D6"/>
    <w:rsid w:val="003E73A2"/>
    <w:rsid w:val="003F282C"/>
    <w:rsid w:val="003F3256"/>
    <w:rsid w:val="003F569C"/>
    <w:rsid w:val="003F5888"/>
    <w:rsid w:val="00405351"/>
    <w:rsid w:val="00410498"/>
    <w:rsid w:val="00411E8D"/>
    <w:rsid w:val="00422BB6"/>
    <w:rsid w:val="0043220A"/>
    <w:rsid w:val="004351F4"/>
    <w:rsid w:val="00441507"/>
    <w:rsid w:val="004444EC"/>
    <w:rsid w:val="004459DB"/>
    <w:rsid w:val="00450A9F"/>
    <w:rsid w:val="00452B5C"/>
    <w:rsid w:val="004558E7"/>
    <w:rsid w:val="0047278C"/>
    <w:rsid w:val="00472AA7"/>
    <w:rsid w:val="0047375E"/>
    <w:rsid w:val="004739AD"/>
    <w:rsid w:val="00480E69"/>
    <w:rsid w:val="00485157"/>
    <w:rsid w:val="00494C34"/>
    <w:rsid w:val="004A73AA"/>
    <w:rsid w:val="004B7B2E"/>
    <w:rsid w:val="004C6619"/>
    <w:rsid w:val="004D01AC"/>
    <w:rsid w:val="004D0D2D"/>
    <w:rsid w:val="004D0E32"/>
    <w:rsid w:val="004E0D07"/>
    <w:rsid w:val="004E5DD6"/>
    <w:rsid w:val="004F2D4D"/>
    <w:rsid w:val="00502E30"/>
    <w:rsid w:val="00503514"/>
    <w:rsid w:val="005110A5"/>
    <w:rsid w:val="005142AD"/>
    <w:rsid w:val="00516702"/>
    <w:rsid w:val="005204DF"/>
    <w:rsid w:val="00527077"/>
    <w:rsid w:val="00535C07"/>
    <w:rsid w:val="00541EBA"/>
    <w:rsid w:val="00544EB6"/>
    <w:rsid w:val="00552C45"/>
    <w:rsid w:val="00562BDE"/>
    <w:rsid w:val="00574EB9"/>
    <w:rsid w:val="00582737"/>
    <w:rsid w:val="0058277A"/>
    <w:rsid w:val="0059075A"/>
    <w:rsid w:val="00592E95"/>
    <w:rsid w:val="005A1C3D"/>
    <w:rsid w:val="005A6439"/>
    <w:rsid w:val="005B0388"/>
    <w:rsid w:val="005B4674"/>
    <w:rsid w:val="005B4B88"/>
    <w:rsid w:val="005B68CE"/>
    <w:rsid w:val="005B7830"/>
    <w:rsid w:val="005C33D2"/>
    <w:rsid w:val="005C407D"/>
    <w:rsid w:val="005C5E0A"/>
    <w:rsid w:val="005E4C7D"/>
    <w:rsid w:val="005F088C"/>
    <w:rsid w:val="005F1DB4"/>
    <w:rsid w:val="005F5AB3"/>
    <w:rsid w:val="005F5CF2"/>
    <w:rsid w:val="00614D5A"/>
    <w:rsid w:val="00620F58"/>
    <w:rsid w:val="00623F83"/>
    <w:rsid w:val="00630A6C"/>
    <w:rsid w:val="006329BB"/>
    <w:rsid w:val="00633D74"/>
    <w:rsid w:val="006353BD"/>
    <w:rsid w:val="00645259"/>
    <w:rsid w:val="0065468D"/>
    <w:rsid w:val="00667611"/>
    <w:rsid w:val="00671F09"/>
    <w:rsid w:val="006765B5"/>
    <w:rsid w:val="00676B19"/>
    <w:rsid w:val="00683ADB"/>
    <w:rsid w:val="00690577"/>
    <w:rsid w:val="006A4CFE"/>
    <w:rsid w:val="006A7C7D"/>
    <w:rsid w:val="006B1813"/>
    <w:rsid w:val="006B71DA"/>
    <w:rsid w:val="006B79E3"/>
    <w:rsid w:val="006C2156"/>
    <w:rsid w:val="006D7FFE"/>
    <w:rsid w:val="006E1D02"/>
    <w:rsid w:val="006E1FD5"/>
    <w:rsid w:val="006F266E"/>
    <w:rsid w:val="006F39DC"/>
    <w:rsid w:val="00707D22"/>
    <w:rsid w:val="00711102"/>
    <w:rsid w:val="00711FEE"/>
    <w:rsid w:val="0071356C"/>
    <w:rsid w:val="007308DA"/>
    <w:rsid w:val="00732D69"/>
    <w:rsid w:val="00734B6C"/>
    <w:rsid w:val="00740806"/>
    <w:rsid w:val="0074162F"/>
    <w:rsid w:val="007467F2"/>
    <w:rsid w:val="0074756F"/>
    <w:rsid w:val="00750F1D"/>
    <w:rsid w:val="00752697"/>
    <w:rsid w:val="00753E58"/>
    <w:rsid w:val="007629A6"/>
    <w:rsid w:val="00774F2B"/>
    <w:rsid w:val="007862D3"/>
    <w:rsid w:val="00790F20"/>
    <w:rsid w:val="00795DC2"/>
    <w:rsid w:val="007A25AA"/>
    <w:rsid w:val="007B15BD"/>
    <w:rsid w:val="007B28F1"/>
    <w:rsid w:val="007D4EE6"/>
    <w:rsid w:val="007D7B1C"/>
    <w:rsid w:val="00806E75"/>
    <w:rsid w:val="008152C2"/>
    <w:rsid w:val="00815DB6"/>
    <w:rsid w:val="0082415E"/>
    <w:rsid w:val="00831A74"/>
    <w:rsid w:val="00844365"/>
    <w:rsid w:val="008446E6"/>
    <w:rsid w:val="00854017"/>
    <w:rsid w:val="00855589"/>
    <w:rsid w:val="00863B31"/>
    <w:rsid w:val="008702D7"/>
    <w:rsid w:val="008750CB"/>
    <w:rsid w:val="00877702"/>
    <w:rsid w:val="0088395E"/>
    <w:rsid w:val="00884633"/>
    <w:rsid w:val="008A115E"/>
    <w:rsid w:val="008A5DB9"/>
    <w:rsid w:val="008B2EDA"/>
    <w:rsid w:val="008D27D4"/>
    <w:rsid w:val="008E2458"/>
    <w:rsid w:val="008E38FB"/>
    <w:rsid w:val="008E56F6"/>
    <w:rsid w:val="008F29DE"/>
    <w:rsid w:val="0090618C"/>
    <w:rsid w:val="00932AA3"/>
    <w:rsid w:val="00935036"/>
    <w:rsid w:val="009441BC"/>
    <w:rsid w:val="009515BB"/>
    <w:rsid w:val="00972812"/>
    <w:rsid w:val="00974A99"/>
    <w:rsid w:val="009759CF"/>
    <w:rsid w:val="0099043D"/>
    <w:rsid w:val="009977C4"/>
    <w:rsid w:val="009A0364"/>
    <w:rsid w:val="009A2AD5"/>
    <w:rsid w:val="009A3E9E"/>
    <w:rsid w:val="009D49BE"/>
    <w:rsid w:val="009D534C"/>
    <w:rsid w:val="009D5910"/>
    <w:rsid w:val="009E405E"/>
    <w:rsid w:val="009F36D5"/>
    <w:rsid w:val="009F692F"/>
    <w:rsid w:val="009F7575"/>
    <w:rsid w:val="00A002E1"/>
    <w:rsid w:val="00A014CB"/>
    <w:rsid w:val="00A05275"/>
    <w:rsid w:val="00A1154F"/>
    <w:rsid w:val="00A213DA"/>
    <w:rsid w:val="00A26B01"/>
    <w:rsid w:val="00A31551"/>
    <w:rsid w:val="00A52F0E"/>
    <w:rsid w:val="00A535E1"/>
    <w:rsid w:val="00A56415"/>
    <w:rsid w:val="00A577E8"/>
    <w:rsid w:val="00A62A9B"/>
    <w:rsid w:val="00A636ED"/>
    <w:rsid w:val="00A73F79"/>
    <w:rsid w:val="00A76605"/>
    <w:rsid w:val="00A80FBB"/>
    <w:rsid w:val="00A83B52"/>
    <w:rsid w:val="00A8461F"/>
    <w:rsid w:val="00A9725D"/>
    <w:rsid w:val="00A97D6C"/>
    <w:rsid w:val="00AA62BA"/>
    <w:rsid w:val="00AB26E7"/>
    <w:rsid w:val="00AB287B"/>
    <w:rsid w:val="00AB309F"/>
    <w:rsid w:val="00AD1EE1"/>
    <w:rsid w:val="00AD38EC"/>
    <w:rsid w:val="00AE4615"/>
    <w:rsid w:val="00AE585F"/>
    <w:rsid w:val="00AF5279"/>
    <w:rsid w:val="00B01B1F"/>
    <w:rsid w:val="00B0311B"/>
    <w:rsid w:val="00B035ED"/>
    <w:rsid w:val="00B037EE"/>
    <w:rsid w:val="00B102AE"/>
    <w:rsid w:val="00B1138B"/>
    <w:rsid w:val="00B2090A"/>
    <w:rsid w:val="00B23B79"/>
    <w:rsid w:val="00B3771D"/>
    <w:rsid w:val="00B4129D"/>
    <w:rsid w:val="00B46FED"/>
    <w:rsid w:val="00B53879"/>
    <w:rsid w:val="00B61298"/>
    <w:rsid w:val="00B70AFD"/>
    <w:rsid w:val="00B70FCC"/>
    <w:rsid w:val="00B72C74"/>
    <w:rsid w:val="00B75AED"/>
    <w:rsid w:val="00B8030A"/>
    <w:rsid w:val="00B82EFB"/>
    <w:rsid w:val="00BA05B4"/>
    <w:rsid w:val="00BA0FB0"/>
    <w:rsid w:val="00BA2BDE"/>
    <w:rsid w:val="00BB4EEC"/>
    <w:rsid w:val="00BD08A5"/>
    <w:rsid w:val="00BD289C"/>
    <w:rsid w:val="00BE2886"/>
    <w:rsid w:val="00BE5222"/>
    <w:rsid w:val="00BE6877"/>
    <w:rsid w:val="00BF2406"/>
    <w:rsid w:val="00C02A0C"/>
    <w:rsid w:val="00C02A98"/>
    <w:rsid w:val="00C135BA"/>
    <w:rsid w:val="00C136A2"/>
    <w:rsid w:val="00C20469"/>
    <w:rsid w:val="00C22C73"/>
    <w:rsid w:val="00C246EC"/>
    <w:rsid w:val="00C25BE5"/>
    <w:rsid w:val="00C4139A"/>
    <w:rsid w:val="00C447B0"/>
    <w:rsid w:val="00C516D5"/>
    <w:rsid w:val="00C5331C"/>
    <w:rsid w:val="00C53817"/>
    <w:rsid w:val="00C5619A"/>
    <w:rsid w:val="00C67663"/>
    <w:rsid w:val="00C7097F"/>
    <w:rsid w:val="00C7264A"/>
    <w:rsid w:val="00C74FA3"/>
    <w:rsid w:val="00C75055"/>
    <w:rsid w:val="00C87545"/>
    <w:rsid w:val="00C9078D"/>
    <w:rsid w:val="00C941B1"/>
    <w:rsid w:val="00CB10EB"/>
    <w:rsid w:val="00CB69D7"/>
    <w:rsid w:val="00CC357F"/>
    <w:rsid w:val="00CC3A79"/>
    <w:rsid w:val="00CC6807"/>
    <w:rsid w:val="00CD22B0"/>
    <w:rsid w:val="00CD29B4"/>
    <w:rsid w:val="00CD4E28"/>
    <w:rsid w:val="00CF0865"/>
    <w:rsid w:val="00CF1FC1"/>
    <w:rsid w:val="00CF2FD9"/>
    <w:rsid w:val="00CF4079"/>
    <w:rsid w:val="00CF47DC"/>
    <w:rsid w:val="00D13257"/>
    <w:rsid w:val="00D16E6B"/>
    <w:rsid w:val="00D239FB"/>
    <w:rsid w:val="00D26304"/>
    <w:rsid w:val="00D32C19"/>
    <w:rsid w:val="00D45742"/>
    <w:rsid w:val="00D553B9"/>
    <w:rsid w:val="00D5715D"/>
    <w:rsid w:val="00D60FA7"/>
    <w:rsid w:val="00D61CC7"/>
    <w:rsid w:val="00D644FB"/>
    <w:rsid w:val="00D70067"/>
    <w:rsid w:val="00D700E0"/>
    <w:rsid w:val="00D706FA"/>
    <w:rsid w:val="00D738F1"/>
    <w:rsid w:val="00D73E25"/>
    <w:rsid w:val="00D76FA6"/>
    <w:rsid w:val="00D84ACA"/>
    <w:rsid w:val="00D90709"/>
    <w:rsid w:val="00D90872"/>
    <w:rsid w:val="00DA17AD"/>
    <w:rsid w:val="00DA18E1"/>
    <w:rsid w:val="00DA1EBB"/>
    <w:rsid w:val="00DA658B"/>
    <w:rsid w:val="00DA7D2C"/>
    <w:rsid w:val="00DA7F65"/>
    <w:rsid w:val="00DB273C"/>
    <w:rsid w:val="00DB53FE"/>
    <w:rsid w:val="00DC255B"/>
    <w:rsid w:val="00DD6A07"/>
    <w:rsid w:val="00DE60BC"/>
    <w:rsid w:val="00DF136B"/>
    <w:rsid w:val="00E052C3"/>
    <w:rsid w:val="00E05F6E"/>
    <w:rsid w:val="00E17BD0"/>
    <w:rsid w:val="00E2040A"/>
    <w:rsid w:val="00E40B9B"/>
    <w:rsid w:val="00E443CB"/>
    <w:rsid w:val="00E46A78"/>
    <w:rsid w:val="00E52537"/>
    <w:rsid w:val="00E53E86"/>
    <w:rsid w:val="00E54AE1"/>
    <w:rsid w:val="00E614D5"/>
    <w:rsid w:val="00E64A93"/>
    <w:rsid w:val="00E65513"/>
    <w:rsid w:val="00E6692D"/>
    <w:rsid w:val="00E67AA6"/>
    <w:rsid w:val="00E67F4E"/>
    <w:rsid w:val="00E71981"/>
    <w:rsid w:val="00E74DEB"/>
    <w:rsid w:val="00E75300"/>
    <w:rsid w:val="00E80ACC"/>
    <w:rsid w:val="00E82C13"/>
    <w:rsid w:val="00E84E8F"/>
    <w:rsid w:val="00E85D01"/>
    <w:rsid w:val="00EB72F4"/>
    <w:rsid w:val="00EC4F26"/>
    <w:rsid w:val="00ED16D1"/>
    <w:rsid w:val="00EE13D0"/>
    <w:rsid w:val="00F07232"/>
    <w:rsid w:val="00F13079"/>
    <w:rsid w:val="00F21315"/>
    <w:rsid w:val="00F34417"/>
    <w:rsid w:val="00F41D93"/>
    <w:rsid w:val="00F46E65"/>
    <w:rsid w:val="00F75985"/>
    <w:rsid w:val="00F836A2"/>
    <w:rsid w:val="00F856B1"/>
    <w:rsid w:val="00F9011B"/>
    <w:rsid w:val="00F95C6A"/>
    <w:rsid w:val="00F9635A"/>
    <w:rsid w:val="00FA2414"/>
    <w:rsid w:val="00FA4127"/>
    <w:rsid w:val="00FB54C2"/>
    <w:rsid w:val="00FB588E"/>
    <w:rsid w:val="00FC6E31"/>
    <w:rsid w:val="00FC79BD"/>
    <w:rsid w:val="00FC79D8"/>
    <w:rsid w:val="00FD5E55"/>
    <w:rsid w:val="00FE7344"/>
    <w:rsid w:val="00FF75DF"/>
    <w:rsid w:val="00FF7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F60B38"/>
  <w15:docId w15:val="{C9C5141C-D932-074C-A204-7D978C659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aliases w:val="Heading-Thesis 1"/>
    <w:basedOn w:val="Normal"/>
    <w:next w:val="Normal"/>
    <w:link w:val="Heading1Char"/>
    <w:uiPriority w:val="9"/>
    <w:qFormat/>
    <w:rsid w:val="001C3FCF"/>
    <w:pPr>
      <w:keepNext/>
      <w:keepLines/>
      <w:spacing w:before="240"/>
      <w:outlineLvl w:val="0"/>
    </w:pPr>
    <w:rPr>
      <w:rFonts w:ascii="Times New Roman" w:eastAsiaTheme="majorEastAsia" w:hAnsi="Times New Roman" w:cstheme="majorBidi"/>
      <w:b/>
      <w:color w:val="000000" w:themeColor="text1"/>
      <w:sz w:val="32"/>
      <w:szCs w:val="32"/>
    </w:rPr>
  </w:style>
  <w:style w:type="paragraph" w:styleId="Heading2">
    <w:name w:val="heading 2"/>
    <w:aliases w:val="Heading 2-Custom"/>
    <w:basedOn w:val="Normal"/>
    <w:next w:val="Normal"/>
    <w:link w:val="Heading2Char"/>
    <w:autoRedefine/>
    <w:uiPriority w:val="9"/>
    <w:semiHidden/>
    <w:unhideWhenUsed/>
    <w:qFormat/>
    <w:rsid w:val="00C246EC"/>
    <w:pPr>
      <w:keepNext/>
      <w:keepLines/>
      <w:spacing w:before="40"/>
      <w:outlineLvl w:val="1"/>
    </w:pPr>
    <w:rPr>
      <w:rFonts w:ascii="Times New Roman" w:eastAsiaTheme="majorEastAsia" w:hAnsi="Times New Roman"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Thesis 1 Char"/>
    <w:basedOn w:val="DefaultParagraphFont"/>
    <w:link w:val="Heading1"/>
    <w:uiPriority w:val="9"/>
    <w:rsid w:val="001C3FCF"/>
    <w:rPr>
      <w:rFonts w:ascii="Times New Roman" w:eastAsiaTheme="majorEastAsia" w:hAnsi="Times New Roman" w:cstheme="majorBidi"/>
      <w:b/>
      <w:color w:val="000000" w:themeColor="text1"/>
      <w:sz w:val="32"/>
      <w:szCs w:val="32"/>
    </w:rPr>
  </w:style>
  <w:style w:type="character" w:customStyle="1" w:styleId="Heading2Char">
    <w:name w:val="Heading 2 Char"/>
    <w:aliases w:val="Heading 2-Custom Char"/>
    <w:basedOn w:val="DefaultParagraphFont"/>
    <w:link w:val="Heading2"/>
    <w:uiPriority w:val="9"/>
    <w:semiHidden/>
    <w:rsid w:val="00C246EC"/>
    <w:rPr>
      <w:rFonts w:ascii="Times New Roman" w:eastAsiaTheme="majorEastAsia" w:hAnsi="Times New Roman" w:cstheme="majorBidi"/>
      <w:b/>
      <w:color w:val="000000" w:themeColor="text1"/>
      <w:sz w:val="26"/>
      <w:szCs w:val="26"/>
    </w:rPr>
  </w:style>
  <w:style w:type="paragraph" w:styleId="ListParagraph">
    <w:name w:val="List Paragraph"/>
    <w:basedOn w:val="Normal"/>
    <w:uiPriority w:val="34"/>
    <w:qFormat/>
    <w:rsid w:val="009A0364"/>
    <w:pPr>
      <w:ind w:left="720"/>
      <w:contextualSpacing/>
    </w:pPr>
    <w:rPr>
      <w:rFonts w:ascii="Times New Roman" w:eastAsiaTheme="minorHAnsi" w:hAnsi="Times New Roman"/>
      <w:sz w:val="22"/>
    </w:rPr>
  </w:style>
  <w:style w:type="character" w:styleId="Hyperlink">
    <w:name w:val="Hyperlink"/>
    <w:basedOn w:val="DefaultParagraphFont"/>
    <w:uiPriority w:val="99"/>
    <w:unhideWhenUsed/>
    <w:rsid w:val="003C1889"/>
    <w:rPr>
      <w:color w:val="0563C1" w:themeColor="hyperlink"/>
      <w:u w:val="single"/>
    </w:rPr>
  </w:style>
  <w:style w:type="character" w:styleId="UnresolvedMention">
    <w:name w:val="Unresolved Mention"/>
    <w:basedOn w:val="DefaultParagraphFont"/>
    <w:uiPriority w:val="99"/>
    <w:rsid w:val="003C1889"/>
    <w:rPr>
      <w:color w:val="605E5C"/>
      <w:shd w:val="clear" w:color="auto" w:fill="E1DFDD"/>
    </w:rPr>
  </w:style>
  <w:style w:type="character" w:styleId="FollowedHyperlink">
    <w:name w:val="FollowedHyperlink"/>
    <w:basedOn w:val="DefaultParagraphFont"/>
    <w:uiPriority w:val="99"/>
    <w:semiHidden/>
    <w:unhideWhenUsed/>
    <w:rsid w:val="007B15BD"/>
    <w:rPr>
      <w:color w:val="954F72" w:themeColor="followedHyperlink"/>
      <w:u w:val="single"/>
    </w:rPr>
  </w:style>
  <w:style w:type="character" w:styleId="CommentReference">
    <w:name w:val="annotation reference"/>
    <w:basedOn w:val="DefaultParagraphFont"/>
    <w:uiPriority w:val="99"/>
    <w:semiHidden/>
    <w:unhideWhenUsed/>
    <w:rsid w:val="00AD1EE1"/>
    <w:rPr>
      <w:sz w:val="16"/>
      <w:szCs w:val="16"/>
    </w:rPr>
  </w:style>
  <w:style w:type="paragraph" w:styleId="CommentText">
    <w:name w:val="annotation text"/>
    <w:basedOn w:val="Normal"/>
    <w:link w:val="CommentTextChar"/>
    <w:uiPriority w:val="99"/>
    <w:semiHidden/>
    <w:unhideWhenUsed/>
    <w:rsid w:val="00AD1EE1"/>
    <w:rPr>
      <w:sz w:val="20"/>
      <w:szCs w:val="20"/>
    </w:rPr>
  </w:style>
  <w:style w:type="character" w:customStyle="1" w:styleId="CommentTextChar">
    <w:name w:val="Comment Text Char"/>
    <w:basedOn w:val="DefaultParagraphFont"/>
    <w:link w:val="CommentText"/>
    <w:uiPriority w:val="99"/>
    <w:semiHidden/>
    <w:rsid w:val="00AD1EE1"/>
    <w:rPr>
      <w:rFonts w:eastAsiaTheme="minorEastAsia"/>
      <w:sz w:val="20"/>
      <w:szCs w:val="20"/>
    </w:rPr>
  </w:style>
  <w:style w:type="table" w:styleId="TableGrid">
    <w:name w:val="Table Grid"/>
    <w:basedOn w:val="TableNormal"/>
    <w:uiPriority w:val="39"/>
    <w:rsid w:val="00C90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46A78"/>
    <w:pPr>
      <w:tabs>
        <w:tab w:val="left" w:pos="380"/>
      </w:tabs>
      <w:spacing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870978">
      <w:bodyDiv w:val="1"/>
      <w:marLeft w:val="0"/>
      <w:marRight w:val="0"/>
      <w:marTop w:val="0"/>
      <w:marBottom w:val="0"/>
      <w:divBdr>
        <w:top w:val="none" w:sz="0" w:space="0" w:color="auto"/>
        <w:left w:val="none" w:sz="0" w:space="0" w:color="auto"/>
        <w:bottom w:val="none" w:sz="0" w:space="0" w:color="auto"/>
        <w:right w:val="none" w:sz="0" w:space="0" w:color="auto"/>
      </w:divBdr>
    </w:div>
    <w:div w:id="1312756559">
      <w:bodyDiv w:val="1"/>
      <w:marLeft w:val="0"/>
      <w:marRight w:val="0"/>
      <w:marTop w:val="0"/>
      <w:marBottom w:val="0"/>
      <w:divBdr>
        <w:top w:val="none" w:sz="0" w:space="0" w:color="auto"/>
        <w:left w:val="none" w:sz="0" w:space="0" w:color="auto"/>
        <w:bottom w:val="none" w:sz="0" w:space="0" w:color="auto"/>
        <w:right w:val="none" w:sz="0" w:space="0" w:color="auto"/>
      </w:divBdr>
    </w:div>
    <w:div w:id="1621255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5480</Words>
  <Characters>31237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Silva</dc:creator>
  <cp:keywords/>
  <dc:description/>
  <cp:lastModifiedBy>Reid, Mike</cp:lastModifiedBy>
  <cp:revision>2</cp:revision>
  <dcterms:created xsi:type="dcterms:W3CDTF">2022-08-07T09:25:00Z</dcterms:created>
  <dcterms:modified xsi:type="dcterms:W3CDTF">2022-08-07T09:25:00Z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id="lCsdUcq9"/&gt;&lt;style id="http://www.zotero.org/styles/nature" hasBibliography="1" bibliographyStyleHasBeenSet="1"/&gt;&lt;prefs&gt;&lt;pref name="fieldType" value="Field"/&gt;&lt;/prefs&gt;&lt;/data&gt;</vt:lpwstr>
  </property>
</Properties>
</file>