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Figures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1413038</wp:posOffset>
            </wp:positionH>
            <wp:positionV relativeFrom="paragraph">
              <wp:posOffset>285750</wp:posOffset>
            </wp:positionV>
            <wp:extent cx="2908959" cy="2902362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8959" cy="29023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b w:val="1"/>
          <w:rtl w:val="0"/>
        </w:rPr>
        <w:t xml:space="preserve">Supplementary Figure S1. Relative abundance of ARGs. </w:t>
      </w:r>
      <w:r w:rsidDel="00000000" w:rsidR="00000000" w:rsidRPr="00000000">
        <w:rPr>
          <w:rtl w:val="0"/>
        </w:rPr>
        <w:t xml:space="preserve">Boxplots showing the relative abundance of ARGs in the three metagenomic clusters.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1209675</wp:posOffset>
            </wp:positionH>
            <wp:positionV relativeFrom="paragraph">
              <wp:posOffset>144875</wp:posOffset>
            </wp:positionV>
            <wp:extent cx="3300413" cy="3292517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0413" cy="32925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b w:val="1"/>
          <w:rtl w:val="0"/>
        </w:rPr>
        <w:t xml:space="preserve">Supplementary Figure S2. Analysis of ARGs and non-human species. </w:t>
      </w:r>
      <w:r w:rsidDel="00000000" w:rsidR="00000000" w:rsidRPr="00000000">
        <w:rPr>
          <w:rtl w:val="0"/>
        </w:rPr>
        <w:t xml:space="preserve">Lack of significant linear correlation between the relative abundance of ARGs and non-human species. Dots are colored according to the three metagenomic clusters.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31914</wp:posOffset>
            </wp:positionH>
            <wp:positionV relativeFrom="paragraph">
              <wp:posOffset>171450</wp:posOffset>
            </wp:positionV>
            <wp:extent cx="5662613" cy="5853845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2613" cy="5853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b w:val="1"/>
          <w:rtl w:val="0"/>
        </w:rPr>
        <w:t xml:space="preserve">Supplementary Figure S3.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Schematic representation of the pKPC-146 plasmid.</w:t>
      </w:r>
      <w:r w:rsidDel="00000000" w:rsidR="00000000" w:rsidRPr="00000000">
        <w:rPr>
          <w:rtl w:val="0"/>
        </w:rPr>
        <w:t xml:space="preserve"> Circular representation of the pKPC-146 plasmid with annotated genes. Genes are colored according to their functions: plasmid conjugation (skyblue), hypothetical (gray), antibiotic resistance (green), mercuric resistance (yellow), other functions (purple), transposons (pink). The KPC carbapenemase gene is highlighted in red.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