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2C85" w14:textId="77777777" w:rsidR="006A6339" w:rsidRPr="008226E2" w:rsidRDefault="006A6339" w:rsidP="006A6339">
      <w:pPr>
        <w:spacing w:line="480" w:lineRule="auto"/>
        <w:rPr>
          <w:b/>
          <w:bCs/>
          <w:lang w:val="en-GB"/>
        </w:rPr>
      </w:pPr>
      <w:r w:rsidRPr="008226E2">
        <w:rPr>
          <w:b/>
          <w:bCs/>
          <w:lang w:val="en-GB"/>
        </w:rPr>
        <w:t xml:space="preserve">Supplementary information </w:t>
      </w:r>
    </w:p>
    <w:p w14:paraId="748E962B" w14:textId="77777777" w:rsidR="006A6339" w:rsidRPr="008226E2" w:rsidRDefault="006A6339" w:rsidP="006A6339">
      <w:pPr>
        <w:spacing w:line="480" w:lineRule="auto"/>
        <w:rPr>
          <w:lang w:val="en-GB"/>
        </w:rPr>
      </w:pPr>
    </w:p>
    <w:p w14:paraId="1D23D8F9" w14:textId="77777777" w:rsidR="006A6339" w:rsidRPr="00282F72" w:rsidRDefault="006A6339" w:rsidP="006A6339">
      <w:pPr>
        <w:keepNext/>
        <w:spacing w:line="480" w:lineRule="auto"/>
        <w:rPr>
          <w:lang w:val="en-GB"/>
        </w:rPr>
      </w:pPr>
      <w:r w:rsidRPr="00282F72">
        <w:rPr>
          <w:noProof/>
          <w:lang w:eastAsia="sv-SE"/>
        </w:rPr>
        <w:drawing>
          <wp:inline distT="0" distB="0" distL="0" distR="0" wp14:anchorId="68650BE1" wp14:editId="07859D05">
            <wp:extent cx="6148032" cy="2068643"/>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75267" cy="2077807"/>
                    </a:xfrm>
                    <a:prstGeom prst="rect">
                      <a:avLst/>
                    </a:prstGeom>
                  </pic:spPr>
                </pic:pic>
              </a:graphicData>
            </a:graphic>
          </wp:inline>
        </w:drawing>
      </w:r>
    </w:p>
    <w:p w14:paraId="03478AEC" w14:textId="77777777" w:rsidR="006A6339" w:rsidRPr="00282F72" w:rsidRDefault="006A6339" w:rsidP="006A6339">
      <w:pPr>
        <w:pStyle w:val="Caption"/>
        <w:spacing w:line="480" w:lineRule="auto"/>
        <w:rPr>
          <w:i w:val="0"/>
          <w:iCs w:val="0"/>
          <w:color w:val="000000" w:themeColor="text1"/>
          <w:sz w:val="20"/>
          <w:szCs w:val="20"/>
          <w:lang w:val="en-GB"/>
        </w:rPr>
      </w:pPr>
      <w:r w:rsidRPr="00282F72">
        <w:rPr>
          <w:b/>
          <w:bCs/>
          <w:i w:val="0"/>
          <w:iCs w:val="0"/>
          <w:color w:val="000000" w:themeColor="text1"/>
          <w:sz w:val="20"/>
          <w:szCs w:val="20"/>
          <w:lang w:val="en-GB"/>
        </w:rPr>
        <w:t xml:space="preserve">Supplementary Figure </w:t>
      </w:r>
      <w:r>
        <w:rPr>
          <w:b/>
          <w:bCs/>
          <w:i w:val="0"/>
          <w:iCs w:val="0"/>
          <w:color w:val="000000" w:themeColor="text1"/>
          <w:sz w:val="20"/>
          <w:szCs w:val="20"/>
          <w:lang w:val="en-GB"/>
        </w:rPr>
        <w:t>1</w:t>
      </w:r>
      <w:r w:rsidRPr="00282F72">
        <w:rPr>
          <w:i w:val="0"/>
          <w:iCs w:val="0"/>
          <w:color w:val="000000" w:themeColor="text1"/>
          <w:sz w:val="20"/>
          <w:szCs w:val="20"/>
          <w:lang w:val="en-GB"/>
        </w:rPr>
        <w:t xml:space="preserve"> Binding selectivity of anti-A</w:t>
      </w:r>
      <w:r w:rsidRPr="00282F72">
        <w:rPr>
          <w:i w:val="0"/>
          <w:iCs w:val="0"/>
          <w:color w:val="000000" w:themeColor="text1"/>
          <w:sz w:val="20"/>
          <w:szCs w:val="20"/>
          <w:lang w:val="en-GB"/>
        </w:rPr>
        <w:sym w:font="Symbol" w:char="F062"/>
      </w:r>
      <w:r w:rsidRPr="00282F72">
        <w:rPr>
          <w:i w:val="0"/>
          <w:iCs w:val="0"/>
          <w:color w:val="000000" w:themeColor="text1"/>
          <w:sz w:val="20"/>
          <w:szCs w:val="20"/>
          <w:lang w:val="en-GB"/>
        </w:rPr>
        <w:t xml:space="preserve"> antibodies used in this study. ELISA plates coated with an anti-A</w:t>
      </w:r>
      <w:r w:rsidRPr="00282F72">
        <w:rPr>
          <w:i w:val="0"/>
          <w:iCs w:val="0"/>
          <w:color w:val="000000" w:themeColor="text1"/>
          <w:sz w:val="20"/>
          <w:szCs w:val="20"/>
          <w:lang w:val="en-GB"/>
        </w:rPr>
        <w:sym w:font="Symbol" w:char="F062"/>
      </w:r>
      <w:r w:rsidRPr="00282F72">
        <w:rPr>
          <w:i w:val="0"/>
          <w:iCs w:val="0"/>
          <w:color w:val="000000" w:themeColor="text1"/>
          <w:sz w:val="20"/>
          <w:szCs w:val="20"/>
          <w:lang w:val="en-GB"/>
        </w:rPr>
        <w:t>42 capture antibody. Serial dilution of either wild-type A</w:t>
      </w:r>
      <w:r w:rsidRPr="00282F72">
        <w:rPr>
          <w:i w:val="0"/>
          <w:iCs w:val="0"/>
          <w:color w:val="000000" w:themeColor="text1"/>
          <w:sz w:val="20"/>
          <w:szCs w:val="20"/>
          <w:lang w:val="en-GB"/>
        </w:rPr>
        <w:sym w:font="Symbol" w:char="F062"/>
      </w:r>
      <w:r w:rsidRPr="00282F72">
        <w:rPr>
          <w:i w:val="0"/>
          <w:iCs w:val="0"/>
          <w:color w:val="000000" w:themeColor="text1"/>
          <w:sz w:val="20"/>
          <w:szCs w:val="20"/>
          <w:lang w:val="en-GB"/>
        </w:rPr>
        <w:t>1-42 (wt-A</w:t>
      </w:r>
      <w:r w:rsidRPr="00282F72">
        <w:rPr>
          <w:i w:val="0"/>
          <w:iCs w:val="0"/>
          <w:color w:val="000000" w:themeColor="text1"/>
          <w:sz w:val="20"/>
          <w:szCs w:val="20"/>
          <w:lang w:val="en-GB"/>
        </w:rPr>
        <w:sym w:font="Symbol" w:char="F062"/>
      </w:r>
      <w:r w:rsidRPr="00282F72">
        <w:rPr>
          <w:i w:val="0"/>
          <w:iCs w:val="0"/>
          <w:color w:val="000000" w:themeColor="text1"/>
          <w:sz w:val="20"/>
          <w:szCs w:val="20"/>
          <w:lang w:val="en-GB"/>
        </w:rPr>
        <w:t>) or arctic-A</w:t>
      </w:r>
      <w:r w:rsidRPr="00282F72">
        <w:rPr>
          <w:i w:val="0"/>
          <w:iCs w:val="0"/>
          <w:color w:val="000000" w:themeColor="text1"/>
          <w:sz w:val="20"/>
          <w:szCs w:val="20"/>
          <w:lang w:val="en-GB"/>
        </w:rPr>
        <w:sym w:font="Symbol" w:char="F062"/>
      </w:r>
      <w:r w:rsidRPr="00282F72">
        <w:rPr>
          <w:i w:val="0"/>
          <w:iCs w:val="0"/>
          <w:color w:val="000000" w:themeColor="text1"/>
          <w:sz w:val="20"/>
          <w:szCs w:val="20"/>
          <w:lang w:val="en-GB"/>
        </w:rPr>
        <w:t xml:space="preserve">1-42 added to the plates. </w:t>
      </w:r>
      <w:r w:rsidRPr="00282F72">
        <w:rPr>
          <w:b/>
          <w:bCs/>
          <w:i w:val="0"/>
          <w:iCs w:val="0"/>
          <w:color w:val="000000" w:themeColor="text1"/>
          <w:sz w:val="20"/>
          <w:szCs w:val="20"/>
          <w:lang w:val="en-GB"/>
        </w:rPr>
        <w:t>A:</w:t>
      </w:r>
      <w:r w:rsidRPr="00282F72">
        <w:rPr>
          <w:i w:val="0"/>
          <w:iCs w:val="0"/>
          <w:color w:val="000000" w:themeColor="text1"/>
          <w:sz w:val="20"/>
          <w:szCs w:val="20"/>
          <w:lang w:val="en-GB"/>
        </w:rPr>
        <w:t xml:space="preserve"> when using 3D6 as the detection antibody, both wt-A</w:t>
      </w:r>
      <w:r w:rsidRPr="00282F72">
        <w:rPr>
          <w:i w:val="0"/>
          <w:iCs w:val="0"/>
          <w:color w:val="000000" w:themeColor="text1"/>
          <w:sz w:val="20"/>
          <w:szCs w:val="20"/>
          <w:lang w:val="en-GB"/>
        </w:rPr>
        <w:sym w:font="Symbol" w:char="F062"/>
      </w:r>
      <w:r w:rsidRPr="00282F72">
        <w:rPr>
          <w:i w:val="0"/>
          <w:iCs w:val="0"/>
          <w:color w:val="000000" w:themeColor="text1"/>
          <w:sz w:val="20"/>
          <w:szCs w:val="20"/>
          <w:lang w:val="en-GB"/>
        </w:rPr>
        <w:t xml:space="preserve"> and arctic-A</w:t>
      </w:r>
      <w:r w:rsidRPr="00282F72">
        <w:rPr>
          <w:i w:val="0"/>
          <w:iCs w:val="0"/>
          <w:color w:val="000000" w:themeColor="text1"/>
          <w:sz w:val="20"/>
          <w:szCs w:val="20"/>
          <w:lang w:val="en-GB"/>
        </w:rPr>
        <w:sym w:font="Symbol" w:char="F062"/>
      </w:r>
      <w:r w:rsidRPr="00282F72">
        <w:rPr>
          <w:i w:val="0"/>
          <w:iCs w:val="0"/>
          <w:color w:val="000000" w:themeColor="text1"/>
          <w:sz w:val="20"/>
          <w:szCs w:val="20"/>
          <w:lang w:val="en-GB"/>
        </w:rPr>
        <w:t xml:space="preserve"> could be detected. </w:t>
      </w:r>
      <w:r w:rsidRPr="00282F72">
        <w:rPr>
          <w:b/>
          <w:bCs/>
          <w:i w:val="0"/>
          <w:iCs w:val="0"/>
          <w:color w:val="000000" w:themeColor="text1"/>
          <w:sz w:val="20"/>
          <w:szCs w:val="20"/>
          <w:lang w:val="en-GB"/>
        </w:rPr>
        <w:t>B:</w:t>
      </w:r>
      <w:r w:rsidRPr="00282F72">
        <w:rPr>
          <w:i w:val="0"/>
          <w:iCs w:val="0"/>
          <w:color w:val="000000" w:themeColor="text1"/>
          <w:sz w:val="20"/>
          <w:szCs w:val="20"/>
          <w:lang w:val="en-GB"/>
        </w:rPr>
        <w:t xml:space="preserve"> when using m266 as the detection antibody, both wt-A</w:t>
      </w:r>
      <w:r w:rsidRPr="00282F72">
        <w:rPr>
          <w:i w:val="0"/>
          <w:iCs w:val="0"/>
          <w:color w:val="000000" w:themeColor="text1"/>
          <w:sz w:val="20"/>
          <w:szCs w:val="20"/>
          <w:lang w:val="en-GB"/>
        </w:rPr>
        <w:sym w:font="Symbol" w:char="F062"/>
      </w:r>
      <w:r w:rsidRPr="00282F72">
        <w:rPr>
          <w:i w:val="0"/>
          <w:iCs w:val="0"/>
          <w:color w:val="000000" w:themeColor="text1"/>
          <w:sz w:val="20"/>
          <w:szCs w:val="20"/>
          <w:lang w:val="en-GB"/>
        </w:rPr>
        <w:t xml:space="preserve"> and arctic-A</w:t>
      </w:r>
      <w:r w:rsidRPr="00282F72">
        <w:rPr>
          <w:i w:val="0"/>
          <w:iCs w:val="0"/>
          <w:color w:val="000000" w:themeColor="text1"/>
          <w:sz w:val="20"/>
          <w:szCs w:val="20"/>
          <w:lang w:val="en-GB"/>
        </w:rPr>
        <w:sym w:font="Symbol" w:char="F062"/>
      </w:r>
      <w:r w:rsidRPr="00282F72">
        <w:rPr>
          <w:i w:val="0"/>
          <w:iCs w:val="0"/>
          <w:color w:val="000000" w:themeColor="text1"/>
          <w:sz w:val="20"/>
          <w:szCs w:val="20"/>
          <w:lang w:val="en-GB"/>
        </w:rPr>
        <w:t xml:space="preserve"> could be detected. </w:t>
      </w:r>
      <w:r w:rsidRPr="00282F72">
        <w:rPr>
          <w:b/>
          <w:bCs/>
          <w:i w:val="0"/>
          <w:iCs w:val="0"/>
          <w:color w:val="000000" w:themeColor="text1"/>
          <w:sz w:val="20"/>
          <w:szCs w:val="20"/>
          <w:lang w:val="en-GB"/>
        </w:rPr>
        <w:t>C:</w:t>
      </w:r>
      <w:r w:rsidRPr="00282F72">
        <w:rPr>
          <w:i w:val="0"/>
          <w:iCs w:val="0"/>
          <w:color w:val="000000" w:themeColor="text1"/>
          <w:sz w:val="20"/>
          <w:szCs w:val="20"/>
          <w:lang w:val="en-GB"/>
        </w:rPr>
        <w:t xml:space="preserve"> when using mAb27 as the detection antibody, only arctic-A</w:t>
      </w:r>
      <w:r w:rsidRPr="00282F72">
        <w:rPr>
          <w:i w:val="0"/>
          <w:iCs w:val="0"/>
          <w:color w:val="000000" w:themeColor="text1"/>
          <w:sz w:val="20"/>
          <w:szCs w:val="20"/>
          <w:lang w:val="en-GB"/>
        </w:rPr>
        <w:sym w:font="Symbol" w:char="F062"/>
      </w:r>
      <w:r w:rsidRPr="00282F72">
        <w:rPr>
          <w:i w:val="0"/>
          <w:iCs w:val="0"/>
          <w:color w:val="000000" w:themeColor="text1"/>
          <w:sz w:val="20"/>
          <w:szCs w:val="20"/>
          <w:lang w:val="en-GB"/>
        </w:rPr>
        <w:t xml:space="preserve"> could be detected. </w:t>
      </w:r>
    </w:p>
    <w:p w14:paraId="6AA937A1" w14:textId="77777777" w:rsidR="006A6339" w:rsidRPr="00282F72" w:rsidRDefault="006A6339" w:rsidP="006A6339">
      <w:pPr>
        <w:pStyle w:val="Caption"/>
        <w:spacing w:line="480" w:lineRule="auto"/>
        <w:rPr>
          <w:i w:val="0"/>
          <w:iCs w:val="0"/>
          <w:color w:val="000000" w:themeColor="text1"/>
          <w:sz w:val="20"/>
          <w:szCs w:val="20"/>
          <w:lang w:val="en-GB"/>
        </w:rPr>
      </w:pPr>
    </w:p>
    <w:p w14:paraId="78C808A8" w14:textId="77777777" w:rsidR="006A6339" w:rsidRPr="00282F72" w:rsidRDefault="006A6339" w:rsidP="006A6339">
      <w:pPr>
        <w:pStyle w:val="Caption"/>
        <w:spacing w:line="480" w:lineRule="auto"/>
        <w:rPr>
          <w:i w:val="0"/>
          <w:iCs w:val="0"/>
          <w:color w:val="000000" w:themeColor="text1"/>
          <w:sz w:val="20"/>
          <w:szCs w:val="20"/>
          <w:lang w:val="en-GB"/>
        </w:rPr>
      </w:pPr>
    </w:p>
    <w:p w14:paraId="2D011ED3" w14:textId="77777777" w:rsidR="006A6339" w:rsidRPr="00282F72" w:rsidRDefault="006A6339" w:rsidP="006A6339">
      <w:pPr>
        <w:pStyle w:val="Caption"/>
        <w:spacing w:line="480" w:lineRule="auto"/>
        <w:rPr>
          <w:i w:val="0"/>
          <w:iCs w:val="0"/>
          <w:color w:val="000000" w:themeColor="text1"/>
          <w:sz w:val="20"/>
          <w:szCs w:val="20"/>
          <w:lang w:val="en-GB"/>
        </w:rPr>
      </w:pPr>
    </w:p>
    <w:p w14:paraId="1F085FFE" w14:textId="77777777" w:rsidR="006A6339" w:rsidRPr="00282F72" w:rsidRDefault="006A6339" w:rsidP="006A6339">
      <w:pPr>
        <w:pStyle w:val="Caption"/>
        <w:spacing w:line="480" w:lineRule="auto"/>
        <w:rPr>
          <w:i w:val="0"/>
          <w:iCs w:val="0"/>
          <w:color w:val="000000" w:themeColor="text1"/>
          <w:sz w:val="20"/>
          <w:szCs w:val="20"/>
          <w:lang w:val="en-GB"/>
        </w:rPr>
      </w:pPr>
    </w:p>
    <w:p w14:paraId="1F5756DC" w14:textId="77777777" w:rsidR="006A6339" w:rsidRPr="008226E2" w:rsidRDefault="006A6339" w:rsidP="006A6339">
      <w:pPr>
        <w:keepNext/>
        <w:spacing w:line="480" w:lineRule="auto"/>
        <w:rPr>
          <w:lang w:val="en-GB"/>
        </w:rPr>
      </w:pPr>
      <w:r w:rsidRPr="008226E2">
        <w:rPr>
          <w:b/>
          <w:bCs/>
          <w:noProof/>
          <w:lang w:eastAsia="sv-SE"/>
        </w:rPr>
        <w:lastRenderedPageBreak/>
        <w:drawing>
          <wp:inline distT="0" distB="0" distL="0" distR="0" wp14:anchorId="2BE579F9" wp14:editId="1D84FEEE">
            <wp:extent cx="5731510" cy="4777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777740"/>
                    </a:xfrm>
                    <a:prstGeom prst="rect">
                      <a:avLst/>
                    </a:prstGeom>
                  </pic:spPr>
                </pic:pic>
              </a:graphicData>
            </a:graphic>
          </wp:inline>
        </w:drawing>
      </w:r>
    </w:p>
    <w:p w14:paraId="74AC099D" w14:textId="77777777" w:rsidR="006A6339" w:rsidRPr="008226E2" w:rsidRDefault="006A6339" w:rsidP="006A6339">
      <w:pPr>
        <w:pStyle w:val="Caption"/>
        <w:spacing w:line="480" w:lineRule="auto"/>
        <w:rPr>
          <w:i w:val="0"/>
          <w:iCs w:val="0"/>
          <w:color w:val="000000" w:themeColor="text1"/>
          <w:lang w:val="en-GB"/>
        </w:rPr>
      </w:pPr>
      <w:r w:rsidRPr="008226E2">
        <w:rPr>
          <w:rFonts w:ascii="Times" w:hAnsi="Times"/>
          <w:b/>
          <w:bCs/>
          <w:i w:val="0"/>
          <w:iCs w:val="0"/>
          <w:color w:val="000000" w:themeColor="text1"/>
          <w:sz w:val="20"/>
          <w:szCs w:val="20"/>
          <w:lang w:val="en-GB"/>
        </w:rPr>
        <w:t xml:space="preserve">Supplementary Figure </w:t>
      </w:r>
      <w:r>
        <w:rPr>
          <w:rFonts w:ascii="Times" w:hAnsi="Times"/>
          <w:b/>
          <w:bCs/>
          <w:i w:val="0"/>
          <w:iCs w:val="0"/>
          <w:color w:val="000000" w:themeColor="text1"/>
          <w:sz w:val="20"/>
          <w:szCs w:val="20"/>
          <w:lang w:val="en-GB"/>
        </w:rPr>
        <w:t>2</w:t>
      </w:r>
      <w:r w:rsidRPr="008226E2">
        <w:rPr>
          <w:rFonts w:ascii="Times" w:hAnsi="Times"/>
          <w:i w:val="0"/>
          <w:iCs w:val="0"/>
          <w:color w:val="000000" w:themeColor="text1"/>
          <w:sz w:val="20"/>
          <w:szCs w:val="20"/>
          <w:lang w:val="en-GB"/>
        </w:rPr>
        <w:t xml:space="preserve"> Inhibition ELISA demonstrating the binding strength of m266 antibody to different species of A</w:t>
      </w:r>
      <w:r w:rsidRPr="008226E2">
        <w:rPr>
          <w:rFonts w:ascii="Times" w:hAnsi="Times"/>
          <w:i w:val="0"/>
          <w:iCs w:val="0"/>
          <w:color w:val="000000" w:themeColor="text1"/>
          <w:sz w:val="20"/>
          <w:szCs w:val="20"/>
          <w:lang w:val="en-GB"/>
        </w:rPr>
        <w:sym w:font="Symbol" w:char="F062"/>
      </w:r>
      <w:r w:rsidRPr="008226E2">
        <w:rPr>
          <w:rFonts w:ascii="Times" w:hAnsi="Times"/>
          <w:i w:val="0"/>
          <w:iCs w:val="0"/>
          <w:color w:val="000000" w:themeColor="text1"/>
          <w:sz w:val="20"/>
          <w:szCs w:val="20"/>
          <w:lang w:val="en-GB"/>
        </w:rPr>
        <w:t>. Five different A</w:t>
      </w:r>
      <w:r w:rsidRPr="008226E2">
        <w:rPr>
          <w:rFonts w:ascii="Times" w:hAnsi="Times"/>
          <w:i w:val="0"/>
          <w:iCs w:val="0"/>
          <w:color w:val="000000" w:themeColor="text1"/>
          <w:sz w:val="20"/>
          <w:szCs w:val="20"/>
          <w:lang w:val="en-GB"/>
        </w:rPr>
        <w:sym w:font="Symbol" w:char="F062"/>
      </w:r>
      <w:r w:rsidRPr="008226E2">
        <w:rPr>
          <w:rFonts w:ascii="Times" w:hAnsi="Times"/>
          <w:i w:val="0"/>
          <w:iCs w:val="0"/>
          <w:color w:val="000000" w:themeColor="text1"/>
          <w:sz w:val="20"/>
          <w:szCs w:val="20"/>
          <w:lang w:val="en-GB"/>
        </w:rPr>
        <w:t xml:space="preserve"> species were used: A</w:t>
      </w:r>
      <w:r w:rsidRPr="008226E2">
        <w:rPr>
          <w:rFonts w:ascii="Times" w:hAnsi="Times"/>
          <w:i w:val="0"/>
          <w:iCs w:val="0"/>
          <w:color w:val="000000" w:themeColor="text1"/>
          <w:sz w:val="20"/>
          <w:szCs w:val="20"/>
          <w:lang w:val="en-GB"/>
        </w:rPr>
        <w:sym w:font="Symbol" w:char="F062"/>
      </w:r>
      <w:r w:rsidRPr="008226E2">
        <w:rPr>
          <w:rFonts w:ascii="Times" w:hAnsi="Times"/>
          <w:i w:val="0"/>
          <w:iCs w:val="0"/>
          <w:color w:val="000000" w:themeColor="text1"/>
          <w:sz w:val="20"/>
          <w:szCs w:val="20"/>
          <w:lang w:val="en-GB"/>
        </w:rPr>
        <w:t>1-40 monomers, A</w:t>
      </w:r>
      <w:r w:rsidRPr="008226E2">
        <w:rPr>
          <w:rFonts w:ascii="Times" w:hAnsi="Times"/>
          <w:i w:val="0"/>
          <w:iCs w:val="0"/>
          <w:color w:val="000000" w:themeColor="text1"/>
          <w:sz w:val="20"/>
          <w:szCs w:val="20"/>
          <w:lang w:val="en-GB"/>
        </w:rPr>
        <w:sym w:font="Symbol" w:char="F062"/>
      </w:r>
      <w:r w:rsidRPr="008226E2">
        <w:rPr>
          <w:rFonts w:ascii="Times" w:hAnsi="Times"/>
          <w:i w:val="0"/>
          <w:iCs w:val="0"/>
          <w:color w:val="000000" w:themeColor="text1"/>
          <w:sz w:val="20"/>
          <w:szCs w:val="20"/>
          <w:lang w:val="en-GB"/>
        </w:rPr>
        <w:t>1-40 dimers, A</w:t>
      </w:r>
      <w:r w:rsidRPr="008226E2">
        <w:rPr>
          <w:rFonts w:ascii="Times" w:hAnsi="Times"/>
          <w:i w:val="0"/>
          <w:iCs w:val="0"/>
          <w:color w:val="000000" w:themeColor="text1"/>
          <w:sz w:val="20"/>
          <w:szCs w:val="20"/>
          <w:lang w:val="en-GB"/>
        </w:rPr>
        <w:sym w:font="Symbol" w:char="F062"/>
      </w:r>
      <w:r w:rsidRPr="008226E2">
        <w:rPr>
          <w:rFonts w:ascii="Times" w:hAnsi="Times"/>
          <w:i w:val="0"/>
          <w:iCs w:val="0"/>
          <w:color w:val="000000" w:themeColor="text1"/>
          <w:sz w:val="20"/>
          <w:szCs w:val="20"/>
          <w:lang w:val="en-GB"/>
        </w:rPr>
        <w:t>1-42 oligomers, A</w:t>
      </w:r>
      <w:r w:rsidRPr="008226E2">
        <w:rPr>
          <w:rFonts w:ascii="Times" w:hAnsi="Times"/>
          <w:i w:val="0"/>
          <w:iCs w:val="0"/>
          <w:color w:val="000000" w:themeColor="text1"/>
          <w:sz w:val="20"/>
          <w:szCs w:val="20"/>
          <w:lang w:val="en-GB"/>
        </w:rPr>
        <w:sym w:font="Symbol" w:char="F062"/>
      </w:r>
      <w:r w:rsidRPr="008226E2">
        <w:rPr>
          <w:rFonts w:ascii="Times" w:hAnsi="Times"/>
          <w:i w:val="0"/>
          <w:iCs w:val="0"/>
          <w:color w:val="000000" w:themeColor="text1"/>
          <w:sz w:val="20"/>
          <w:szCs w:val="20"/>
          <w:lang w:val="en-GB"/>
        </w:rPr>
        <w:t>1-42 protofibrils and A</w:t>
      </w:r>
      <w:r w:rsidRPr="008226E2">
        <w:rPr>
          <w:rFonts w:ascii="Times" w:hAnsi="Times"/>
          <w:i w:val="0"/>
          <w:iCs w:val="0"/>
          <w:color w:val="000000" w:themeColor="text1"/>
          <w:sz w:val="20"/>
          <w:szCs w:val="20"/>
          <w:lang w:val="en-GB"/>
        </w:rPr>
        <w:sym w:font="Symbol" w:char="F062"/>
      </w:r>
      <w:r w:rsidRPr="008226E2">
        <w:rPr>
          <w:rFonts w:ascii="Times" w:hAnsi="Times"/>
          <w:i w:val="0"/>
          <w:iCs w:val="0"/>
          <w:color w:val="000000" w:themeColor="text1"/>
          <w:sz w:val="20"/>
          <w:szCs w:val="20"/>
          <w:lang w:val="en-GB"/>
        </w:rPr>
        <w:t xml:space="preserve">1-42 fibrils, prepared as described previously </w:t>
      </w:r>
      <w:r w:rsidRPr="008226E2">
        <w:rPr>
          <w:rFonts w:ascii="Times" w:hAnsi="Times"/>
          <w:i w:val="0"/>
          <w:iCs w:val="0"/>
          <w:color w:val="000000" w:themeColor="text1"/>
          <w:sz w:val="20"/>
          <w:szCs w:val="20"/>
          <w:lang w:val="en-GB"/>
        </w:rPr>
        <w:fldChar w:fldCharType="begin"/>
      </w:r>
      <w:r>
        <w:rPr>
          <w:rFonts w:ascii="Times" w:hAnsi="Times"/>
          <w:i w:val="0"/>
          <w:iCs w:val="0"/>
          <w:color w:val="000000" w:themeColor="text1"/>
          <w:sz w:val="20"/>
          <w:szCs w:val="20"/>
          <w:lang w:val="en-GB"/>
        </w:rPr>
        <w:instrText xml:space="preserve"> ADDIN ZOTERO_ITEM CSL_CITATION {"citationID":"Sb9DOWUM","properties":{"formattedCitation":"[40]","plainCitation":"[40]","noteIndex":0},"citationItems":[{"id":1173,"uris":["http://zotero.org/users/local/U3xj5wUT/items/K4MMWSE7"],"itemData":{"id":1173,"type":"article-journal","abstract":"Amyloid-β (Aβ) immunotherapy is a promising therapeutic strategy in the fight against Alzheimer’s disease (AD). A number of monoclonal antibodies have entered clinical trials for AD. Some of them have failed due to the lack of efficacy or side-effects, two antibodies are currently in phase 3, and one has been approved by FDA. The soluble intermediate aggregated species of Aβ, termed oligomers and protofibrils, are believed to be key pathogenic forms, responsible for synaptic and neuronal degeneration in AD. Therefore, antibodies that can strongly and selectively bind to these soluble intermediate aggregates are of great diagnostic and therapeutic interest.","container-title":"Translational Neurodegeneration","DOI":"10.1186/s40035-021-00258-x","ISSN":"2047-9158","issue":"1","journalAbbreviation":"Translational Neurodegeneration","page":"38","source":"BioMed Central","title":"Novel multivalent design of a monoclonal antibody improves binding strength to soluble aggregates of amyloid beta","volume":"10","author":[{"family":"Rofo","given":"Fadi"},{"family":"Buijs","given":"Jos"},{"family":"Falk","given":"Ronny"},{"family":"Honek","given":"Ken"},{"family":"Lannfelt","given":"Lars"},{"family":"Lilja","given":"Anna M."},{"family":"Metzendorf","given":"Nicole G."},{"family":"Gustavsson","given":"Tobias"},{"family":"Sehlin","given":"Dag"},{"family":"Söderberg","given":"Linda"},{"family":"Hultqvist","given":"Greta"}],"issued":{"date-parts":[["2021",9,28]]}}}],"schema":"https://github.com/citation-style-language/schema/raw/master/csl-citation.json"} </w:instrText>
      </w:r>
      <w:r w:rsidRPr="008226E2">
        <w:rPr>
          <w:rFonts w:ascii="Times" w:hAnsi="Times"/>
          <w:i w:val="0"/>
          <w:iCs w:val="0"/>
          <w:color w:val="000000" w:themeColor="text1"/>
          <w:sz w:val="20"/>
          <w:szCs w:val="20"/>
          <w:lang w:val="en-GB"/>
        </w:rPr>
        <w:fldChar w:fldCharType="separate"/>
      </w:r>
      <w:r>
        <w:rPr>
          <w:rFonts w:ascii="Times" w:hAnsi="Times"/>
          <w:i w:val="0"/>
          <w:iCs w:val="0"/>
          <w:noProof/>
          <w:color w:val="000000" w:themeColor="text1"/>
          <w:sz w:val="20"/>
          <w:szCs w:val="20"/>
          <w:lang w:val="en-GB"/>
        </w:rPr>
        <w:t>[40]</w:t>
      </w:r>
      <w:r w:rsidRPr="008226E2">
        <w:rPr>
          <w:rFonts w:ascii="Times" w:hAnsi="Times"/>
          <w:i w:val="0"/>
          <w:iCs w:val="0"/>
          <w:color w:val="000000" w:themeColor="text1"/>
          <w:sz w:val="20"/>
          <w:szCs w:val="20"/>
          <w:lang w:val="en-GB"/>
        </w:rPr>
        <w:fldChar w:fldCharType="end"/>
      </w:r>
      <w:r w:rsidRPr="008226E2">
        <w:rPr>
          <w:rFonts w:ascii="Times" w:hAnsi="Times"/>
          <w:i w:val="0"/>
          <w:iCs w:val="0"/>
          <w:color w:val="000000" w:themeColor="text1"/>
          <w:sz w:val="20"/>
          <w:szCs w:val="20"/>
          <w:lang w:val="en-GB"/>
        </w:rPr>
        <w:t xml:space="preserve">. The assay was performed as described previously </w:t>
      </w:r>
      <w:r w:rsidRPr="008226E2">
        <w:rPr>
          <w:rFonts w:ascii="Times" w:hAnsi="Times"/>
          <w:i w:val="0"/>
          <w:iCs w:val="0"/>
          <w:color w:val="000000" w:themeColor="text1"/>
          <w:sz w:val="20"/>
          <w:szCs w:val="20"/>
          <w:lang w:val="en-GB"/>
        </w:rPr>
        <w:fldChar w:fldCharType="begin"/>
      </w:r>
      <w:r>
        <w:rPr>
          <w:rFonts w:ascii="Times" w:hAnsi="Times"/>
          <w:i w:val="0"/>
          <w:iCs w:val="0"/>
          <w:color w:val="000000" w:themeColor="text1"/>
          <w:sz w:val="20"/>
          <w:szCs w:val="20"/>
          <w:lang w:val="en-GB"/>
        </w:rPr>
        <w:instrText xml:space="preserve"> ADDIN ZOTERO_ITEM CSL_CITATION {"citationID":"Cs7R9pVL","properties":{"formattedCitation":"[40]","plainCitation":"[40]","noteIndex":0},"citationItems":[{"id":1173,"uris":["http://zotero.org/users/local/U3xj5wUT/items/K4MMWSE7"],"itemData":{"id":1173,"type":"article-journal","abstract":"Amyloid-β (Aβ) immunotherapy is a promising therapeutic strategy in the fight against Alzheimer’s disease (AD). A number of monoclonal antibodies have entered clinical trials for AD. Some of them have failed due to the lack of efficacy or side-effects, two antibodies are currently in phase 3, and one has been approved by FDA. The soluble intermediate aggregated species of Aβ, termed oligomers and protofibrils, are believed to be key pathogenic forms, responsible for synaptic and neuronal degeneration in AD. Therefore, antibodies that can strongly and selectively bind to these soluble intermediate aggregates are of great diagnostic and therapeutic interest.","container-title":"Translational Neurodegeneration","DOI":"10.1186/s40035-021-00258-x","ISSN":"2047-9158","issue":"1","journalAbbreviation":"Translational Neurodegeneration","page":"38","source":"BioMed Central","title":"Novel multivalent design of a monoclonal antibody improves binding strength to soluble aggregates of amyloid beta","volume":"10","author":[{"family":"Rofo","given":"Fadi"},{"family":"Buijs","given":"Jos"},{"family":"Falk","given":"Ronny"},{"family":"Honek","given":"Ken"},{"family":"Lannfelt","given":"Lars"},{"family":"Lilja","given":"Anna M."},{"family":"Metzendorf","given":"Nicole G."},{"family":"Gustavsson","given":"Tobias"},{"family":"Sehlin","given":"Dag"},{"family":"Söderberg","given":"Linda"},{"family":"Hultqvist","given":"Greta"}],"issued":{"date-parts":[["2021",9,28]]}}}],"schema":"https://github.com/citation-style-language/schema/raw/master/csl-citation.json"} </w:instrText>
      </w:r>
      <w:r w:rsidRPr="008226E2">
        <w:rPr>
          <w:rFonts w:ascii="Times" w:hAnsi="Times"/>
          <w:i w:val="0"/>
          <w:iCs w:val="0"/>
          <w:color w:val="000000" w:themeColor="text1"/>
          <w:sz w:val="20"/>
          <w:szCs w:val="20"/>
          <w:lang w:val="en-GB"/>
        </w:rPr>
        <w:fldChar w:fldCharType="separate"/>
      </w:r>
      <w:r>
        <w:rPr>
          <w:rFonts w:ascii="Times" w:hAnsi="Times"/>
          <w:i w:val="0"/>
          <w:iCs w:val="0"/>
          <w:noProof/>
          <w:color w:val="000000" w:themeColor="text1"/>
          <w:sz w:val="20"/>
          <w:szCs w:val="20"/>
          <w:lang w:val="en-GB"/>
        </w:rPr>
        <w:t>[40]</w:t>
      </w:r>
      <w:r w:rsidRPr="008226E2">
        <w:rPr>
          <w:rFonts w:ascii="Times" w:hAnsi="Times"/>
          <w:i w:val="0"/>
          <w:iCs w:val="0"/>
          <w:color w:val="000000" w:themeColor="text1"/>
          <w:sz w:val="20"/>
          <w:szCs w:val="20"/>
          <w:lang w:val="en-GB"/>
        </w:rPr>
        <w:fldChar w:fldCharType="end"/>
      </w:r>
      <w:r w:rsidRPr="008226E2">
        <w:rPr>
          <w:rFonts w:ascii="Times" w:hAnsi="Times"/>
          <w:i w:val="0"/>
          <w:iCs w:val="0"/>
          <w:color w:val="000000" w:themeColor="text1"/>
          <w:sz w:val="20"/>
          <w:szCs w:val="20"/>
          <w:lang w:val="en-GB"/>
        </w:rPr>
        <w:t>. Inhibitory concentration-50 (IC50) of m266 binding to the different A</w:t>
      </w:r>
      <w:r w:rsidRPr="008226E2">
        <w:rPr>
          <w:rFonts w:ascii="Times" w:hAnsi="Times"/>
          <w:i w:val="0"/>
          <w:iCs w:val="0"/>
          <w:color w:val="000000" w:themeColor="text1"/>
          <w:sz w:val="20"/>
          <w:szCs w:val="20"/>
          <w:lang w:val="en-GB"/>
        </w:rPr>
        <w:sym w:font="Symbol" w:char="F062"/>
      </w:r>
      <w:r w:rsidRPr="008226E2">
        <w:rPr>
          <w:rFonts w:ascii="Times" w:hAnsi="Times"/>
          <w:i w:val="0"/>
          <w:iCs w:val="0"/>
          <w:color w:val="000000" w:themeColor="text1"/>
          <w:sz w:val="20"/>
          <w:szCs w:val="20"/>
          <w:lang w:val="en-GB"/>
        </w:rPr>
        <w:t xml:space="preserve"> species is present in the table. m266 bound stronger to A</w:t>
      </w:r>
      <w:r w:rsidRPr="008226E2">
        <w:rPr>
          <w:rFonts w:ascii="Times" w:hAnsi="Times"/>
          <w:i w:val="0"/>
          <w:iCs w:val="0"/>
          <w:color w:val="000000" w:themeColor="text1"/>
          <w:sz w:val="20"/>
          <w:szCs w:val="20"/>
          <w:lang w:val="en-GB"/>
        </w:rPr>
        <w:sym w:font="Symbol" w:char="F062"/>
      </w:r>
      <w:r w:rsidRPr="008226E2">
        <w:rPr>
          <w:rFonts w:ascii="Times" w:hAnsi="Times"/>
          <w:i w:val="0"/>
          <w:iCs w:val="0"/>
          <w:color w:val="000000" w:themeColor="text1"/>
          <w:sz w:val="20"/>
          <w:szCs w:val="20"/>
          <w:lang w:val="en-GB"/>
        </w:rPr>
        <w:t xml:space="preserve"> monomers compared to other A</w:t>
      </w:r>
      <w:r w:rsidRPr="008226E2">
        <w:rPr>
          <w:rFonts w:ascii="Times" w:hAnsi="Times"/>
          <w:i w:val="0"/>
          <w:iCs w:val="0"/>
          <w:color w:val="000000" w:themeColor="text1"/>
          <w:sz w:val="20"/>
          <w:szCs w:val="20"/>
          <w:lang w:val="en-GB"/>
        </w:rPr>
        <w:sym w:font="Symbol" w:char="F062"/>
      </w:r>
      <w:r w:rsidRPr="008226E2">
        <w:rPr>
          <w:rFonts w:ascii="Times" w:hAnsi="Times"/>
          <w:i w:val="0"/>
          <w:iCs w:val="0"/>
          <w:color w:val="000000" w:themeColor="text1"/>
          <w:sz w:val="20"/>
          <w:szCs w:val="20"/>
          <w:lang w:val="en-GB"/>
        </w:rPr>
        <w:t xml:space="preserve"> species. Binding strength of m266 antibody decreased as the size of A</w:t>
      </w:r>
      <w:r w:rsidRPr="008226E2">
        <w:rPr>
          <w:rFonts w:ascii="Times" w:hAnsi="Times"/>
          <w:i w:val="0"/>
          <w:iCs w:val="0"/>
          <w:color w:val="000000" w:themeColor="text1"/>
          <w:sz w:val="20"/>
          <w:szCs w:val="20"/>
          <w:lang w:val="en-GB"/>
        </w:rPr>
        <w:sym w:font="Symbol" w:char="F062"/>
      </w:r>
      <w:r w:rsidRPr="008226E2">
        <w:rPr>
          <w:rFonts w:ascii="Times" w:hAnsi="Times"/>
          <w:i w:val="0"/>
          <w:iCs w:val="0"/>
          <w:color w:val="000000" w:themeColor="text1"/>
          <w:sz w:val="20"/>
          <w:szCs w:val="20"/>
          <w:lang w:val="en-GB"/>
        </w:rPr>
        <w:t xml:space="preserve"> species increase</w:t>
      </w:r>
      <w:r>
        <w:rPr>
          <w:rFonts w:ascii="Times" w:hAnsi="Times"/>
          <w:i w:val="0"/>
          <w:iCs w:val="0"/>
          <w:color w:val="000000" w:themeColor="text1"/>
          <w:sz w:val="20"/>
          <w:szCs w:val="20"/>
          <w:lang w:val="en-GB"/>
        </w:rPr>
        <w:t>d</w:t>
      </w:r>
      <w:r w:rsidRPr="008226E2">
        <w:rPr>
          <w:i w:val="0"/>
          <w:iCs w:val="0"/>
          <w:color w:val="000000" w:themeColor="text1"/>
          <w:lang w:val="en-GB"/>
        </w:rPr>
        <w:t xml:space="preserve">.    </w:t>
      </w:r>
    </w:p>
    <w:p w14:paraId="06F9C81F" w14:textId="77777777" w:rsidR="006A6339" w:rsidRPr="008226E2" w:rsidRDefault="006A6339" w:rsidP="006A6339">
      <w:pPr>
        <w:spacing w:line="480" w:lineRule="auto"/>
        <w:rPr>
          <w:lang w:val="en-GB"/>
        </w:rPr>
      </w:pPr>
    </w:p>
    <w:p w14:paraId="377EF8F2" w14:textId="77777777" w:rsidR="006A6339" w:rsidRPr="00282F72" w:rsidRDefault="006A6339" w:rsidP="006A6339">
      <w:pPr>
        <w:pStyle w:val="Caption"/>
        <w:spacing w:line="480" w:lineRule="auto"/>
        <w:rPr>
          <w:i w:val="0"/>
          <w:iCs w:val="0"/>
          <w:color w:val="000000" w:themeColor="text1"/>
          <w:sz w:val="20"/>
          <w:szCs w:val="20"/>
          <w:lang w:val="en-GB"/>
        </w:rPr>
      </w:pPr>
    </w:p>
    <w:p w14:paraId="1D2131C9" w14:textId="77777777" w:rsidR="006A6339" w:rsidRPr="00282F72" w:rsidRDefault="006A6339" w:rsidP="006A6339">
      <w:pPr>
        <w:pStyle w:val="Caption"/>
        <w:spacing w:line="480" w:lineRule="auto"/>
        <w:rPr>
          <w:i w:val="0"/>
          <w:iCs w:val="0"/>
          <w:color w:val="000000" w:themeColor="text1"/>
          <w:sz w:val="20"/>
          <w:szCs w:val="20"/>
          <w:lang w:val="en-GB"/>
        </w:rPr>
      </w:pPr>
    </w:p>
    <w:p w14:paraId="1D7FA5A4" w14:textId="77777777" w:rsidR="006A6339" w:rsidRPr="00282F72" w:rsidRDefault="006A6339" w:rsidP="006A6339">
      <w:pPr>
        <w:pStyle w:val="Caption"/>
        <w:spacing w:line="480" w:lineRule="auto"/>
        <w:rPr>
          <w:i w:val="0"/>
          <w:iCs w:val="0"/>
          <w:color w:val="000000" w:themeColor="text1"/>
          <w:sz w:val="20"/>
          <w:szCs w:val="20"/>
          <w:lang w:val="en-GB"/>
        </w:rPr>
      </w:pPr>
    </w:p>
    <w:p w14:paraId="3DB74FE8" w14:textId="5B5857CE" w:rsidR="006A6339" w:rsidRPr="00282F72" w:rsidRDefault="006A6339" w:rsidP="006A6339">
      <w:pPr>
        <w:pStyle w:val="Caption"/>
        <w:spacing w:line="480" w:lineRule="auto"/>
        <w:rPr>
          <w:i w:val="0"/>
          <w:iCs w:val="0"/>
          <w:color w:val="000000" w:themeColor="text1"/>
          <w:sz w:val="20"/>
          <w:szCs w:val="20"/>
          <w:lang w:val="en-GB"/>
        </w:rPr>
      </w:pPr>
    </w:p>
    <w:p w14:paraId="3C815850" w14:textId="77777777" w:rsidR="006A6339" w:rsidRPr="00282F72" w:rsidRDefault="006A6339" w:rsidP="006A6339">
      <w:pPr>
        <w:spacing w:line="480" w:lineRule="auto"/>
        <w:rPr>
          <w:lang w:val="en-GB"/>
        </w:rPr>
      </w:pPr>
    </w:p>
    <w:p w14:paraId="4925D785" w14:textId="77777777" w:rsidR="006A6339" w:rsidRPr="00282F72" w:rsidRDefault="006A6339" w:rsidP="006A6339">
      <w:pPr>
        <w:keepNext/>
        <w:spacing w:line="480" w:lineRule="auto"/>
        <w:rPr>
          <w:lang w:val="en-GB"/>
        </w:rPr>
      </w:pPr>
      <w:r w:rsidRPr="00282F72">
        <w:rPr>
          <w:noProof/>
          <w:lang w:eastAsia="sv-SE"/>
        </w:rPr>
        <w:drawing>
          <wp:inline distT="0" distB="0" distL="0" distR="0" wp14:anchorId="1234B027" wp14:editId="0A568AC8">
            <wp:extent cx="3897443" cy="2116259"/>
            <wp:effectExtent l="0" t="0" r="190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20119" cy="2128572"/>
                    </a:xfrm>
                    <a:prstGeom prst="rect">
                      <a:avLst/>
                    </a:prstGeom>
                  </pic:spPr>
                </pic:pic>
              </a:graphicData>
            </a:graphic>
          </wp:inline>
        </w:drawing>
      </w:r>
    </w:p>
    <w:p w14:paraId="4BC9D6B8" w14:textId="77777777" w:rsidR="006A6339" w:rsidRPr="00282F72" w:rsidRDefault="006A6339" w:rsidP="006A6339">
      <w:pPr>
        <w:pStyle w:val="Caption"/>
        <w:spacing w:line="480" w:lineRule="auto"/>
        <w:rPr>
          <w:rFonts w:ascii="Times" w:hAnsi="Times"/>
          <w:i w:val="0"/>
          <w:iCs w:val="0"/>
          <w:color w:val="000000" w:themeColor="text1"/>
          <w:sz w:val="20"/>
          <w:szCs w:val="20"/>
          <w:lang w:val="en-GB"/>
        </w:rPr>
      </w:pPr>
      <w:r w:rsidRPr="00282F72">
        <w:rPr>
          <w:rFonts w:ascii="Times" w:hAnsi="Times"/>
          <w:b/>
          <w:bCs/>
          <w:i w:val="0"/>
          <w:iCs w:val="0"/>
          <w:color w:val="000000" w:themeColor="text1"/>
          <w:sz w:val="20"/>
          <w:szCs w:val="20"/>
          <w:lang w:val="en-GB"/>
        </w:rPr>
        <w:t>Supplementary Figure 3</w:t>
      </w:r>
      <w:r w:rsidRPr="00282F72">
        <w:rPr>
          <w:rFonts w:ascii="Times" w:hAnsi="Times"/>
          <w:color w:val="000000" w:themeColor="text1"/>
          <w:sz w:val="20"/>
          <w:szCs w:val="20"/>
          <w:lang w:val="en-GB"/>
        </w:rPr>
        <w:t xml:space="preserve"> </w:t>
      </w:r>
      <w:r w:rsidRPr="00282F72">
        <w:rPr>
          <w:rFonts w:ascii="Times" w:hAnsi="Times" w:cs="Times"/>
          <w:i w:val="0"/>
          <w:iCs w:val="0"/>
          <w:color w:val="000000" w:themeColor="text1"/>
          <w:sz w:val="20"/>
          <w:szCs w:val="20"/>
          <w:lang w:val="en-GB"/>
        </w:rPr>
        <w:t>Total concentration of A</w:t>
      </w:r>
      <w:r w:rsidRPr="00282F72">
        <w:rPr>
          <w:rFonts w:ascii="Times" w:hAnsi="Times" w:cs="Times"/>
          <w:i w:val="0"/>
          <w:iCs w:val="0"/>
          <w:color w:val="000000" w:themeColor="text1"/>
          <w:sz w:val="20"/>
          <w:szCs w:val="20"/>
          <w:lang w:val="en-GB"/>
        </w:rPr>
        <w:sym w:font="Symbol" w:char="F062"/>
      </w:r>
      <w:r w:rsidRPr="00282F72">
        <w:rPr>
          <w:rFonts w:ascii="Times" w:hAnsi="Times" w:cs="Times"/>
          <w:i w:val="0"/>
          <w:iCs w:val="0"/>
          <w:color w:val="000000" w:themeColor="text1"/>
          <w:sz w:val="20"/>
          <w:szCs w:val="20"/>
          <w:lang w:val="en-GB"/>
        </w:rPr>
        <w:t>40 and A</w:t>
      </w:r>
      <w:r w:rsidRPr="00282F72">
        <w:rPr>
          <w:rFonts w:ascii="Times" w:hAnsi="Times" w:cs="Times"/>
          <w:i w:val="0"/>
          <w:iCs w:val="0"/>
          <w:color w:val="000000" w:themeColor="text1"/>
          <w:sz w:val="20"/>
          <w:szCs w:val="20"/>
          <w:lang w:val="en-GB"/>
        </w:rPr>
        <w:sym w:font="Symbol" w:char="F062"/>
      </w:r>
      <w:r w:rsidRPr="00282F72">
        <w:rPr>
          <w:rFonts w:ascii="Times" w:hAnsi="Times" w:cs="Times"/>
          <w:i w:val="0"/>
          <w:iCs w:val="0"/>
          <w:color w:val="000000" w:themeColor="text1"/>
          <w:sz w:val="20"/>
          <w:szCs w:val="20"/>
          <w:lang w:val="en-GB"/>
        </w:rPr>
        <w:t xml:space="preserve">42 in FA soluble brain extracts of tg-ArcSwe mice following treatment with therapeutic doses of 30 nmol/kg of sNEP-scFc-scFv8D3 or muNEP-scFc-scFv8D3, using scFc-scFv8D3 as the negative control. No significant differences detected among the three groups. </w:t>
      </w:r>
      <w:r w:rsidRPr="00282F72">
        <w:rPr>
          <w:rFonts w:ascii="Times" w:hAnsi="Times"/>
          <w:i w:val="0"/>
          <w:iCs w:val="0"/>
          <w:color w:val="000000" w:themeColor="text1"/>
          <w:sz w:val="20"/>
          <w:szCs w:val="20"/>
          <w:lang w:val="en-GB"/>
        </w:rPr>
        <w:t xml:space="preserve">Results presented as mean </w:t>
      </w:r>
      <w:r w:rsidRPr="00282F72">
        <w:rPr>
          <w:rFonts w:ascii="Times" w:hAnsi="Times"/>
          <w:i w:val="0"/>
          <w:iCs w:val="0"/>
          <w:color w:val="000000" w:themeColor="text1"/>
          <w:sz w:val="20"/>
          <w:szCs w:val="20"/>
          <w:lang w:val="en-GB"/>
        </w:rPr>
        <w:sym w:font="Symbol" w:char="F0B1"/>
      </w:r>
      <w:r w:rsidRPr="00282F72">
        <w:rPr>
          <w:rFonts w:ascii="Times" w:hAnsi="Times"/>
          <w:i w:val="0"/>
          <w:iCs w:val="0"/>
          <w:color w:val="000000" w:themeColor="text1"/>
          <w:sz w:val="20"/>
          <w:szCs w:val="20"/>
          <w:lang w:val="en-GB"/>
        </w:rPr>
        <w:t xml:space="preserve"> SD. One-way ANOVA with Bonferroni’s multiple comparison test was applied (n=4/sNEP-scFc-scFv8D3 and muNEP-scFc-scFv8D3; n=3/scFc-scFv8D3). (p&gt;0.05=ns; p≤0.05= *; p≤0.01= **; p≤0.001= ***). </w:t>
      </w:r>
    </w:p>
    <w:p w14:paraId="193F1CAD" w14:textId="77777777" w:rsidR="006A6339" w:rsidRDefault="006A6339" w:rsidP="006A6339">
      <w:pPr>
        <w:pStyle w:val="Caption"/>
        <w:spacing w:line="480" w:lineRule="auto"/>
        <w:rPr>
          <w:rFonts w:ascii="Times" w:hAnsi="Times"/>
          <w:color w:val="000000" w:themeColor="text1"/>
          <w:sz w:val="20"/>
          <w:szCs w:val="20"/>
          <w:lang w:val="en-GB"/>
        </w:rPr>
      </w:pPr>
    </w:p>
    <w:p w14:paraId="253BC56F" w14:textId="77777777" w:rsidR="006A6339" w:rsidRDefault="006A6339" w:rsidP="006A6339">
      <w:pPr>
        <w:spacing w:line="480" w:lineRule="auto"/>
        <w:rPr>
          <w:lang w:val="en-GB"/>
        </w:rPr>
      </w:pPr>
    </w:p>
    <w:p w14:paraId="0111E9BA" w14:textId="77777777" w:rsidR="006A6339" w:rsidRDefault="006A6339" w:rsidP="006A6339">
      <w:pPr>
        <w:spacing w:line="480" w:lineRule="auto"/>
        <w:rPr>
          <w:lang w:val="en-GB"/>
        </w:rPr>
      </w:pPr>
    </w:p>
    <w:p w14:paraId="2740331A" w14:textId="77777777" w:rsidR="006A6339" w:rsidRDefault="006A6339" w:rsidP="006A6339">
      <w:pPr>
        <w:spacing w:line="480" w:lineRule="auto"/>
        <w:rPr>
          <w:lang w:val="en-GB"/>
        </w:rPr>
      </w:pPr>
    </w:p>
    <w:p w14:paraId="64F53E91" w14:textId="77777777" w:rsidR="006A6339" w:rsidRDefault="006A6339" w:rsidP="006A6339">
      <w:pPr>
        <w:spacing w:line="480" w:lineRule="auto"/>
        <w:rPr>
          <w:lang w:val="en-GB"/>
        </w:rPr>
      </w:pPr>
    </w:p>
    <w:p w14:paraId="2F6E2904" w14:textId="77777777" w:rsidR="006A6339" w:rsidRDefault="006A6339" w:rsidP="006A6339">
      <w:pPr>
        <w:spacing w:line="480" w:lineRule="auto"/>
        <w:rPr>
          <w:lang w:val="en-GB"/>
        </w:rPr>
      </w:pPr>
    </w:p>
    <w:p w14:paraId="302842A4" w14:textId="77777777" w:rsidR="006A6339" w:rsidRDefault="006A6339" w:rsidP="006A6339">
      <w:pPr>
        <w:spacing w:line="480" w:lineRule="auto"/>
        <w:rPr>
          <w:lang w:val="en-GB"/>
        </w:rPr>
      </w:pPr>
    </w:p>
    <w:p w14:paraId="13914C4C" w14:textId="77777777" w:rsidR="006A6339" w:rsidRDefault="006A6339" w:rsidP="006A6339">
      <w:pPr>
        <w:spacing w:line="480" w:lineRule="auto"/>
        <w:rPr>
          <w:lang w:val="en-GB"/>
        </w:rPr>
      </w:pPr>
    </w:p>
    <w:p w14:paraId="4828B45C" w14:textId="77777777" w:rsidR="006A6339" w:rsidRDefault="006A6339" w:rsidP="006A6339">
      <w:pPr>
        <w:spacing w:line="480" w:lineRule="auto"/>
        <w:rPr>
          <w:lang w:val="en-GB"/>
        </w:rPr>
      </w:pPr>
    </w:p>
    <w:p w14:paraId="5C9C0277" w14:textId="77777777" w:rsidR="006A6339" w:rsidRDefault="006A6339" w:rsidP="006A6339">
      <w:pPr>
        <w:spacing w:line="480" w:lineRule="auto"/>
        <w:rPr>
          <w:lang w:val="en-GB"/>
        </w:rPr>
      </w:pPr>
    </w:p>
    <w:p w14:paraId="68176F49" w14:textId="77777777" w:rsidR="006A6339" w:rsidRDefault="006A6339" w:rsidP="006A6339">
      <w:pPr>
        <w:spacing w:line="480" w:lineRule="auto"/>
        <w:rPr>
          <w:lang w:val="en-GB"/>
        </w:rPr>
      </w:pPr>
    </w:p>
    <w:p w14:paraId="318F37D3" w14:textId="77777777" w:rsidR="006A6339" w:rsidRDefault="006A6339" w:rsidP="006A6339">
      <w:pPr>
        <w:spacing w:line="480" w:lineRule="auto"/>
        <w:rPr>
          <w:lang w:val="en-GB"/>
        </w:rPr>
      </w:pPr>
    </w:p>
    <w:p w14:paraId="5E5D6A80" w14:textId="77777777" w:rsidR="006A6339" w:rsidRDefault="006A6339" w:rsidP="006A6339">
      <w:pPr>
        <w:spacing w:line="480" w:lineRule="auto"/>
        <w:rPr>
          <w:noProof/>
          <w:lang w:val="en-GB"/>
        </w:rPr>
      </w:pPr>
      <w:r>
        <w:rPr>
          <w:noProof/>
          <w:lang w:eastAsia="sv-SE"/>
        </w:rPr>
        <w:lastRenderedPageBreak/>
        <w:drawing>
          <wp:inline distT="0" distB="0" distL="0" distR="0" wp14:anchorId="3516E07E" wp14:editId="49AF0057">
            <wp:extent cx="3721847" cy="3829987"/>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9">
                      <a:extLst>
                        <a:ext uri="{28A0092B-C50C-407E-A947-70E740481C1C}">
                          <a14:useLocalDpi xmlns:a14="http://schemas.microsoft.com/office/drawing/2010/main" val="0"/>
                        </a:ext>
                      </a:extLst>
                    </a:blip>
                    <a:srcRect l="19486" r="25853"/>
                    <a:stretch/>
                  </pic:blipFill>
                  <pic:spPr bwMode="auto">
                    <a:xfrm>
                      <a:off x="0" y="0"/>
                      <a:ext cx="3739017" cy="3847656"/>
                    </a:xfrm>
                    <a:prstGeom prst="rect">
                      <a:avLst/>
                    </a:prstGeom>
                    <a:ln>
                      <a:noFill/>
                    </a:ln>
                    <a:extLst>
                      <a:ext uri="{53640926-AAD7-44D8-BBD7-CCE9431645EC}">
                        <a14:shadowObscured xmlns:a14="http://schemas.microsoft.com/office/drawing/2010/main"/>
                      </a:ext>
                    </a:extLst>
                  </pic:spPr>
                </pic:pic>
              </a:graphicData>
            </a:graphic>
          </wp:inline>
        </w:drawing>
      </w:r>
    </w:p>
    <w:p w14:paraId="40CB89F7" w14:textId="77777777" w:rsidR="006A6339" w:rsidRPr="00733F31" w:rsidRDefault="006A6339" w:rsidP="006A6339">
      <w:pPr>
        <w:spacing w:line="480" w:lineRule="auto"/>
        <w:rPr>
          <w:lang w:val="en-GB"/>
        </w:rPr>
      </w:pPr>
    </w:p>
    <w:p w14:paraId="5B789DEC" w14:textId="77777777" w:rsidR="006A6339" w:rsidRPr="00733F31" w:rsidRDefault="006A6339" w:rsidP="006A6339">
      <w:pPr>
        <w:spacing w:line="480" w:lineRule="auto"/>
        <w:rPr>
          <w:lang w:val="en-GB"/>
        </w:rPr>
      </w:pPr>
    </w:p>
    <w:p w14:paraId="3D4F54BB" w14:textId="77777777" w:rsidR="006A6339" w:rsidRPr="00733F31" w:rsidRDefault="006A6339" w:rsidP="006A6339">
      <w:pPr>
        <w:spacing w:line="480" w:lineRule="auto"/>
        <w:rPr>
          <w:lang w:val="en-GB"/>
        </w:rPr>
      </w:pPr>
    </w:p>
    <w:p w14:paraId="2772564A" w14:textId="77777777" w:rsidR="006A6339" w:rsidRPr="00733F31" w:rsidRDefault="006A6339" w:rsidP="006A6339">
      <w:pPr>
        <w:spacing w:line="480" w:lineRule="auto"/>
        <w:rPr>
          <w:lang w:val="en-GB"/>
        </w:rPr>
      </w:pPr>
      <w:r w:rsidRPr="00282F72">
        <w:rPr>
          <w:rFonts w:ascii="Times" w:hAnsi="Times"/>
          <w:b/>
          <w:bCs/>
          <w:color w:val="000000" w:themeColor="text1"/>
          <w:sz w:val="20"/>
          <w:szCs w:val="20"/>
          <w:lang w:val="en-GB"/>
        </w:rPr>
        <w:t xml:space="preserve">Supplementary Figure </w:t>
      </w:r>
      <w:r>
        <w:rPr>
          <w:rFonts w:ascii="Times" w:hAnsi="Times"/>
          <w:b/>
          <w:bCs/>
          <w:color w:val="000000" w:themeColor="text1"/>
          <w:sz w:val="20"/>
          <w:szCs w:val="20"/>
          <w:lang w:val="en-GB"/>
        </w:rPr>
        <w:t>4</w:t>
      </w:r>
      <w:r w:rsidRPr="00282F72">
        <w:rPr>
          <w:rFonts w:ascii="Times" w:hAnsi="Times"/>
          <w:color w:val="000000" w:themeColor="text1"/>
          <w:sz w:val="20"/>
          <w:szCs w:val="20"/>
          <w:lang w:val="en-GB"/>
        </w:rPr>
        <w:t xml:space="preserve"> </w:t>
      </w:r>
      <w:r>
        <w:rPr>
          <w:rFonts w:ascii="Times" w:hAnsi="Times" w:cs="Times"/>
          <w:color w:val="000000" w:themeColor="text1"/>
          <w:sz w:val="20"/>
          <w:szCs w:val="20"/>
          <w:lang w:val="en-GB"/>
        </w:rPr>
        <w:t xml:space="preserve">Ful picture of the SDS-PAGE gel presented in Figure 2A. </w:t>
      </w:r>
    </w:p>
    <w:p w14:paraId="430D90B9" w14:textId="77777777" w:rsidR="00D3096D" w:rsidRPr="006A6339" w:rsidRDefault="00D3096D">
      <w:pPr>
        <w:rPr>
          <w:lang w:val="en-GB"/>
        </w:rPr>
      </w:pPr>
    </w:p>
    <w:sectPr w:rsidR="00D3096D" w:rsidRPr="006A633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8E07" w14:textId="77777777" w:rsidR="00286D89" w:rsidRDefault="00286D89">
      <w:r>
        <w:separator/>
      </w:r>
    </w:p>
  </w:endnote>
  <w:endnote w:type="continuationSeparator" w:id="0">
    <w:p w14:paraId="27BEE986" w14:textId="77777777" w:rsidR="00286D89" w:rsidRDefault="0028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30917"/>
      <w:docPartObj>
        <w:docPartGallery w:val="Page Numbers (Bottom of Page)"/>
        <w:docPartUnique/>
      </w:docPartObj>
    </w:sdtPr>
    <w:sdtEndPr>
      <w:rPr>
        <w:noProof/>
      </w:rPr>
    </w:sdtEndPr>
    <w:sdtContent>
      <w:p w14:paraId="59ACD6C8" w14:textId="77777777" w:rsidR="00173C12" w:rsidRDefault="00000000">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56B893F1" w14:textId="77777777" w:rsidR="00173C1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A2513" w14:textId="77777777" w:rsidR="00286D89" w:rsidRDefault="00286D89">
      <w:r>
        <w:separator/>
      </w:r>
    </w:p>
  </w:footnote>
  <w:footnote w:type="continuationSeparator" w:id="0">
    <w:p w14:paraId="261A2C6B" w14:textId="77777777" w:rsidR="00286D89" w:rsidRDefault="00286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39"/>
    <w:rsid w:val="001F41FE"/>
    <w:rsid w:val="00286D89"/>
    <w:rsid w:val="00333714"/>
    <w:rsid w:val="005141B7"/>
    <w:rsid w:val="00625C1B"/>
    <w:rsid w:val="006A6339"/>
    <w:rsid w:val="00B51D5D"/>
    <w:rsid w:val="00D3096D"/>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1A31D6E7"/>
  <w15:chartTrackingRefBased/>
  <w15:docId w15:val="{3E11BEE9-677B-2243-B4EC-8AC243BA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339"/>
    <w:rPr>
      <w:rFonts w:ascii="Times New Roman" w:eastAsia="Times New Roman" w:hAnsi="Times New Roman" w:cs="Times New Roman"/>
      <w:lang w:val="sv-S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A6339"/>
    <w:pPr>
      <w:spacing w:after="200"/>
    </w:pPr>
    <w:rPr>
      <w:i/>
      <w:iCs/>
      <w:color w:val="44546A" w:themeColor="text2"/>
      <w:sz w:val="18"/>
      <w:szCs w:val="18"/>
    </w:rPr>
  </w:style>
  <w:style w:type="paragraph" w:styleId="Footer">
    <w:name w:val="footer"/>
    <w:basedOn w:val="Normal"/>
    <w:link w:val="FooterChar"/>
    <w:uiPriority w:val="99"/>
    <w:unhideWhenUsed/>
    <w:rsid w:val="006A6339"/>
    <w:pPr>
      <w:tabs>
        <w:tab w:val="center" w:pos="4536"/>
        <w:tab w:val="right" w:pos="9072"/>
      </w:tabs>
    </w:pPr>
  </w:style>
  <w:style w:type="character" w:customStyle="1" w:styleId="FooterChar">
    <w:name w:val="Footer Char"/>
    <w:basedOn w:val="DefaultParagraphFont"/>
    <w:link w:val="Footer"/>
    <w:uiPriority w:val="99"/>
    <w:rsid w:val="006A6339"/>
    <w:rPr>
      <w:rFonts w:ascii="Times New Roman" w:eastAsia="Times New Roman" w:hAnsi="Times New Roman" w:cs="Times New Roman"/>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Rofo</dc:creator>
  <cp:keywords/>
  <dc:description/>
  <cp:lastModifiedBy>Greta Hultqvist</cp:lastModifiedBy>
  <cp:revision>2</cp:revision>
  <dcterms:created xsi:type="dcterms:W3CDTF">2022-07-13T12:22:00Z</dcterms:created>
  <dcterms:modified xsi:type="dcterms:W3CDTF">2022-07-13T12:22:00Z</dcterms:modified>
</cp:coreProperties>
</file>