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5A46" w14:textId="17BE0667" w:rsidR="00690798" w:rsidRDefault="00BA4000" w:rsidP="00E27A87">
      <w:pPr>
        <w:pStyle w:val="Heading2"/>
      </w:pPr>
      <w:r>
        <w:t xml:space="preserve">Impact of </w:t>
      </w:r>
      <w:r w:rsidRPr="00A059F9">
        <w:rPr>
          <w:i/>
          <w:iCs/>
        </w:rPr>
        <w:t>APOE</w:t>
      </w:r>
      <w:r>
        <w:t xml:space="preserve"> </w:t>
      </w:r>
      <w:r w:rsidR="00A059F9">
        <w:t xml:space="preserve">genotype </w:t>
      </w:r>
      <w:r>
        <w:t xml:space="preserve">and HRT use on </w:t>
      </w:r>
      <w:r w:rsidR="00F009B9">
        <w:t>Regional brain volumes</w:t>
      </w:r>
    </w:p>
    <w:p w14:paraId="369F194E" w14:textId="46094FB9" w:rsidR="0051799B" w:rsidRPr="00480E4C" w:rsidRDefault="0051799B" w:rsidP="0051799B">
      <w:r>
        <w:rPr>
          <w:b/>
          <w:bCs/>
        </w:rPr>
        <w:t xml:space="preserve">Supplemental </w:t>
      </w:r>
      <w:r w:rsidR="00716B70">
        <w:rPr>
          <w:b/>
          <w:bCs/>
        </w:rPr>
        <w:t>t</w:t>
      </w:r>
      <w:r>
        <w:rPr>
          <w:b/>
          <w:bCs/>
        </w:rPr>
        <w:t xml:space="preserve">able </w:t>
      </w:r>
      <w:r w:rsidR="004E5C1F">
        <w:rPr>
          <w:b/>
          <w:bCs/>
        </w:rPr>
        <w:t>1</w:t>
      </w:r>
      <w:r>
        <w:rPr>
          <w:b/>
          <w:bCs/>
        </w:rPr>
        <w:t xml:space="preserve">: </w:t>
      </w:r>
      <w:bookmarkStart w:id="0" w:name="_Hlk97630377"/>
      <w:r>
        <w:rPr>
          <w:b/>
          <w:bCs/>
        </w:rPr>
        <w:t>Brain structural outcomes (MRI), volumes (mean</w:t>
      </w:r>
      <w:r w:rsidRPr="00C5374B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±SEM)</w:t>
      </w:r>
      <w:r w:rsidRPr="00C5374B"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in mm</w:t>
      </w:r>
      <w:r w:rsidRPr="00C5374B">
        <w:rPr>
          <w:b/>
          <w:bCs/>
          <w:vertAlign w:val="superscript"/>
        </w:rPr>
        <w:t>3</w:t>
      </w:r>
      <w:r>
        <w:rPr>
          <w:b/>
          <w:bCs/>
        </w:rPr>
        <w:t xml:space="preserve">, according to HRT use and </w:t>
      </w:r>
      <w:r>
        <w:rPr>
          <w:b/>
          <w:bCs/>
          <w:i/>
          <w:iCs/>
        </w:rPr>
        <w:t xml:space="preserve">APOE4 </w:t>
      </w:r>
      <w:r>
        <w:rPr>
          <w:b/>
          <w:bCs/>
        </w:rPr>
        <w:t>genotype status</w:t>
      </w:r>
      <w:bookmarkEnd w:id="0"/>
    </w:p>
    <w:tbl>
      <w:tblPr>
        <w:tblW w:w="4434" w:type="pct"/>
        <w:tblLayout w:type="fixed"/>
        <w:tblLook w:val="04A0" w:firstRow="1" w:lastRow="0" w:firstColumn="1" w:lastColumn="0" w:noHBand="0" w:noVBand="1"/>
      </w:tblPr>
      <w:tblGrid>
        <w:gridCol w:w="2155"/>
        <w:gridCol w:w="1551"/>
        <w:gridCol w:w="1158"/>
        <w:gridCol w:w="1368"/>
        <w:gridCol w:w="22"/>
        <w:gridCol w:w="1635"/>
        <w:gridCol w:w="1133"/>
        <w:gridCol w:w="1420"/>
        <w:gridCol w:w="42"/>
        <w:gridCol w:w="475"/>
        <w:gridCol w:w="45"/>
        <w:gridCol w:w="49"/>
        <w:gridCol w:w="618"/>
        <w:gridCol w:w="49"/>
        <w:gridCol w:w="40"/>
        <w:gridCol w:w="567"/>
        <w:gridCol w:w="42"/>
      </w:tblGrid>
      <w:tr w:rsidR="00846A77" w:rsidRPr="003E0A60" w14:paraId="528788C4" w14:textId="77777777" w:rsidTr="00DE3952">
        <w:trPr>
          <w:gridAfter w:val="1"/>
          <w:wAfter w:w="17" w:type="pct"/>
          <w:trHeight w:val="36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9224" w14:textId="77777777" w:rsidR="0051799B" w:rsidRPr="003E0A60" w:rsidRDefault="0051799B" w:rsidP="00A92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2986" w14:textId="77777777" w:rsidR="0051799B" w:rsidRPr="003E0A60" w:rsidRDefault="0051799B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0A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Non-E4</w:t>
            </w:r>
          </w:p>
        </w:tc>
        <w:tc>
          <w:tcPr>
            <w:tcW w:w="171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C73B" w14:textId="77777777" w:rsidR="0051799B" w:rsidRPr="003E0A60" w:rsidRDefault="0051799B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0A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E4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FC34" w14:textId="77777777" w:rsidR="0051799B" w:rsidRPr="003E0A60" w:rsidRDefault="0051799B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0A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</w:t>
            </w:r>
            <w:r w:rsidRPr="003E0A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vertAlign w:val="subscript"/>
                <w:lang w:eastAsia="en-GB"/>
              </w:rPr>
              <w:t>APOE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FB3C" w14:textId="77777777" w:rsidR="0051799B" w:rsidRPr="003E0A60" w:rsidRDefault="0051799B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0A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</w:t>
            </w:r>
            <w:r w:rsidRPr="003E0A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vertAlign w:val="subscript"/>
                <w:lang w:eastAsia="en-GB"/>
              </w:rPr>
              <w:t>HRT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E3F2" w14:textId="77777777" w:rsidR="0051799B" w:rsidRPr="003E0A60" w:rsidRDefault="0051799B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E0A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</w:t>
            </w:r>
            <w:r w:rsidRPr="003E0A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vertAlign w:val="subscript"/>
                <w:lang w:eastAsia="en-GB"/>
              </w:rPr>
              <w:t>APOE*HRT</w:t>
            </w:r>
          </w:p>
        </w:tc>
      </w:tr>
      <w:tr w:rsidR="000568DE" w:rsidRPr="00DA166F" w14:paraId="5599290D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6967A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A6E8" w14:textId="77777777" w:rsidR="000568DE" w:rsidRPr="00584B3E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84B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no-HRT (n=591-593)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CAED" w14:textId="77777777" w:rsidR="000568DE" w:rsidRPr="00584B3E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84B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HRT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n</w:t>
            </w:r>
            <w:r w:rsidRPr="00584B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=48-50)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CC39" w14:textId="77777777" w:rsidR="000568DE" w:rsidRPr="00584B3E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84B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(n=639-643)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265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no-HRT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(n=345-347)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264E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HRT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(n=29)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443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Total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CE0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(n=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374</w:t>
            </w:r>
            <w:r w:rsidRPr="00CE0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376</w:t>
            </w:r>
            <w:r w:rsidRPr="00CE0E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FA4B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C68C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9E4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0568DE" w:rsidRPr="00DA166F" w14:paraId="197F2EE9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C7AA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hippocampus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ACD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2360  ±13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4CC2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2383  ±60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7F1A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2362  ±13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80EB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2298  ±22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A43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2384  ±37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B585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2304  ±21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560D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0E02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420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54FBA5BC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59BE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hippocampus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913C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2284  ±13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8203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2335  ±57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976B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2288  ±12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138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2227  ±22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24E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2333  ±43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5E21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2235  ±20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9AC8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BAE7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E5D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4F0202B4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1EFDE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entorhinal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F7E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2420  ±15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4EF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2494  ±48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039E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2426  ±14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1A7C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2359  ±22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CBA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2540  ±81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BABD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2373  ±22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4EA7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799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E4A3" w14:textId="45E1DBA2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0.07</w:t>
            </w:r>
            <w:r w:rsidR="00193C80"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0568DE" w:rsidRPr="00DA166F" w14:paraId="3B419026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83CB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entorhinal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B26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2026  ±12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E0F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2058  ±39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9C3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2029  ±12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1A6B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1957  ±17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2F8B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2172  ±65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DBF0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1974  ±17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E5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3E0B" w14:textId="1106A8D1" w:rsidR="000568DE" w:rsidRPr="00B31E71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0.026</w:t>
            </w:r>
            <w:r w:rsidR="00B31E71">
              <w:rPr>
                <w:rFonts w:ascii="Calibri" w:hAnsi="Calibri" w:cs="Calibri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84E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0568DE" w:rsidRPr="00DA166F" w14:paraId="6A0A3467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3C65D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amygdala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BF58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1028  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597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1032  ±21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743D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1029  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3F5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993  ±11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5FA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1070  ±31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0685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999  ±10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1573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A528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B34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0568DE" w:rsidRPr="00DA166F" w14:paraId="37EB8793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93D72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amygdala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F2B7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1071  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2813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1082  ±19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59A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1072  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C6E7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1031  ±10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350E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1116  ±33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293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1038  ±10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497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A62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02A" w14:textId="52FED615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0.00</w:t>
            </w:r>
            <w:r w:rsidR="002E11BA" w:rsidRPr="00193C8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0568DE" w:rsidRPr="00DA166F" w14:paraId="7B62A7BB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F4B5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parahippocampal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C09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2670  ±13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57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2735  ±50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AC2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2675  ±13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011D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2624  ±20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880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2670  ±52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7438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2628  ±19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B9B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0236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907C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20161C70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9A41A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parahippocampal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33F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2930  ±15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5F3F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2971  ±46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EFE5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2933  ±14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040D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2840  ±20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6CB1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2946  ±59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B9D0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2849  ±19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65B7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E2A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7A28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6B609C46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A83E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Middle Temporal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04CD" w14:textId="09807FF3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6587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1BE" w14:textId="59D0CAFA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6831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49F" w14:textId="540D52B0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6606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BECC" w14:textId="4CD9FB39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6442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5481" w14:textId="2A5F261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6635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185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9BC6" w14:textId="2C7D126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6457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2DA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7B12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0BE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38B9D5CB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0C8F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Middle Temporal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AFC6" w14:textId="76ED8BE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5250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3970" w14:textId="60F5BBF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5352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56ED" w14:textId="7881FB5E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5258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A1BE" w14:textId="4EC9AB19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5154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E79E" w14:textId="3E8B25CF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5118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9F5" w14:textId="6B4ADC9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5151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4331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D18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89F1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2D479B8E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8E4F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superior temporal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4412" w14:textId="651F60F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6223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1213" w14:textId="0780FB1A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6391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2AD6" w14:textId="48364799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6236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A830" w14:textId="045E8E88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6127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FAD9" w14:textId="0E38B209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6154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46A0" w14:textId="5A24819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6129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F1E2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5A8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7E0C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621C7204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7608B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 superior temporal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72B1" w14:textId="4FBD9A6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6385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9AA3" w14:textId="3B409619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6435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2ABF" w14:textId="06BC5C1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6389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ADC0" w14:textId="4583096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6303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724C" w14:textId="0F2499F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6256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148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9563" w14:textId="645162E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6299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3D8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D7FA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88A9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  <w:tr w:rsidR="000568DE" w:rsidRPr="00DA166F" w14:paraId="754C9504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ED40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anterior cingulate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9C60" w14:textId="72F7F3E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3543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C68C" w14:textId="1F0E678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3365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C11F" w14:textId="526176FA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3529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E2C9" w14:textId="200245CD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3564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2CB6" w14:textId="3AC53A7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3405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06F9" w14:textId="7F16FD3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3552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8FDB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69D" w14:textId="77777777" w:rsidR="000568DE" w:rsidRPr="00CD267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CD267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2565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52614326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A813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anterior cingulate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B0DA" w14:textId="34DC9EA6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4384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6DC5" w14:textId="556C1B2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4286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D87C" w14:textId="5CFD775D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4376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291B" w14:textId="5C0BCED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4358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DF40" w14:textId="6FF4744A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4350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133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908F" w14:textId="6F2FF66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4357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DC89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44D7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0.062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A79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2809B936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F7EC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superior frontal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00E3" w14:textId="48591BA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12287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CA86" w14:textId="31B17FDE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12580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4A27" w14:textId="23040F2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12310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CD99" w14:textId="3E4DFEA3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12103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14F6" w14:textId="7F95FE65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12001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275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0BEB" w14:textId="0D6A632F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12095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281B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68DA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5342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03E4B00B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02DE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 superior frontal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C59B" w14:textId="4E8B662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11582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A5AC" w14:textId="454CC2C4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12166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9392" w14:textId="0DE9BAB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11627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56C3" w14:textId="4CAA56D0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11472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504D" w14:textId="2341137E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11946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319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9587" w14:textId="0F2DAE00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11509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0DEE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43AC" w14:textId="77777777" w:rsidR="000568DE" w:rsidRPr="00CD267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CD267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0.009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9A7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20249BF7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3756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medial frontal cortex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D7ED" w14:textId="45A4F5E2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1493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7856" w14:textId="2CBBA718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1497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61E6" w14:textId="22F97083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1494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96AB" w14:textId="73116B06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1484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DFAE" w14:textId="048E6541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1457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13F1" w14:textId="53E33A7A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1482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8174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8C3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E78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3BAB2DAB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01950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medial frontal cortex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EFF3" w14:textId="7D3AF170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1675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079B" w14:textId="05E7E8F6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1680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A657" w14:textId="46C0E11A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1676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2516" w14:textId="3D79C0AF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1632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4B4" w14:textId="2E7DC3E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1614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9A59" w14:textId="5BC7A82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1631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C4B2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8E4C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C4D6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</w:tr>
      <w:tr w:rsidR="000568DE" w:rsidRPr="00DA166F" w14:paraId="372233DD" w14:textId="77777777" w:rsidTr="00373BA8">
        <w:trPr>
          <w:gridAfter w:val="1"/>
          <w:wAfter w:w="17" w:type="pct"/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3D07D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middle frontal gyrus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1D4E" w14:textId="22128DB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16282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27A2" w14:textId="2F9C178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16101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33B7" w14:textId="3B65B46D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16268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AD6" w14:textId="4E7E60B6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16027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BD2C" w14:textId="7E102DC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16446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1B20" w14:textId="71850239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16059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0B1B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A9C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NS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74E" w14:textId="77777777" w:rsidR="000568DE" w:rsidRPr="00193C80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193C8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0.06</w:t>
            </w:r>
          </w:p>
        </w:tc>
      </w:tr>
      <w:tr w:rsidR="000568DE" w:rsidRPr="00DA166F" w14:paraId="4D99C2F7" w14:textId="77777777" w:rsidTr="00987B91">
        <w:trPr>
          <w:trHeight w:val="300"/>
        </w:trPr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67AC" w14:textId="77777777" w:rsidR="000568DE" w:rsidRPr="00DA166F" w:rsidRDefault="000568DE" w:rsidP="00A92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middle frontal gyrus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208C6" w14:textId="731D365B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16497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78538" w14:textId="23C3A4A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16510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EA7C2" w14:textId="140FCBA6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16498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157EA" w14:textId="68E30018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16267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</w:t>
            </w:r>
            <w:r w:rsidR="009E767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68207" w14:textId="56A6970E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16495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70E19" w14:textId="56BDAFAC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16285 </w:t>
            </w:r>
            <w:r w:rsidR="00DD23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±</w:t>
            </w:r>
            <w:r w:rsidRPr="00DA16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2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666A6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CBBC8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BA74" w14:textId="77777777" w:rsidR="000568DE" w:rsidRPr="00DA166F" w:rsidRDefault="000568DE" w:rsidP="00A92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166F">
              <w:rPr>
                <w:rFonts w:ascii="Calibri" w:hAnsi="Calibri" w:cs="Calibri"/>
                <w:color w:val="000000"/>
                <w:sz w:val="16"/>
                <w:szCs w:val="16"/>
              </w:rPr>
              <w:t>NS</w:t>
            </w:r>
          </w:p>
        </w:tc>
      </w:tr>
    </w:tbl>
    <w:p w14:paraId="2021A3BC" w14:textId="77777777" w:rsidR="005E6AA9" w:rsidRDefault="005E6AA9" w:rsidP="005E6AA9">
      <w:pPr>
        <w:rPr>
          <w:sz w:val="18"/>
          <w:szCs w:val="18"/>
        </w:rPr>
      </w:pPr>
      <w:r w:rsidRPr="00DA166F">
        <w:rPr>
          <w:i/>
          <w:iCs/>
          <w:sz w:val="18"/>
          <w:szCs w:val="18"/>
        </w:rPr>
        <w:t>Mean (mm</w:t>
      </w:r>
      <w:r w:rsidRPr="00DA166F">
        <w:rPr>
          <w:i/>
          <w:iCs/>
          <w:sz w:val="18"/>
          <w:szCs w:val="18"/>
          <w:vertAlign w:val="superscript"/>
        </w:rPr>
        <w:t>3</w:t>
      </w:r>
      <w:r w:rsidRPr="00DA166F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en-GB"/>
        </w:rPr>
        <w:t>) ±SEM</w:t>
      </w:r>
      <w:r w:rsidRPr="00DA166F">
        <w:rPr>
          <w:i/>
          <w:iCs/>
          <w:sz w:val="18"/>
          <w:szCs w:val="18"/>
        </w:rPr>
        <w:t xml:space="preserve"> of regional MRI</w:t>
      </w:r>
      <w:r w:rsidRPr="00DA166F">
        <w:rPr>
          <w:i/>
          <w:iCs/>
          <w:sz w:val="18"/>
          <w:szCs w:val="18"/>
          <w:vertAlign w:val="superscript"/>
        </w:rPr>
        <w:t xml:space="preserve"> </w:t>
      </w:r>
      <w:r w:rsidRPr="00DA166F">
        <w:rPr>
          <w:i/>
          <w:iCs/>
          <w:sz w:val="18"/>
          <w:szCs w:val="18"/>
        </w:rPr>
        <w:t>brain volumes, a</w:t>
      </w:r>
      <w:r w:rsidRPr="002C6E67">
        <w:rPr>
          <w:i/>
          <w:iCs/>
          <w:sz w:val="18"/>
          <w:szCs w:val="18"/>
        </w:rPr>
        <w:t>ccording to APOE4 genotype</w:t>
      </w:r>
      <w:r>
        <w:rPr>
          <w:i/>
          <w:iCs/>
          <w:sz w:val="18"/>
          <w:szCs w:val="18"/>
        </w:rPr>
        <w:t xml:space="preserve"> and HRT use</w:t>
      </w:r>
      <w:r w:rsidRPr="002C6E67">
        <w:rPr>
          <w:rFonts w:asciiTheme="majorHAnsi" w:eastAsiaTheme="majorEastAsia" w:hAnsiTheme="majorHAnsi" w:cstheme="majorBidi"/>
          <w:b/>
          <w:sz w:val="18"/>
          <w:szCs w:val="18"/>
        </w:rPr>
        <w:t xml:space="preserve">.  </w:t>
      </w:r>
      <w:r w:rsidRPr="002C6E6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Significant P values for APOE genotype,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Pr="002C6E6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HRT and APOE*HRT are shown.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MANCOVA model was used</w:t>
      </w:r>
      <w:r w:rsidR="00164B9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.</w:t>
      </w:r>
      <w:r w:rsidRPr="002C6E6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Pr="002C6E67">
        <w:rPr>
          <w:sz w:val="18"/>
          <w:szCs w:val="18"/>
        </w:rPr>
        <w:t xml:space="preserve">Adjustment of the brain </w:t>
      </w:r>
      <w:r>
        <w:rPr>
          <w:sz w:val="18"/>
          <w:szCs w:val="18"/>
        </w:rPr>
        <w:t>regions</w:t>
      </w:r>
      <w:r w:rsidRPr="002C6E67">
        <w:rPr>
          <w:sz w:val="18"/>
          <w:szCs w:val="18"/>
        </w:rPr>
        <w:t xml:space="preserve"> to the</w:t>
      </w:r>
      <w:r>
        <w:rPr>
          <w:sz w:val="18"/>
          <w:szCs w:val="18"/>
        </w:rPr>
        <w:t xml:space="preserve"> total</w:t>
      </w:r>
      <w:r w:rsidRPr="002C6E67">
        <w:rPr>
          <w:sz w:val="18"/>
          <w:szCs w:val="18"/>
        </w:rPr>
        <w:t xml:space="preserve"> intracranial volume was carried out before statistical analysis</w:t>
      </w:r>
      <w:r>
        <w:rPr>
          <w:sz w:val="18"/>
          <w:szCs w:val="18"/>
        </w:rPr>
        <w:t>.</w:t>
      </w:r>
      <w:r w:rsidRPr="002C6E6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Pr="002C6E67">
        <w:rPr>
          <w:sz w:val="18"/>
          <w:szCs w:val="18"/>
        </w:rPr>
        <w:t>Age, years of education, marital status, handedness and CDR were used as covariates</w:t>
      </w:r>
      <w:r w:rsidRPr="002C6E6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  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 </w:t>
      </w:r>
      <w:r>
        <w:rPr>
          <w:sz w:val="18"/>
          <w:szCs w:val="18"/>
        </w:rPr>
        <w:t xml:space="preserve">p- significant &lt;0.05. </w:t>
      </w:r>
      <w:proofErr w:type="gramStart"/>
      <w:r w:rsidRPr="00685EED">
        <w:rPr>
          <w:sz w:val="18"/>
          <w:szCs w:val="18"/>
          <w:vertAlign w:val="superscript"/>
        </w:rPr>
        <w:t>a</w:t>
      </w:r>
      <w:proofErr w:type="gramEnd"/>
      <w:r>
        <w:rPr>
          <w:sz w:val="18"/>
          <w:szCs w:val="18"/>
        </w:rPr>
        <w:t xml:space="preserve"> insignificant after FDR correction for multiple comparison. </w:t>
      </w:r>
      <w:r w:rsidRPr="00A82A56">
        <w:rPr>
          <w:b/>
          <w:bCs/>
          <w:sz w:val="18"/>
          <w:szCs w:val="18"/>
        </w:rPr>
        <w:t>B</w:t>
      </w:r>
      <w:r>
        <w:rPr>
          <w:b/>
          <w:bCs/>
          <w:sz w:val="18"/>
          <w:szCs w:val="18"/>
        </w:rPr>
        <w:t>o</w:t>
      </w:r>
      <w:r w:rsidRPr="00A82A56">
        <w:rPr>
          <w:b/>
          <w:bCs/>
          <w:sz w:val="18"/>
          <w:szCs w:val="18"/>
        </w:rPr>
        <w:t>ld</w:t>
      </w:r>
      <w:r>
        <w:rPr>
          <w:sz w:val="18"/>
          <w:szCs w:val="18"/>
        </w:rPr>
        <w:t>: significant after FDR correc</w:t>
      </w:r>
      <w:r w:rsidR="00F009B9">
        <w:rPr>
          <w:sz w:val="18"/>
          <w:szCs w:val="18"/>
        </w:rPr>
        <w:t>tio</w:t>
      </w:r>
      <w:r w:rsidR="00A3127E">
        <w:rPr>
          <w:sz w:val="18"/>
          <w:szCs w:val="18"/>
        </w:rPr>
        <w:t>n</w:t>
      </w:r>
    </w:p>
    <w:p w14:paraId="022239C4" w14:textId="77777777" w:rsidR="00690798" w:rsidRDefault="00690798" w:rsidP="00F41CA0"/>
    <w:sectPr w:rsidR="00690798" w:rsidSect="00A954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4415" w14:textId="77777777" w:rsidR="0047381B" w:rsidRDefault="0047381B" w:rsidP="00931345">
      <w:pPr>
        <w:spacing w:after="0" w:line="240" w:lineRule="auto"/>
      </w:pPr>
      <w:r>
        <w:separator/>
      </w:r>
    </w:p>
  </w:endnote>
  <w:endnote w:type="continuationSeparator" w:id="0">
    <w:p w14:paraId="39B7D55B" w14:textId="77777777" w:rsidR="0047381B" w:rsidRDefault="0047381B" w:rsidP="0093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B8FF" w14:textId="77777777" w:rsidR="0047381B" w:rsidRDefault="0047381B" w:rsidP="00931345">
      <w:pPr>
        <w:spacing w:after="0" w:line="240" w:lineRule="auto"/>
      </w:pPr>
      <w:r>
        <w:separator/>
      </w:r>
    </w:p>
  </w:footnote>
  <w:footnote w:type="continuationSeparator" w:id="0">
    <w:p w14:paraId="3B4F2C06" w14:textId="77777777" w:rsidR="0047381B" w:rsidRDefault="0047381B" w:rsidP="00931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099"/>
    <w:multiLevelType w:val="hybridMultilevel"/>
    <w:tmpl w:val="D4A44A48"/>
    <w:lvl w:ilvl="0" w:tplc="09E85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21B7"/>
    <w:multiLevelType w:val="hybridMultilevel"/>
    <w:tmpl w:val="764CCED6"/>
    <w:lvl w:ilvl="0" w:tplc="48929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054B8"/>
    <w:multiLevelType w:val="hybridMultilevel"/>
    <w:tmpl w:val="B0BA8190"/>
    <w:lvl w:ilvl="0" w:tplc="EFCCE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F672A"/>
    <w:multiLevelType w:val="hybridMultilevel"/>
    <w:tmpl w:val="EACE78F4"/>
    <w:lvl w:ilvl="0" w:tplc="5590F7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44"/>
    <w:rsid w:val="00023471"/>
    <w:rsid w:val="000568DE"/>
    <w:rsid w:val="000A4E91"/>
    <w:rsid w:val="000C4B23"/>
    <w:rsid w:val="00136318"/>
    <w:rsid w:val="001546D7"/>
    <w:rsid w:val="00164B97"/>
    <w:rsid w:val="001837DC"/>
    <w:rsid w:val="00193C80"/>
    <w:rsid w:val="002027C7"/>
    <w:rsid w:val="00262CA8"/>
    <w:rsid w:val="0029394A"/>
    <w:rsid w:val="002E11BA"/>
    <w:rsid w:val="002E2444"/>
    <w:rsid w:val="0030786C"/>
    <w:rsid w:val="00312B15"/>
    <w:rsid w:val="003138F4"/>
    <w:rsid w:val="003337A3"/>
    <w:rsid w:val="00360260"/>
    <w:rsid w:val="00371668"/>
    <w:rsid w:val="00373BA8"/>
    <w:rsid w:val="003A0425"/>
    <w:rsid w:val="003E4A26"/>
    <w:rsid w:val="00436702"/>
    <w:rsid w:val="0047381B"/>
    <w:rsid w:val="00481193"/>
    <w:rsid w:val="00483D1C"/>
    <w:rsid w:val="004B749D"/>
    <w:rsid w:val="004D2F44"/>
    <w:rsid w:val="004E5C1F"/>
    <w:rsid w:val="004F1458"/>
    <w:rsid w:val="0051799B"/>
    <w:rsid w:val="00520A7B"/>
    <w:rsid w:val="00552580"/>
    <w:rsid w:val="00553A4F"/>
    <w:rsid w:val="0057361D"/>
    <w:rsid w:val="005E6AA9"/>
    <w:rsid w:val="005F5798"/>
    <w:rsid w:val="00600249"/>
    <w:rsid w:val="00615046"/>
    <w:rsid w:val="0064151C"/>
    <w:rsid w:val="00667069"/>
    <w:rsid w:val="00690798"/>
    <w:rsid w:val="006B67DA"/>
    <w:rsid w:val="007155C6"/>
    <w:rsid w:val="00716B70"/>
    <w:rsid w:val="00727CE8"/>
    <w:rsid w:val="007607E6"/>
    <w:rsid w:val="0078432C"/>
    <w:rsid w:val="007E1AAE"/>
    <w:rsid w:val="00846A77"/>
    <w:rsid w:val="00863868"/>
    <w:rsid w:val="00874692"/>
    <w:rsid w:val="008774CB"/>
    <w:rsid w:val="00894666"/>
    <w:rsid w:val="008E748D"/>
    <w:rsid w:val="00901B04"/>
    <w:rsid w:val="00925EF6"/>
    <w:rsid w:val="00931345"/>
    <w:rsid w:val="00956073"/>
    <w:rsid w:val="00987B91"/>
    <w:rsid w:val="009B2ACF"/>
    <w:rsid w:val="009C00FF"/>
    <w:rsid w:val="009E7672"/>
    <w:rsid w:val="00A059F9"/>
    <w:rsid w:val="00A156FE"/>
    <w:rsid w:val="00A3127E"/>
    <w:rsid w:val="00A83FA3"/>
    <w:rsid w:val="00A9540E"/>
    <w:rsid w:val="00AB118A"/>
    <w:rsid w:val="00AC6FAD"/>
    <w:rsid w:val="00AE287C"/>
    <w:rsid w:val="00B01E87"/>
    <w:rsid w:val="00B03EAD"/>
    <w:rsid w:val="00B23169"/>
    <w:rsid w:val="00B24BEA"/>
    <w:rsid w:val="00B25F1C"/>
    <w:rsid w:val="00B318B7"/>
    <w:rsid w:val="00B31E71"/>
    <w:rsid w:val="00B43210"/>
    <w:rsid w:val="00B71BB1"/>
    <w:rsid w:val="00B71E6D"/>
    <w:rsid w:val="00B737CD"/>
    <w:rsid w:val="00B80335"/>
    <w:rsid w:val="00B841D6"/>
    <w:rsid w:val="00B94611"/>
    <w:rsid w:val="00BA4000"/>
    <w:rsid w:val="00BC40BD"/>
    <w:rsid w:val="00BF25EC"/>
    <w:rsid w:val="00C10BA7"/>
    <w:rsid w:val="00C22C58"/>
    <w:rsid w:val="00CD267F"/>
    <w:rsid w:val="00CE37E1"/>
    <w:rsid w:val="00CE400B"/>
    <w:rsid w:val="00CF2416"/>
    <w:rsid w:val="00D24652"/>
    <w:rsid w:val="00DD23B7"/>
    <w:rsid w:val="00DE3952"/>
    <w:rsid w:val="00E07F59"/>
    <w:rsid w:val="00E276B1"/>
    <w:rsid w:val="00E27A87"/>
    <w:rsid w:val="00E357AF"/>
    <w:rsid w:val="00E57DE7"/>
    <w:rsid w:val="00E71E92"/>
    <w:rsid w:val="00E73574"/>
    <w:rsid w:val="00E77CEC"/>
    <w:rsid w:val="00E91E41"/>
    <w:rsid w:val="00E9461F"/>
    <w:rsid w:val="00EB2842"/>
    <w:rsid w:val="00EB5447"/>
    <w:rsid w:val="00EF69B9"/>
    <w:rsid w:val="00F009B9"/>
    <w:rsid w:val="00F41CA0"/>
    <w:rsid w:val="00F62956"/>
    <w:rsid w:val="00F63D49"/>
    <w:rsid w:val="00FB3C06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07C5"/>
  <w15:chartTrackingRefBased/>
  <w15:docId w15:val="{E3ECD4A9-C12D-458E-8653-5A28AC85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45"/>
  </w:style>
  <w:style w:type="paragraph" w:styleId="Heading1">
    <w:name w:val="heading 1"/>
    <w:basedOn w:val="Normal"/>
    <w:next w:val="Normal"/>
    <w:link w:val="Heading1Char"/>
    <w:uiPriority w:val="9"/>
    <w:qFormat/>
    <w:rsid w:val="0093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345"/>
  </w:style>
  <w:style w:type="paragraph" w:styleId="Footer">
    <w:name w:val="footer"/>
    <w:basedOn w:val="Normal"/>
    <w:link w:val="FooterChar"/>
    <w:uiPriority w:val="99"/>
    <w:unhideWhenUsed/>
    <w:rsid w:val="00931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45"/>
  </w:style>
  <w:style w:type="character" w:customStyle="1" w:styleId="Heading1Char">
    <w:name w:val="Heading 1 Char"/>
    <w:basedOn w:val="DefaultParagraphFont"/>
    <w:link w:val="Heading1"/>
    <w:uiPriority w:val="9"/>
    <w:rsid w:val="0093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07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210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36318"/>
  </w:style>
  <w:style w:type="character" w:customStyle="1" w:styleId="Heading2Char">
    <w:name w:val="Heading 2 Char"/>
    <w:basedOn w:val="DefaultParagraphFont"/>
    <w:link w:val="Heading2"/>
    <w:uiPriority w:val="9"/>
    <w:rsid w:val="00FB3C06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Saleh (MED - Staff)</dc:creator>
  <cp:keywords/>
  <dc:description/>
  <cp:lastModifiedBy>Rasha Saleh (MED - Staff)</cp:lastModifiedBy>
  <cp:revision>6</cp:revision>
  <dcterms:created xsi:type="dcterms:W3CDTF">2022-06-27T10:41:00Z</dcterms:created>
  <dcterms:modified xsi:type="dcterms:W3CDTF">2022-07-13T09:58:00Z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-978648669</vt:i4>
  </property>
  <property fmtid="{D5CDD505-2E9C-101B-9397-08002B2CF9AE}" pid="3" name="_NewReviewCycle">
    <vt:lpwstr/>
  </property>
  <property fmtid="{D5CDD505-2E9C-101B-9397-08002B2CF9AE}" pid="4" name="_EmailSubject">
    <vt:lpwstr>EPAD consortium baseline data analysis</vt:lpwstr>
  </property>
  <property fmtid="{D5CDD505-2E9C-101B-9397-08002B2CF9AE}" pid="5" name="_AuthorEmail">
    <vt:lpwstr>A.Minihane@uea.ac.uk</vt:lpwstr>
  </property>
  <property fmtid="{D5CDD505-2E9C-101B-9397-08002B2CF9AE}" pid="6" name="_AuthorEmailDisplayName">
    <vt:lpwstr>Anne-Marie Minihane (MED - Staff)</vt:lpwstr>
  </property>
  <property fmtid="{D5CDD505-2E9C-101B-9397-08002B2CF9AE}" pid="7" name="_ReviewingToolsShownOnce">
    <vt:lpwstr/>
  </property>
</Properties>
</file>