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F6835" w14:textId="77777777" w:rsidR="008D535A" w:rsidRPr="00CB5480" w:rsidRDefault="008D535A" w:rsidP="008D535A">
      <w:pPr>
        <w:widowControl/>
        <w:rPr>
          <w:rFonts w:ascii="Times New Roman" w:hAnsi="Times New Roman" w:cs="Times New Roman"/>
          <w:b/>
          <w:bCs/>
          <w:color w:val="000000" w:themeColor="text1"/>
          <w:kern w:val="24"/>
          <w:sz w:val="24"/>
        </w:rPr>
        <w:sectPr w:rsidR="008D535A" w:rsidRPr="00CB548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373E">
        <w:rPr>
          <w:rFonts w:ascii="Times New Roman" w:hAnsi="Times New Roman" w:cs="Times New Roman"/>
          <w:noProof/>
          <w:color w:val="000000" w:themeColor="text1"/>
          <w:kern w:val="24"/>
          <w:sz w:val="24"/>
        </w:rPr>
        <w:drawing>
          <wp:inline distT="0" distB="0" distL="0" distR="0" wp14:anchorId="55E52666" wp14:editId="52FEEB6C">
            <wp:extent cx="4994030" cy="800776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8" cy="801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73E">
        <w:rPr>
          <w:rFonts w:ascii="Times New Roman" w:hAnsi="Times New Roman" w:cs="Times New Roman"/>
          <w:b/>
          <w:bCs/>
          <w:color w:val="000000" w:themeColor="text1"/>
          <w:kern w:val="24"/>
          <w:sz w:val="24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</w:rPr>
        <w:t>1</w:t>
      </w:r>
      <w:r w:rsidRPr="00E9373E">
        <w:rPr>
          <w:rFonts w:ascii="Times New Roman" w:hAnsi="Times New Roman" w:cs="Times New Roman"/>
          <w:color w:val="000000" w:themeColor="text1"/>
          <w:kern w:val="24"/>
          <w:sz w:val="24"/>
        </w:rPr>
        <w:t>. Trends of age-standardized rates for YLLs of the eight selected NCDs in the ten countries per 100 000 populations, 1990-2019</w:t>
      </w:r>
    </w:p>
    <w:p w14:paraId="23AD9977" w14:textId="62CA1D18" w:rsidR="008D535A" w:rsidRPr="00E9373E" w:rsidRDefault="008D535A" w:rsidP="008D535A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4"/>
        </w:rPr>
      </w:pPr>
      <w:r w:rsidRPr="00E9373E">
        <w:rPr>
          <w:rFonts w:ascii="Times New Roman" w:hAnsi="Times New Roman" w:cs="Times New Roman"/>
          <w:noProof/>
          <w:color w:val="000000" w:themeColor="text1"/>
          <w:kern w:val="24"/>
        </w:rPr>
        <w:lastRenderedPageBreak/>
        <w:drawing>
          <wp:inline distT="0" distB="0" distL="0" distR="0" wp14:anchorId="189A7C4F" wp14:editId="799F8FA7">
            <wp:extent cx="5162712" cy="8178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459" cy="817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73E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2</w:t>
      </w:r>
      <w:r w:rsidRPr="00E9373E">
        <w:rPr>
          <w:rFonts w:ascii="Times New Roman" w:hAnsi="Times New Roman" w:cs="Times New Roman"/>
          <w:color w:val="000000" w:themeColor="text1"/>
          <w:kern w:val="24"/>
        </w:rPr>
        <w:t>. Trends of age-standardized rates for YLDs of the eight selected NCDs in the ten countries per 100 000 populations, 1990-2019</w:t>
      </w:r>
    </w:p>
    <w:p w14:paraId="59F4433B" w14:textId="77777777" w:rsidR="008D535A" w:rsidRPr="008D535A" w:rsidRDefault="008D535A"/>
    <w:sectPr w:rsidR="008D535A" w:rsidRPr="008D5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5A"/>
    <w:rsid w:val="00064CDE"/>
    <w:rsid w:val="008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2D3832"/>
  <w15:chartTrackingRefBased/>
  <w15:docId w15:val="{080F52A2-2EEE-D645-88EE-F560CB66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35A"/>
    <w:pPr>
      <w:widowControl w:val="0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535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Zhuo, Li</dc:creator>
  <cp:keywords/>
  <dc:description/>
  <cp:lastModifiedBy>Zhuo, Li</cp:lastModifiedBy>
  <cp:revision>1</cp:revision>
  <dcterms:created xsi:type="dcterms:W3CDTF">2022-06-30T14:39:00Z</dcterms:created>
  <dcterms:modified xsi:type="dcterms:W3CDTF">2022-06-30T14:46:00Z</dcterms:modified>
</cp:coreProperties>
</file>