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27897D" w14:textId="54E83897" w:rsidR="00891760" w:rsidRPr="004F3102" w:rsidRDefault="00DD4945" w:rsidP="004F3102">
      <w:pPr>
        <w:jc w:val="both"/>
        <w:rPr>
          <w:color w:val="000000" w:themeColor="text1"/>
        </w:rPr>
      </w:pPr>
      <w:r>
        <w:rPr>
          <w:b/>
          <w:bCs/>
          <w:color w:val="000000" w:themeColor="text1"/>
        </w:rPr>
        <w:t xml:space="preserve">Supplemental Materials </w:t>
      </w:r>
    </w:p>
    <w:p w14:paraId="4ED27A78" w14:textId="77777777" w:rsidR="00891760" w:rsidRPr="004F3102" w:rsidRDefault="00891760" w:rsidP="004F3102">
      <w:pPr>
        <w:jc w:val="both"/>
        <w:rPr>
          <w:color w:val="000000" w:themeColor="text1"/>
        </w:rPr>
      </w:pPr>
    </w:p>
    <w:p w14:paraId="7BB12362" w14:textId="77777777" w:rsidR="00891760" w:rsidRPr="004F3102" w:rsidRDefault="00891760" w:rsidP="004F3102">
      <w:pPr>
        <w:jc w:val="both"/>
        <w:rPr>
          <w:b/>
          <w:bCs/>
          <w:color w:val="000000" w:themeColor="text1"/>
        </w:rPr>
      </w:pPr>
      <w:r w:rsidRPr="004F3102">
        <w:rPr>
          <w:b/>
          <w:bCs/>
          <w:color w:val="000000" w:themeColor="text1"/>
        </w:rPr>
        <w:t>Title</w:t>
      </w:r>
    </w:p>
    <w:p w14:paraId="55A765FB" w14:textId="77777777" w:rsidR="00891760" w:rsidRPr="004F3102" w:rsidRDefault="00891760" w:rsidP="004F3102">
      <w:pPr>
        <w:jc w:val="both"/>
        <w:rPr>
          <w:i/>
          <w:iCs/>
          <w:color w:val="000000" w:themeColor="text1"/>
        </w:rPr>
      </w:pPr>
      <w:r w:rsidRPr="004F3102">
        <w:rPr>
          <w:color w:val="000000" w:themeColor="text1"/>
        </w:rPr>
        <w:t xml:space="preserve">Probing the distinct chemosensitivity of </w:t>
      </w:r>
      <w:r w:rsidRPr="004F3102">
        <w:rPr>
          <w:i/>
          <w:iCs/>
          <w:color w:val="000000" w:themeColor="text1"/>
        </w:rPr>
        <w:t xml:space="preserve">Plasmodium vivax </w:t>
      </w:r>
      <w:r w:rsidRPr="004F3102">
        <w:rPr>
          <w:color w:val="000000" w:themeColor="text1"/>
        </w:rPr>
        <w:t xml:space="preserve">liver stage parasites and demonstration of 8-aminoquinoline radical cure </w:t>
      </w:r>
      <w:r>
        <w:rPr>
          <w:color w:val="000000" w:themeColor="text1"/>
        </w:rPr>
        <w:t>activity</w:t>
      </w:r>
      <w:r w:rsidRPr="004F3102">
        <w:rPr>
          <w:color w:val="000000" w:themeColor="text1"/>
        </w:rPr>
        <w:t xml:space="preserve"> </w:t>
      </w:r>
      <w:r w:rsidRPr="004F3102">
        <w:rPr>
          <w:i/>
          <w:iCs/>
          <w:color w:val="000000" w:themeColor="text1"/>
        </w:rPr>
        <w:t>in vitro</w:t>
      </w:r>
    </w:p>
    <w:p w14:paraId="12001FEF" w14:textId="77777777" w:rsidR="00891760" w:rsidRPr="004F3102" w:rsidRDefault="00891760" w:rsidP="004F3102">
      <w:pPr>
        <w:jc w:val="both"/>
        <w:rPr>
          <w:i/>
          <w:iCs/>
          <w:color w:val="000000" w:themeColor="text1"/>
        </w:rPr>
      </w:pPr>
      <w:r w:rsidRPr="004F3102">
        <w:rPr>
          <w:i/>
          <w:iCs/>
          <w:color w:val="000000" w:themeColor="text1"/>
        </w:rPr>
        <w:tab/>
      </w:r>
      <w:r w:rsidRPr="004F3102">
        <w:rPr>
          <w:i/>
          <w:iCs/>
          <w:color w:val="000000" w:themeColor="text1"/>
        </w:rPr>
        <w:tab/>
      </w:r>
      <w:r w:rsidRPr="004F3102">
        <w:rPr>
          <w:i/>
          <w:iCs/>
          <w:color w:val="000000" w:themeColor="text1"/>
        </w:rPr>
        <w:tab/>
      </w:r>
      <w:r w:rsidRPr="004F3102">
        <w:rPr>
          <w:i/>
          <w:iCs/>
          <w:color w:val="000000" w:themeColor="text1"/>
        </w:rPr>
        <w:tab/>
      </w:r>
      <w:r w:rsidRPr="004F3102">
        <w:rPr>
          <w:i/>
          <w:iCs/>
          <w:color w:val="000000" w:themeColor="text1"/>
        </w:rPr>
        <w:tab/>
      </w:r>
    </w:p>
    <w:p w14:paraId="29D5CDD2" w14:textId="7D5D1B3F" w:rsidR="00891760" w:rsidRPr="004F3102" w:rsidRDefault="00891760" w:rsidP="004F3102">
      <w:pPr>
        <w:jc w:val="both"/>
        <w:rPr>
          <w:color w:val="000000" w:themeColor="text1"/>
        </w:rPr>
      </w:pPr>
      <w:r w:rsidRPr="004F3102">
        <w:rPr>
          <w:color w:val="000000" w:themeColor="text1"/>
        </w:rPr>
        <w:t>Steven P. Maher</w:t>
      </w:r>
      <w:r w:rsidRPr="004F3102">
        <w:rPr>
          <w:color w:val="000000" w:themeColor="text1"/>
          <w:vertAlign w:val="superscript"/>
        </w:rPr>
        <w:t>1†</w:t>
      </w:r>
      <w:r w:rsidRPr="004F3102">
        <w:rPr>
          <w:color w:val="000000" w:themeColor="text1"/>
        </w:rPr>
        <w:t xml:space="preserve">*, </w:t>
      </w:r>
      <w:r w:rsidRPr="004F3102">
        <w:rPr>
          <w:color w:val="000000" w:themeColor="text1"/>
          <w:lang w:val="fr-FR"/>
        </w:rPr>
        <w:t>Amélie Vantaux</w:t>
      </w:r>
      <w:r w:rsidRPr="004F3102">
        <w:rPr>
          <w:color w:val="000000" w:themeColor="text1"/>
          <w:vertAlign w:val="superscript"/>
        </w:rPr>
        <w:t>2†</w:t>
      </w:r>
      <w:r w:rsidRPr="004F3102">
        <w:rPr>
          <w:color w:val="000000" w:themeColor="text1"/>
          <w:lang w:val="fr-FR"/>
        </w:rPr>
        <w:t>, Victor Chaumeau</w:t>
      </w:r>
      <w:r w:rsidRPr="004F3102">
        <w:rPr>
          <w:color w:val="000000" w:themeColor="text1"/>
          <w:vertAlign w:val="superscript"/>
          <w:lang w:val="fr-FR"/>
        </w:rPr>
        <w:t>3,4</w:t>
      </w:r>
      <w:r w:rsidRPr="004F3102">
        <w:rPr>
          <w:color w:val="000000" w:themeColor="text1"/>
          <w:lang w:val="fr-FR"/>
        </w:rPr>
        <w:t xml:space="preserve">, </w:t>
      </w:r>
      <w:r w:rsidRPr="004F3102">
        <w:rPr>
          <w:color w:val="000000" w:themeColor="text1"/>
        </w:rPr>
        <w:t>Adeline C. Y. Chua</w:t>
      </w:r>
      <w:r w:rsidRPr="004F3102">
        <w:rPr>
          <w:color w:val="000000" w:themeColor="text1"/>
          <w:vertAlign w:val="superscript"/>
        </w:rPr>
        <w:t>5,6</w:t>
      </w:r>
      <w:r>
        <w:rPr>
          <w:color w:val="000000" w:themeColor="text1"/>
          <w:vertAlign w:val="superscript"/>
        </w:rPr>
        <w:t>,7</w:t>
      </w:r>
      <w:r w:rsidRPr="004F3102">
        <w:rPr>
          <w:color w:val="000000" w:themeColor="text1"/>
        </w:rPr>
        <w:t>, Caitlin A. Cooper</w:t>
      </w:r>
      <w:r w:rsidRPr="004F3102">
        <w:rPr>
          <w:color w:val="000000" w:themeColor="text1"/>
          <w:vertAlign w:val="superscript"/>
        </w:rPr>
        <w:t>1</w:t>
      </w:r>
      <w:r w:rsidRPr="004F3102">
        <w:rPr>
          <w:color w:val="000000" w:themeColor="text1"/>
        </w:rPr>
        <w:t>, Chiara</w:t>
      </w:r>
      <w:r w:rsidRPr="004F3102">
        <w:rPr>
          <w:color w:val="000000" w:themeColor="text1"/>
          <w:lang w:val="de-DE"/>
        </w:rPr>
        <w:t xml:space="preserve"> </w:t>
      </w:r>
      <w:proofErr w:type="spellStart"/>
      <w:r w:rsidRPr="004F3102">
        <w:rPr>
          <w:color w:val="000000" w:themeColor="text1"/>
        </w:rPr>
        <w:t>Andolina</w:t>
      </w:r>
      <w:proofErr w:type="spellEnd"/>
      <w:r w:rsidRPr="004F3102">
        <w:rPr>
          <w:color w:val="000000" w:themeColor="text1"/>
          <w:vertAlign w:val="superscript"/>
          <w:lang w:val="fr-FR"/>
        </w:rPr>
        <w:t>3</w:t>
      </w:r>
      <w:r>
        <w:rPr>
          <w:color w:val="000000" w:themeColor="text1"/>
          <w:vertAlign w:val="superscript"/>
          <w:lang w:val="fr-FR"/>
        </w:rPr>
        <w:t>,4</w:t>
      </w:r>
      <w:r w:rsidRPr="004F3102">
        <w:rPr>
          <w:color w:val="000000" w:themeColor="text1"/>
          <w:lang w:val="de-DE"/>
        </w:rPr>
        <w:t xml:space="preserve">, </w:t>
      </w:r>
      <w:r w:rsidRPr="004F3102">
        <w:rPr>
          <w:color w:val="000000" w:themeColor="text1"/>
        </w:rPr>
        <w:t>Julie Péneau</w:t>
      </w:r>
      <w:r w:rsidRPr="004F3102">
        <w:rPr>
          <w:color w:val="000000" w:themeColor="text1"/>
          <w:vertAlign w:val="superscript"/>
        </w:rPr>
        <w:t>2</w:t>
      </w:r>
      <w:r w:rsidRPr="004F3102">
        <w:rPr>
          <w:color w:val="000000" w:themeColor="text1"/>
        </w:rPr>
        <w:t xml:space="preserve">, </w:t>
      </w:r>
      <w:r w:rsidRPr="004F3102">
        <w:rPr>
          <w:color w:val="000000" w:themeColor="text1"/>
          <w:lang w:val="fr-FR"/>
        </w:rPr>
        <w:t xml:space="preserve">Mélanie </w:t>
      </w:r>
      <w:proofErr w:type="spellStart"/>
      <w:r w:rsidRPr="004F3102">
        <w:rPr>
          <w:color w:val="000000" w:themeColor="text1"/>
          <w:lang w:val="fr-FR"/>
        </w:rPr>
        <w:t>Rouillier</w:t>
      </w:r>
      <w:proofErr w:type="spellEnd"/>
      <w:r>
        <w:rPr>
          <w:color w:val="000000" w:themeColor="text1"/>
          <w:vertAlign w:val="superscript"/>
        </w:rPr>
        <w:t>8</w:t>
      </w:r>
      <w:r w:rsidRPr="004F3102">
        <w:rPr>
          <w:color w:val="000000" w:themeColor="text1"/>
          <w:lang w:val="fr-FR"/>
        </w:rPr>
        <w:t xml:space="preserve">, </w:t>
      </w:r>
      <w:proofErr w:type="spellStart"/>
      <w:r w:rsidRPr="004F3102">
        <w:rPr>
          <w:color w:val="000000" w:themeColor="text1"/>
          <w:lang w:val="fr-FR"/>
        </w:rPr>
        <w:t>Zaira</w:t>
      </w:r>
      <w:proofErr w:type="spellEnd"/>
      <w:r w:rsidRPr="004F3102">
        <w:rPr>
          <w:color w:val="000000" w:themeColor="text1"/>
          <w:lang w:val="fr-FR"/>
        </w:rPr>
        <w:t xml:space="preserve"> </w:t>
      </w:r>
      <w:proofErr w:type="spellStart"/>
      <w:r w:rsidRPr="004F3102">
        <w:rPr>
          <w:color w:val="000000" w:themeColor="text1"/>
          <w:lang w:val="fr-FR"/>
        </w:rPr>
        <w:t>Rizopoulos</w:t>
      </w:r>
      <w:proofErr w:type="spellEnd"/>
      <w:r>
        <w:rPr>
          <w:color w:val="000000" w:themeColor="text1"/>
          <w:vertAlign w:val="superscript"/>
        </w:rPr>
        <w:t>8</w:t>
      </w:r>
      <w:r w:rsidRPr="004F3102">
        <w:rPr>
          <w:color w:val="000000" w:themeColor="text1"/>
          <w:lang w:val="fr-FR"/>
        </w:rPr>
        <w:t xml:space="preserve">, </w:t>
      </w:r>
      <w:proofErr w:type="spellStart"/>
      <w:r w:rsidRPr="004F3102">
        <w:rPr>
          <w:color w:val="000000" w:themeColor="text1"/>
          <w:lang w:val="de-DE"/>
        </w:rPr>
        <w:t>Sivchheng</w:t>
      </w:r>
      <w:proofErr w:type="spellEnd"/>
      <w:r w:rsidRPr="004F3102">
        <w:rPr>
          <w:color w:val="000000" w:themeColor="text1"/>
          <w:lang w:val="de-DE"/>
        </w:rPr>
        <w:t xml:space="preserve"> </w:t>
      </w:r>
      <w:proofErr w:type="spellStart"/>
      <w:r w:rsidRPr="004F3102">
        <w:rPr>
          <w:color w:val="000000" w:themeColor="text1"/>
          <w:lang w:val="de-DE"/>
        </w:rPr>
        <w:t>Phal</w:t>
      </w:r>
      <w:proofErr w:type="spellEnd"/>
      <w:r w:rsidRPr="004F3102">
        <w:rPr>
          <w:color w:val="000000" w:themeColor="text1"/>
          <w:vertAlign w:val="superscript"/>
        </w:rPr>
        <w:t>2</w:t>
      </w:r>
      <w:r w:rsidRPr="004F3102">
        <w:rPr>
          <w:color w:val="000000" w:themeColor="text1"/>
          <w:lang w:val="de-DE"/>
        </w:rPr>
        <w:t>,</w:t>
      </w:r>
      <w:r w:rsidRPr="004F3102">
        <w:rPr>
          <w:color w:val="000000" w:themeColor="text1"/>
        </w:rPr>
        <w:t xml:space="preserve"> </w:t>
      </w:r>
      <w:proofErr w:type="spellStart"/>
      <w:r w:rsidRPr="004F3102">
        <w:rPr>
          <w:color w:val="000000" w:themeColor="text1"/>
          <w:lang w:val="de-DE"/>
        </w:rPr>
        <w:t>Eakpor</w:t>
      </w:r>
      <w:proofErr w:type="spellEnd"/>
      <w:r w:rsidRPr="004F3102">
        <w:rPr>
          <w:color w:val="000000" w:themeColor="text1"/>
        </w:rPr>
        <w:t xml:space="preserve"> </w:t>
      </w:r>
      <w:proofErr w:type="spellStart"/>
      <w:r w:rsidRPr="004F3102">
        <w:rPr>
          <w:color w:val="000000" w:themeColor="text1"/>
          <w:lang w:val="de-DE"/>
        </w:rPr>
        <w:t>Piv</w:t>
      </w:r>
      <w:proofErr w:type="spellEnd"/>
      <w:r w:rsidRPr="004F3102">
        <w:rPr>
          <w:color w:val="000000" w:themeColor="text1"/>
          <w:vertAlign w:val="superscript"/>
        </w:rPr>
        <w:t>2</w:t>
      </w:r>
      <w:r w:rsidRPr="004F3102">
        <w:rPr>
          <w:color w:val="000000" w:themeColor="text1"/>
        </w:rPr>
        <w:t xml:space="preserve">, </w:t>
      </w:r>
      <w:proofErr w:type="spellStart"/>
      <w:r w:rsidRPr="004F3102">
        <w:rPr>
          <w:color w:val="000000" w:themeColor="text1"/>
          <w:lang w:val="fr-FR"/>
        </w:rPr>
        <w:t>Chantrea</w:t>
      </w:r>
      <w:proofErr w:type="spellEnd"/>
      <w:r w:rsidRPr="004F3102">
        <w:rPr>
          <w:color w:val="000000" w:themeColor="text1"/>
          <w:lang w:val="fr-FR"/>
        </w:rPr>
        <w:t xml:space="preserve"> </w:t>
      </w:r>
      <w:proofErr w:type="spellStart"/>
      <w:r w:rsidRPr="004F3102">
        <w:rPr>
          <w:color w:val="000000" w:themeColor="text1"/>
          <w:lang w:val="fr-FR"/>
        </w:rPr>
        <w:t>Vong</w:t>
      </w:r>
      <w:proofErr w:type="spellEnd"/>
      <w:r w:rsidRPr="004F3102">
        <w:rPr>
          <w:color w:val="000000" w:themeColor="text1"/>
          <w:vertAlign w:val="superscript"/>
        </w:rPr>
        <w:t>2</w:t>
      </w:r>
      <w:r w:rsidRPr="004F3102">
        <w:rPr>
          <w:color w:val="000000" w:themeColor="text1"/>
          <w:lang w:val="fr-FR"/>
        </w:rPr>
        <w:t>,</w:t>
      </w:r>
      <w:r w:rsidRPr="004F3102">
        <w:rPr>
          <w:color w:val="000000" w:themeColor="text1"/>
        </w:rPr>
        <w:t xml:space="preserve"> </w:t>
      </w:r>
      <w:proofErr w:type="spellStart"/>
      <w:r w:rsidRPr="004F3102">
        <w:rPr>
          <w:color w:val="000000" w:themeColor="text1"/>
        </w:rPr>
        <w:t>Sreyvouch</w:t>
      </w:r>
      <w:proofErr w:type="spellEnd"/>
      <w:r w:rsidRPr="004F3102">
        <w:rPr>
          <w:color w:val="000000" w:themeColor="text1"/>
        </w:rPr>
        <w:t xml:space="preserve"> Phen</w:t>
      </w:r>
      <w:r w:rsidRPr="004F3102">
        <w:rPr>
          <w:color w:val="000000" w:themeColor="text1"/>
          <w:vertAlign w:val="superscript"/>
        </w:rPr>
        <w:t>2</w:t>
      </w:r>
      <w:r w:rsidRPr="004F3102">
        <w:rPr>
          <w:color w:val="000000" w:themeColor="text1"/>
        </w:rPr>
        <w:t xml:space="preserve">, </w:t>
      </w:r>
      <w:proofErr w:type="spellStart"/>
      <w:r w:rsidRPr="004F3102">
        <w:rPr>
          <w:color w:val="000000" w:themeColor="text1"/>
          <w:lang w:val="de-DE"/>
        </w:rPr>
        <w:t>Chansophea</w:t>
      </w:r>
      <w:proofErr w:type="spellEnd"/>
      <w:r w:rsidRPr="004F3102">
        <w:rPr>
          <w:color w:val="000000" w:themeColor="text1"/>
          <w:lang w:val="de-DE"/>
        </w:rPr>
        <w:t xml:space="preserve"> </w:t>
      </w:r>
      <w:proofErr w:type="spellStart"/>
      <w:r w:rsidRPr="004F3102">
        <w:rPr>
          <w:color w:val="000000" w:themeColor="text1"/>
          <w:lang w:val="de-DE"/>
        </w:rPr>
        <w:t>Chhin</w:t>
      </w:r>
      <w:proofErr w:type="spellEnd"/>
      <w:r w:rsidRPr="004F3102">
        <w:rPr>
          <w:color w:val="000000" w:themeColor="text1"/>
          <w:vertAlign w:val="superscript"/>
        </w:rPr>
        <w:t>2</w:t>
      </w:r>
      <w:r w:rsidRPr="004F3102">
        <w:rPr>
          <w:color w:val="000000" w:themeColor="text1"/>
          <w:lang w:val="de-DE"/>
        </w:rPr>
        <w:t xml:space="preserve">, </w:t>
      </w:r>
      <w:proofErr w:type="spellStart"/>
      <w:r w:rsidRPr="004F3102">
        <w:rPr>
          <w:color w:val="000000" w:themeColor="text1"/>
          <w:lang w:val="fr-FR"/>
        </w:rPr>
        <w:t>Baura</w:t>
      </w:r>
      <w:proofErr w:type="spellEnd"/>
      <w:r w:rsidRPr="004F3102">
        <w:rPr>
          <w:color w:val="000000" w:themeColor="text1"/>
          <w:lang w:val="fr-FR"/>
        </w:rPr>
        <w:t xml:space="preserve"> Tat</w:t>
      </w:r>
      <w:r w:rsidRPr="004F3102">
        <w:rPr>
          <w:color w:val="000000" w:themeColor="text1"/>
          <w:vertAlign w:val="superscript"/>
        </w:rPr>
        <w:t>2</w:t>
      </w:r>
      <w:r w:rsidRPr="004F3102">
        <w:rPr>
          <w:color w:val="000000" w:themeColor="text1"/>
          <w:lang w:val="fr-FR"/>
        </w:rPr>
        <w:t xml:space="preserve">, </w:t>
      </w:r>
      <w:proofErr w:type="spellStart"/>
      <w:r w:rsidRPr="004F3102">
        <w:rPr>
          <w:color w:val="000000" w:themeColor="text1"/>
        </w:rPr>
        <w:t>Sivkeng</w:t>
      </w:r>
      <w:proofErr w:type="spellEnd"/>
      <w:r w:rsidRPr="004F3102">
        <w:rPr>
          <w:color w:val="000000" w:themeColor="text1"/>
        </w:rPr>
        <w:t xml:space="preserve"> Ouk</w:t>
      </w:r>
      <w:r w:rsidRPr="004F3102">
        <w:rPr>
          <w:color w:val="000000" w:themeColor="text1"/>
          <w:vertAlign w:val="superscript"/>
        </w:rPr>
        <w:t>2</w:t>
      </w:r>
      <w:r w:rsidRPr="004F3102">
        <w:rPr>
          <w:color w:val="000000" w:themeColor="text1"/>
        </w:rPr>
        <w:t>, Bros Doeurk</w:t>
      </w:r>
      <w:r w:rsidRPr="004F3102">
        <w:rPr>
          <w:color w:val="000000" w:themeColor="text1"/>
          <w:vertAlign w:val="superscript"/>
        </w:rPr>
        <w:t>2</w:t>
      </w:r>
      <w:r w:rsidRPr="004F3102">
        <w:rPr>
          <w:color w:val="000000" w:themeColor="text1"/>
        </w:rPr>
        <w:t xml:space="preserve">, </w:t>
      </w:r>
      <w:proofErr w:type="spellStart"/>
      <w:r w:rsidRPr="004F3102">
        <w:rPr>
          <w:color w:val="000000" w:themeColor="text1"/>
          <w:lang w:val="de-DE"/>
        </w:rPr>
        <w:t>Saorin</w:t>
      </w:r>
      <w:proofErr w:type="spellEnd"/>
      <w:r w:rsidRPr="004F3102">
        <w:rPr>
          <w:color w:val="000000" w:themeColor="text1"/>
          <w:lang w:val="de-DE"/>
        </w:rPr>
        <w:t xml:space="preserve"> Kim</w:t>
      </w:r>
      <w:r w:rsidRPr="004F3102">
        <w:rPr>
          <w:color w:val="000000" w:themeColor="text1"/>
          <w:vertAlign w:val="superscript"/>
        </w:rPr>
        <w:t>2</w:t>
      </w:r>
      <w:r w:rsidRPr="004F3102">
        <w:rPr>
          <w:color w:val="000000" w:themeColor="text1"/>
          <w:lang w:val="de-DE"/>
        </w:rPr>
        <w:t xml:space="preserve">, </w:t>
      </w:r>
      <w:proofErr w:type="spellStart"/>
      <w:r w:rsidRPr="004F3102">
        <w:rPr>
          <w:color w:val="000000" w:themeColor="text1"/>
        </w:rPr>
        <w:t>Sangrawee</w:t>
      </w:r>
      <w:proofErr w:type="spellEnd"/>
      <w:r w:rsidRPr="004F3102">
        <w:rPr>
          <w:color w:val="000000" w:themeColor="text1"/>
        </w:rPr>
        <w:t xml:space="preserve"> </w:t>
      </w:r>
      <w:proofErr w:type="spellStart"/>
      <w:r w:rsidRPr="004F3102">
        <w:rPr>
          <w:color w:val="000000" w:themeColor="text1"/>
        </w:rPr>
        <w:t>Suriyakan</w:t>
      </w:r>
      <w:proofErr w:type="spellEnd"/>
      <w:r w:rsidRPr="004F3102">
        <w:rPr>
          <w:color w:val="000000" w:themeColor="text1"/>
          <w:vertAlign w:val="superscript"/>
          <w:lang w:val="fr-FR"/>
        </w:rPr>
        <w:t>3</w:t>
      </w:r>
      <w:r w:rsidRPr="004F3102">
        <w:rPr>
          <w:color w:val="000000" w:themeColor="text1"/>
          <w:lang w:val="de-DE"/>
        </w:rPr>
        <w:t xml:space="preserve">, </w:t>
      </w:r>
      <w:proofErr w:type="spellStart"/>
      <w:r w:rsidRPr="004F3102">
        <w:rPr>
          <w:color w:val="000000" w:themeColor="text1"/>
        </w:rPr>
        <w:t>Praphan</w:t>
      </w:r>
      <w:proofErr w:type="spellEnd"/>
      <w:r w:rsidRPr="004F3102">
        <w:rPr>
          <w:color w:val="000000" w:themeColor="text1"/>
        </w:rPr>
        <w:t xml:space="preserve"> </w:t>
      </w:r>
      <w:proofErr w:type="spellStart"/>
      <w:r w:rsidRPr="004F3102">
        <w:rPr>
          <w:color w:val="000000" w:themeColor="text1"/>
        </w:rPr>
        <w:t>Kittiphanakun</w:t>
      </w:r>
      <w:proofErr w:type="spellEnd"/>
      <w:r w:rsidRPr="004F3102">
        <w:rPr>
          <w:color w:val="000000" w:themeColor="text1"/>
          <w:vertAlign w:val="superscript"/>
          <w:lang w:val="fr-FR"/>
        </w:rPr>
        <w:t>3</w:t>
      </w:r>
      <w:r w:rsidRPr="004F3102">
        <w:rPr>
          <w:color w:val="000000" w:themeColor="text1"/>
        </w:rPr>
        <w:t>, Nana Akua Awuku</w:t>
      </w:r>
      <w:r w:rsidRPr="004F3102">
        <w:rPr>
          <w:color w:val="000000" w:themeColor="text1"/>
          <w:vertAlign w:val="superscript"/>
        </w:rPr>
        <w:t>1</w:t>
      </w:r>
      <w:r w:rsidRPr="004F3102">
        <w:rPr>
          <w:color w:val="000000" w:themeColor="text1"/>
        </w:rPr>
        <w:t>, Amy J. Conway</w:t>
      </w:r>
      <w:r>
        <w:rPr>
          <w:color w:val="000000" w:themeColor="text1"/>
          <w:vertAlign w:val="superscript"/>
        </w:rPr>
        <w:t>9</w:t>
      </w:r>
      <w:r w:rsidRPr="004F3102">
        <w:rPr>
          <w:color w:val="000000" w:themeColor="text1"/>
        </w:rPr>
        <w:t>, Rays H.Y. Jiang</w:t>
      </w:r>
      <w:r>
        <w:rPr>
          <w:color w:val="000000" w:themeColor="text1"/>
          <w:vertAlign w:val="superscript"/>
        </w:rPr>
        <w:t>9</w:t>
      </w:r>
      <w:r w:rsidRPr="004F3102">
        <w:rPr>
          <w:color w:val="000000" w:themeColor="text1"/>
        </w:rPr>
        <w:t xml:space="preserve">, </w:t>
      </w:r>
      <w:r w:rsidRPr="004F3102">
        <w:rPr>
          <w:color w:val="000000" w:themeColor="text1"/>
          <w:lang w:val="fr-FR"/>
        </w:rPr>
        <w:t>Bruce Russell</w:t>
      </w:r>
      <w:r>
        <w:rPr>
          <w:color w:val="000000" w:themeColor="text1"/>
          <w:vertAlign w:val="superscript"/>
          <w:lang w:val="fr-FR"/>
        </w:rPr>
        <w:t>7</w:t>
      </w:r>
      <w:r w:rsidRPr="004F3102">
        <w:rPr>
          <w:color w:val="000000" w:themeColor="text1"/>
          <w:lang w:val="fr-FR"/>
        </w:rPr>
        <w:t>,</w:t>
      </w:r>
      <w:r w:rsidRPr="004F3102">
        <w:rPr>
          <w:color w:val="000000" w:themeColor="text1"/>
        </w:rPr>
        <w:t xml:space="preserve"> Pablo Bifani</w:t>
      </w:r>
      <w:r w:rsidRPr="004F3102">
        <w:rPr>
          <w:color w:val="000000" w:themeColor="text1"/>
          <w:vertAlign w:val="superscript"/>
        </w:rPr>
        <w:t>5,</w:t>
      </w:r>
      <w:r>
        <w:rPr>
          <w:color w:val="000000" w:themeColor="text1"/>
          <w:vertAlign w:val="superscript"/>
        </w:rPr>
        <w:t>6,</w:t>
      </w:r>
      <w:r w:rsidRPr="004F3102">
        <w:rPr>
          <w:color w:val="000000" w:themeColor="text1"/>
          <w:vertAlign w:val="superscript"/>
        </w:rPr>
        <w:t>10</w:t>
      </w:r>
      <w:r>
        <w:rPr>
          <w:color w:val="000000" w:themeColor="text1"/>
          <w:vertAlign w:val="superscript"/>
        </w:rPr>
        <w:t>,11</w:t>
      </w:r>
      <w:r w:rsidRPr="004F3102">
        <w:rPr>
          <w:color w:val="000000" w:themeColor="text1"/>
        </w:rPr>
        <w:t>,</w:t>
      </w:r>
      <w:r w:rsidRPr="004F3102">
        <w:rPr>
          <w:color w:val="000000" w:themeColor="text1"/>
          <w:lang w:val="de-DE"/>
        </w:rPr>
        <w:t xml:space="preserve"> Brice Campo</w:t>
      </w:r>
      <w:r>
        <w:rPr>
          <w:color w:val="000000" w:themeColor="text1"/>
          <w:vertAlign w:val="superscript"/>
        </w:rPr>
        <w:t>8</w:t>
      </w:r>
      <w:r w:rsidRPr="004F3102">
        <w:rPr>
          <w:color w:val="000000" w:themeColor="text1"/>
          <w:lang w:val="de-DE"/>
        </w:rPr>
        <w:t xml:space="preserve">, François </w:t>
      </w:r>
      <w:proofErr w:type="spellStart"/>
      <w:r w:rsidRPr="004F3102">
        <w:rPr>
          <w:color w:val="000000" w:themeColor="text1"/>
          <w:lang w:val="de-DE"/>
        </w:rPr>
        <w:t>Nosten</w:t>
      </w:r>
      <w:proofErr w:type="spellEnd"/>
      <w:r w:rsidRPr="004F3102">
        <w:rPr>
          <w:color w:val="000000" w:themeColor="text1"/>
          <w:vertAlign w:val="superscript"/>
          <w:lang w:val="fr-FR"/>
        </w:rPr>
        <w:t>3, 4</w:t>
      </w:r>
      <w:r w:rsidRPr="004F3102">
        <w:rPr>
          <w:color w:val="000000" w:themeColor="text1"/>
          <w:lang w:val="de-DE"/>
        </w:rPr>
        <w:t xml:space="preserve">, </w:t>
      </w:r>
      <w:r w:rsidRPr="004F3102">
        <w:rPr>
          <w:color w:val="000000" w:themeColor="text1"/>
        </w:rPr>
        <w:t>Benoît Witkowski</w:t>
      </w:r>
      <w:r w:rsidRPr="004F3102">
        <w:rPr>
          <w:color w:val="000000" w:themeColor="text1"/>
          <w:vertAlign w:val="superscript"/>
        </w:rPr>
        <w:t>2</w:t>
      </w:r>
      <w:r w:rsidRPr="004F3102">
        <w:rPr>
          <w:color w:val="000000" w:themeColor="text1"/>
        </w:rPr>
        <w:t>*, Dennis Kyle</w:t>
      </w:r>
      <w:r w:rsidRPr="004F3102">
        <w:rPr>
          <w:color w:val="000000" w:themeColor="text1"/>
          <w:vertAlign w:val="superscript"/>
        </w:rPr>
        <w:t>1</w:t>
      </w:r>
      <w:r w:rsidRPr="004F3102">
        <w:rPr>
          <w:color w:val="000000" w:themeColor="text1"/>
        </w:rPr>
        <w:t>*</w:t>
      </w:r>
      <w:r w:rsidRPr="004F3102">
        <w:rPr>
          <w:color w:val="000000" w:themeColor="text1"/>
        </w:rPr>
        <w:tab/>
      </w:r>
    </w:p>
    <w:p w14:paraId="0A45BB66" w14:textId="77777777" w:rsidR="00891760" w:rsidRPr="004F3102" w:rsidRDefault="00891760" w:rsidP="004F3102">
      <w:pPr>
        <w:jc w:val="both"/>
        <w:rPr>
          <w:color w:val="000000" w:themeColor="text1"/>
        </w:rPr>
      </w:pPr>
      <w:r w:rsidRPr="004F3102">
        <w:rPr>
          <w:color w:val="000000" w:themeColor="text1"/>
          <w:lang w:val="fr-FR"/>
        </w:rPr>
        <w:tab/>
      </w:r>
    </w:p>
    <w:p w14:paraId="1F76A0F7" w14:textId="2509F87A" w:rsidR="00DD4945" w:rsidRDefault="00DD4945" w:rsidP="004F3102">
      <w:pPr>
        <w:jc w:val="both"/>
        <w:rPr>
          <w:color w:val="000000" w:themeColor="text1"/>
        </w:rPr>
      </w:pPr>
    </w:p>
    <w:p w14:paraId="0A8E2482" w14:textId="7D7A6432" w:rsidR="00DD4945" w:rsidRPr="00DD4945" w:rsidRDefault="00DD4945" w:rsidP="004F3102">
      <w:pPr>
        <w:jc w:val="both"/>
        <w:rPr>
          <w:b/>
          <w:bCs/>
          <w:color w:val="000000" w:themeColor="text1"/>
        </w:rPr>
      </w:pPr>
      <w:r w:rsidRPr="00DD4945">
        <w:rPr>
          <w:b/>
          <w:bCs/>
          <w:color w:val="000000" w:themeColor="text1"/>
        </w:rPr>
        <w:t>Contents</w:t>
      </w:r>
    </w:p>
    <w:p w14:paraId="5B62C028" w14:textId="7672B13E" w:rsidR="00DD4945" w:rsidRDefault="00DD4945" w:rsidP="004F3102">
      <w:pPr>
        <w:jc w:val="both"/>
        <w:rPr>
          <w:color w:val="000000" w:themeColor="text1"/>
        </w:rPr>
      </w:pPr>
    </w:p>
    <w:p w14:paraId="29069B40" w14:textId="7E46BB92" w:rsidR="00DD4945" w:rsidRDefault="00DD4945" w:rsidP="004F3102">
      <w:pPr>
        <w:jc w:val="both"/>
        <w:rPr>
          <w:color w:val="000000" w:themeColor="text1"/>
        </w:rPr>
      </w:pPr>
      <w:r>
        <w:rPr>
          <w:color w:val="000000" w:themeColor="text1"/>
        </w:rPr>
        <w:t>Supplementary Figure 1</w:t>
      </w:r>
    </w:p>
    <w:p w14:paraId="7A96C5AC" w14:textId="37B75A58" w:rsidR="00DD4945" w:rsidRDefault="00DD4945" w:rsidP="004F3102">
      <w:pPr>
        <w:jc w:val="both"/>
        <w:rPr>
          <w:color w:val="000000" w:themeColor="text1"/>
        </w:rPr>
      </w:pPr>
      <w:r>
        <w:rPr>
          <w:color w:val="000000" w:themeColor="text1"/>
        </w:rPr>
        <w:t>Supplementary Figure 2</w:t>
      </w:r>
    </w:p>
    <w:p w14:paraId="1011B0DF" w14:textId="32952620" w:rsidR="00DD4945" w:rsidRDefault="00DD4945" w:rsidP="004F3102">
      <w:pPr>
        <w:jc w:val="both"/>
        <w:rPr>
          <w:color w:val="000000" w:themeColor="text1"/>
        </w:rPr>
      </w:pPr>
      <w:r>
        <w:rPr>
          <w:color w:val="000000" w:themeColor="text1"/>
        </w:rPr>
        <w:t>Supplementary Figure 3</w:t>
      </w:r>
    </w:p>
    <w:p w14:paraId="1EE46574" w14:textId="6E450F92" w:rsidR="00DD4945" w:rsidRDefault="00DD4945" w:rsidP="004F3102">
      <w:pPr>
        <w:jc w:val="both"/>
        <w:rPr>
          <w:color w:val="000000" w:themeColor="text1"/>
        </w:rPr>
      </w:pPr>
      <w:r>
        <w:rPr>
          <w:color w:val="000000" w:themeColor="text1"/>
        </w:rPr>
        <w:t>Supplementary Figure 4</w:t>
      </w:r>
    </w:p>
    <w:p w14:paraId="6A733585" w14:textId="7BFE85F9" w:rsidR="00DD4945" w:rsidRDefault="00DD4945" w:rsidP="004F3102">
      <w:pPr>
        <w:jc w:val="both"/>
        <w:rPr>
          <w:color w:val="000000" w:themeColor="text1"/>
        </w:rPr>
      </w:pPr>
      <w:r>
        <w:rPr>
          <w:color w:val="000000" w:themeColor="text1"/>
        </w:rPr>
        <w:t>Supplementary Figure 5</w:t>
      </w:r>
    </w:p>
    <w:p w14:paraId="6E6694FE" w14:textId="3941758E" w:rsidR="00DD4945" w:rsidRDefault="00DD4945" w:rsidP="004F3102">
      <w:pPr>
        <w:jc w:val="both"/>
        <w:rPr>
          <w:color w:val="000000" w:themeColor="text1"/>
        </w:rPr>
      </w:pPr>
      <w:r>
        <w:rPr>
          <w:color w:val="000000" w:themeColor="text1"/>
        </w:rPr>
        <w:t>Supplementary Figure 6</w:t>
      </w:r>
    </w:p>
    <w:p w14:paraId="1F47880D" w14:textId="57344609" w:rsidR="00DD4945" w:rsidRDefault="00DD4945" w:rsidP="004F3102">
      <w:pPr>
        <w:jc w:val="both"/>
        <w:rPr>
          <w:color w:val="000000" w:themeColor="text1"/>
        </w:rPr>
      </w:pPr>
      <w:r>
        <w:rPr>
          <w:color w:val="000000" w:themeColor="text1"/>
        </w:rPr>
        <w:t>Supplementary Figure 7</w:t>
      </w:r>
    </w:p>
    <w:p w14:paraId="0B6F9CFE" w14:textId="6B1536DC" w:rsidR="001271F8" w:rsidRDefault="001271F8" w:rsidP="004F3102">
      <w:pPr>
        <w:jc w:val="both"/>
        <w:rPr>
          <w:color w:val="000000" w:themeColor="text1"/>
        </w:rPr>
      </w:pPr>
      <w:r>
        <w:rPr>
          <w:color w:val="000000" w:themeColor="text1"/>
        </w:rPr>
        <w:t>Supplemental Table 1</w:t>
      </w:r>
      <w:r w:rsidR="00DD10B1">
        <w:rPr>
          <w:color w:val="000000" w:themeColor="text1"/>
        </w:rPr>
        <w:t xml:space="preserve"> (Excel</w:t>
      </w:r>
      <w:r w:rsidR="005E71BA">
        <w:rPr>
          <w:color w:val="000000" w:themeColor="text1"/>
        </w:rPr>
        <w:t xml:space="preserve"> file</w:t>
      </w:r>
      <w:r w:rsidR="00DD10B1">
        <w:rPr>
          <w:color w:val="000000" w:themeColor="text1"/>
        </w:rPr>
        <w:t>)</w:t>
      </w:r>
      <w:r w:rsidR="005E71BA">
        <w:rPr>
          <w:color w:val="000000" w:themeColor="text1"/>
        </w:rPr>
        <w:t>: All Prophylactic Actives</w:t>
      </w:r>
    </w:p>
    <w:p w14:paraId="4DDD01F3" w14:textId="27814E4C" w:rsidR="001271F8" w:rsidRDefault="001271F8" w:rsidP="004F3102">
      <w:pPr>
        <w:jc w:val="both"/>
        <w:rPr>
          <w:color w:val="000000" w:themeColor="text1"/>
        </w:rPr>
      </w:pPr>
      <w:r>
        <w:rPr>
          <w:color w:val="000000" w:themeColor="text1"/>
        </w:rPr>
        <w:t>Supplemental Table 2</w:t>
      </w:r>
      <w:r w:rsidR="00DD10B1">
        <w:rPr>
          <w:color w:val="000000" w:themeColor="text1"/>
        </w:rPr>
        <w:t xml:space="preserve"> (Excel</w:t>
      </w:r>
      <w:r w:rsidR="005E71BA">
        <w:rPr>
          <w:color w:val="000000" w:themeColor="text1"/>
        </w:rPr>
        <w:t xml:space="preserve"> file</w:t>
      </w:r>
      <w:r w:rsidR="00DD10B1">
        <w:rPr>
          <w:color w:val="000000" w:themeColor="text1"/>
        </w:rPr>
        <w:t>)</w:t>
      </w:r>
      <w:r w:rsidR="005E71BA">
        <w:rPr>
          <w:color w:val="000000" w:themeColor="text1"/>
        </w:rPr>
        <w:t>: Al Radical Cure Actives</w:t>
      </w:r>
    </w:p>
    <w:p w14:paraId="525F314D" w14:textId="77777777" w:rsidR="00891760" w:rsidRPr="004F3102" w:rsidRDefault="00891760" w:rsidP="004F3102">
      <w:pPr>
        <w:jc w:val="both"/>
        <w:rPr>
          <w:color w:val="000000" w:themeColor="text1"/>
        </w:rPr>
      </w:pPr>
    </w:p>
    <w:p w14:paraId="15284689" w14:textId="77777777" w:rsidR="00891760" w:rsidRPr="004F3102" w:rsidRDefault="00891760" w:rsidP="004F3102">
      <w:pPr>
        <w:jc w:val="both"/>
        <w:rPr>
          <w:color w:val="000000" w:themeColor="text1"/>
        </w:rPr>
      </w:pPr>
      <w:r w:rsidRPr="004F3102">
        <w:rPr>
          <w:noProof/>
          <w:color w:val="000000" w:themeColor="text1"/>
          <w:shd w:val="clear" w:color="auto" w:fill="E6E6E6"/>
        </w:rPr>
        <w:lastRenderedPageBreak/>
        <w:drawing>
          <wp:inline distT="0" distB="0" distL="0" distR="0" wp14:anchorId="5BDE85E9" wp14:editId="02C424EC">
            <wp:extent cx="5943434" cy="5697415"/>
            <wp:effectExtent l="0" t="0" r="635" b="508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ell phone&#10;&#10;Description automatically generated"/>
                    <pic:cNvPicPr/>
                  </pic:nvPicPr>
                  <pic:blipFill rotWithShape="1">
                    <a:blip r:embed="rId5" cstate="print">
                      <a:extLst>
                        <a:ext uri="{28A0092B-C50C-407E-A947-70E740481C1C}">
                          <a14:useLocalDpi xmlns:a14="http://schemas.microsoft.com/office/drawing/2010/main" val="0"/>
                        </a:ext>
                      </a:extLst>
                    </a:blip>
                    <a:srcRect t="2170" b="17947"/>
                    <a:stretch/>
                  </pic:blipFill>
                  <pic:spPr bwMode="auto">
                    <a:xfrm>
                      <a:off x="0" y="0"/>
                      <a:ext cx="5943600" cy="5697574"/>
                    </a:xfrm>
                    <a:prstGeom prst="rect">
                      <a:avLst/>
                    </a:prstGeom>
                    <a:ln>
                      <a:noFill/>
                    </a:ln>
                    <a:extLst>
                      <a:ext uri="{53640926-AAD7-44D8-BBD7-CCE9431645EC}">
                        <a14:shadowObscured xmlns:a14="http://schemas.microsoft.com/office/drawing/2010/main"/>
                      </a:ext>
                    </a:extLst>
                  </pic:spPr>
                </pic:pic>
              </a:graphicData>
            </a:graphic>
          </wp:inline>
        </w:drawing>
      </w:r>
      <w:r w:rsidRPr="004F3102">
        <w:rPr>
          <w:color w:val="000000" w:themeColor="text1"/>
        </w:rPr>
        <w:t xml:space="preserve">Figure S1. Methods and Assay Refinement. A) Fluorescein dye was diluted in water or DMSO and plated at 3, 5, or 10 </w:t>
      </w:r>
      <w:proofErr w:type="spellStart"/>
      <w:r w:rsidRPr="004F3102">
        <w:rPr>
          <w:color w:val="000000" w:themeColor="text1"/>
        </w:rPr>
        <w:t>μL</w:t>
      </w:r>
      <w:proofErr w:type="spellEnd"/>
      <w:r w:rsidRPr="004F3102">
        <w:rPr>
          <w:color w:val="000000" w:themeColor="text1"/>
        </w:rPr>
        <w:t xml:space="preserve"> per well prior to transfer by a 40 </w:t>
      </w:r>
      <w:proofErr w:type="spellStart"/>
      <w:r w:rsidRPr="004F3102">
        <w:rPr>
          <w:color w:val="000000" w:themeColor="text1"/>
        </w:rPr>
        <w:t>nL</w:t>
      </w:r>
      <w:proofErr w:type="spellEnd"/>
      <w:r w:rsidRPr="004F3102">
        <w:rPr>
          <w:color w:val="000000" w:themeColor="text1"/>
        </w:rPr>
        <w:t xml:space="preserve">, hand-actuated pin tool into a 384-well assay plate with 40 </w:t>
      </w:r>
      <w:proofErr w:type="spellStart"/>
      <w:r w:rsidRPr="004F3102">
        <w:rPr>
          <w:color w:val="000000" w:themeColor="text1"/>
        </w:rPr>
        <w:t>μL</w:t>
      </w:r>
      <w:proofErr w:type="spellEnd"/>
      <w:r w:rsidRPr="004F3102">
        <w:rPr>
          <w:color w:val="000000" w:themeColor="text1"/>
        </w:rPr>
        <w:t xml:space="preserve"> culture media. Fluorescence intensity was measured to assess actual transfer versus expected transfer. Bars represent SD of 10 wells per condition, data are representative of two independent experiments. The CV (%) across wells for each condition is listed above respective bars.  B) Left: Putative hit MMV676121, with Radical Cure activity against hypnozoites  (EC</w:t>
      </w:r>
      <w:r w:rsidRPr="004F3102">
        <w:rPr>
          <w:color w:val="000000" w:themeColor="text1"/>
          <w:vertAlign w:val="subscript"/>
        </w:rPr>
        <w:t>50</w:t>
      </w:r>
      <w:r w:rsidRPr="004F3102">
        <w:rPr>
          <w:color w:val="000000" w:themeColor="text1"/>
        </w:rPr>
        <w:t xml:space="preserve"> 347 </w:t>
      </w:r>
      <w:proofErr w:type="spellStart"/>
      <w:r w:rsidRPr="004F3102">
        <w:rPr>
          <w:color w:val="000000" w:themeColor="text1"/>
        </w:rPr>
        <w:t>nM</w:t>
      </w:r>
      <w:proofErr w:type="spellEnd"/>
      <w:r w:rsidRPr="004F3102">
        <w:rPr>
          <w:color w:val="000000" w:themeColor="text1"/>
        </w:rPr>
        <w:t xml:space="preserve">) was first identified from the original (v1) assay dose response format, which included singleton wells of each concentration rom 10 </w:t>
      </w:r>
      <w:proofErr w:type="spellStart"/>
      <w:r w:rsidRPr="004F3102">
        <w:rPr>
          <w:color w:val="000000" w:themeColor="text1"/>
        </w:rPr>
        <w:t>μM</w:t>
      </w:r>
      <w:proofErr w:type="spellEnd"/>
      <w:r w:rsidRPr="004F3102">
        <w:rPr>
          <w:color w:val="000000" w:themeColor="text1"/>
        </w:rPr>
        <w:t xml:space="preserve"> to 46 </w:t>
      </w:r>
      <w:proofErr w:type="spellStart"/>
      <w:r w:rsidRPr="004F3102">
        <w:rPr>
          <w:color w:val="000000" w:themeColor="text1"/>
        </w:rPr>
        <w:t>nM.</w:t>
      </w:r>
      <w:proofErr w:type="spellEnd"/>
      <w:r w:rsidRPr="004F3102">
        <w:rPr>
          <w:color w:val="000000" w:themeColor="text1"/>
        </w:rPr>
        <w:t xml:space="preserve">  A curve could not be fit to hepatic nuclei inhibition values but was estimated to be &gt; 2 </w:t>
      </w:r>
      <w:proofErr w:type="spellStart"/>
      <w:r w:rsidRPr="004F3102">
        <w:rPr>
          <w:color w:val="000000" w:themeColor="text1"/>
        </w:rPr>
        <w:t>μM</w:t>
      </w:r>
      <w:proofErr w:type="spellEnd"/>
      <w:r w:rsidRPr="004F3102">
        <w:rPr>
          <w:color w:val="000000" w:themeColor="text1"/>
        </w:rPr>
        <w:t xml:space="preserve">. Bars represent SEM of 6 independent experiments. Right: MMV676121 retested in the refined (v2) assay dose response format, which included duplicate wells of each concentration from 50 </w:t>
      </w:r>
      <w:proofErr w:type="spellStart"/>
      <w:r w:rsidRPr="004F3102">
        <w:rPr>
          <w:color w:val="000000" w:themeColor="text1"/>
        </w:rPr>
        <w:t>μM</w:t>
      </w:r>
      <w:proofErr w:type="spellEnd"/>
      <w:r w:rsidRPr="004F3102">
        <w:rPr>
          <w:color w:val="000000" w:themeColor="text1"/>
        </w:rPr>
        <w:t xml:space="preserve"> to 280 </w:t>
      </w:r>
      <w:proofErr w:type="spellStart"/>
      <w:r w:rsidRPr="004F3102">
        <w:rPr>
          <w:color w:val="000000" w:themeColor="text1"/>
        </w:rPr>
        <w:t>pM</w:t>
      </w:r>
      <w:proofErr w:type="spellEnd"/>
      <w:r w:rsidRPr="004F3102">
        <w:rPr>
          <w:color w:val="000000" w:themeColor="text1"/>
        </w:rPr>
        <w:t>. The v2 assay demonstrates little selectivity (~3) between activity against hypnozoites (EC</w:t>
      </w:r>
      <w:r w:rsidRPr="004F3102">
        <w:rPr>
          <w:color w:val="000000" w:themeColor="text1"/>
          <w:vertAlign w:val="subscript"/>
        </w:rPr>
        <w:t>50</w:t>
      </w:r>
      <w:r w:rsidRPr="004F3102">
        <w:rPr>
          <w:color w:val="000000" w:themeColor="text1"/>
        </w:rPr>
        <w:t xml:space="preserve"> 707 </w:t>
      </w:r>
      <w:proofErr w:type="spellStart"/>
      <w:r w:rsidRPr="004F3102">
        <w:rPr>
          <w:color w:val="000000" w:themeColor="text1"/>
        </w:rPr>
        <w:t>nM</w:t>
      </w:r>
      <w:proofErr w:type="spellEnd"/>
      <w:r w:rsidRPr="004F3102">
        <w:rPr>
          <w:color w:val="000000" w:themeColor="text1"/>
        </w:rPr>
        <w:t>), and host hepatocytes (EC</w:t>
      </w:r>
      <w:r w:rsidRPr="004F3102">
        <w:rPr>
          <w:color w:val="000000" w:themeColor="text1"/>
          <w:vertAlign w:val="subscript"/>
        </w:rPr>
        <w:t>50</w:t>
      </w:r>
      <w:r w:rsidRPr="004F3102">
        <w:rPr>
          <w:color w:val="000000" w:themeColor="text1"/>
        </w:rPr>
        <w:t xml:space="preserve"> 2.17 </w:t>
      </w:r>
      <w:proofErr w:type="spellStart"/>
      <w:r w:rsidRPr="004F3102">
        <w:rPr>
          <w:color w:val="000000" w:themeColor="text1"/>
        </w:rPr>
        <w:t>nM</w:t>
      </w:r>
      <w:proofErr w:type="spellEnd"/>
      <w:r w:rsidRPr="004F3102">
        <w:rPr>
          <w:color w:val="000000" w:themeColor="text1"/>
        </w:rPr>
        <w:t xml:space="preserve">). Bars represent SEM of 2 independent experiments, each the </w:t>
      </w:r>
      <w:r w:rsidRPr="004F3102">
        <w:rPr>
          <w:color w:val="000000" w:themeColor="text1"/>
        </w:rPr>
        <w:lastRenderedPageBreak/>
        <w:t xml:space="preserve">average of two wells at each concentration.  C) Plate maps for v1, v2, and 20-day formats, values represent </w:t>
      </w:r>
      <w:proofErr w:type="spellStart"/>
      <w:r w:rsidRPr="004F3102">
        <w:rPr>
          <w:color w:val="000000" w:themeColor="text1"/>
        </w:rPr>
        <w:t>μM</w:t>
      </w:r>
      <w:proofErr w:type="spellEnd"/>
      <w:r w:rsidRPr="004F3102">
        <w:rPr>
          <w:color w:val="000000" w:themeColor="text1"/>
        </w:rPr>
        <w:t xml:space="preserve"> in 1000x source plate and </w:t>
      </w:r>
      <w:proofErr w:type="spellStart"/>
      <w:r w:rsidRPr="004F3102">
        <w:rPr>
          <w:color w:val="000000" w:themeColor="text1"/>
        </w:rPr>
        <w:t>nM</w:t>
      </w:r>
      <w:proofErr w:type="spellEnd"/>
      <w:r w:rsidRPr="004F3102">
        <w:rPr>
          <w:color w:val="000000" w:themeColor="text1"/>
        </w:rPr>
        <w:t xml:space="preserve"> in assay plate. D) Radical Cure activity from a v2 assay of </w:t>
      </w:r>
      <w:proofErr w:type="spellStart"/>
      <w:r w:rsidRPr="004F3102">
        <w:rPr>
          <w:color w:val="000000" w:themeColor="text1"/>
        </w:rPr>
        <w:t>maduramicin</w:t>
      </w:r>
      <w:proofErr w:type="spellEnd"/>
      <w:r w:rsidRPr="004F3102">
        <w:rPr>
          <w:color w:val="000000" w:themeColor="text1"/>
        </w:rPr>
        <w:t xml:space="preserve"> against hypnozoites. </w:t>
      </w:r>
      <w:proofErr w:type="spellStart"/>
      <w:r w:rsidRPr="004F3102">
        <w:rPr>
          <w:color w:val="000000" w:themeColor="text1"/>
        </w:rPr>
        <w:t>Maduramicin</w:t>
      </w:r>
      <w:proofErr w:type="spellEnd"/>
      <w:r w:rsidRPr="004F3102">
        <w:rPr>
          <w:color w:val="000000" w:themeColor="text1"/>
        </w:rPr>
        <w:t xml:space="preserve"> is potently active against hypnozoites (EC</w:t>
      </w:r>
      <w:r w:rsidRPr="004F3102">
        <w:rPr>
          <w:color w:val="000000" w:themeColor="text1"/>
          <w:vertAlign w:val="subscript"/>
        </w:rPr>
        <w:t xml:space="preserve">50 </w:t>
      </w:r>
      <w:r w:rsidRPr="004F3102">
        <w:rPr>
          <w:color w:val="000000" w:themeColor="text1"/>
        </w:rPr>
        <w:t xml:space="preserve">22 </w:t>
      </w:r>
      <w:proofErr w:type="spellStart"/>
      <w:r w:rsidRPr="004F3102">
        <w:rPr>
          <w:color w:val="000000" w:themeColor="text1"/>
        </w:rPr>
        <w:t>nM</w:t>
      </w:r>
      <w:proofErr w:type="spellEnd"/>
      <w:r w:rsidRPr="004F3102">
        <w:rPr>
          <w:color w:val="000000" w:themeColor="text1"/>
        </w:rPr>
        <w:t>) and toxic against host hepatocytes (EC</w:t>
      </w:r>
      <w:r w:rsidRPr="004F3102">
        <w:rPr>
          <w:color w:val="000000" w:themeColor="text1"/>
          <w:vertAlign w:val="subscript"/>
        </w:rPr>
        <w:t>50</w:t>
      </w:r>
      <w:r w:rsidRPr="004F3102">
        <w:rPr>
          <w:color w:val="000000" w:themeColor="text1"/>
        </w:rPr>
        <w:t xml:space="preserve"> 4.28 </w:t>
      </w:r>
      <w:proofErr w:type="spellStart"/>
      <w:r w:rsidRPr="004F3102">
        <w:rPr>
          <w:color w:val="000000" w:themeColor="text1"/>
        </w:rPr>
        <w:t>μM</w:t>
      </w:r>
      <w:proofErr w:type="spellEnd"/>
      <w:r w:rsidRPr="004F3102">
        <w:rPr>
          <w:color w:val="000000" w:themeColor="text1"/>
        </w:rPr>
        <w:t xml:space="preserve">), leading to a calculated selectivity of &gt; 190. Bars represent SEM of 2 independent experiments, each the average of two wells at each concentration. E) Radical Cure activity from a v2 assay of </w:t>
      </w:r>
      <w:r w:rsidRPr="004F3102">
        <w:rPr>
          <w:i/>
          <w:iCs/>
          <w:color w:val="000000" w:themeColor="text1"/>
        </w:rPr>
        <w:t xml:space="preserve">P. falciparum </w:t>
      </w:r>
      <w:r w:rsidRPr="004F3102">
        <w:rPr>
          <w:color w:val="000000" w:themeColor="text1"/>
        </w:rPr>
        <w:t>stage V gametocyte hit MMV019204, with activity against hypnozoites (EC</w:t>
      </w:r>
      <w:r w:rsidRPr="004F3102">
        <w:rPr>
          <w:color w:val="000000" w:themeColor="text1"/>
          <w:vertAlign w:val="subscript"/>
        </w:rPr>
        <w:t xml:space="preserve">50 </w:t>
      </w:r>
      <w:r w:rsidRPr="004F3102">
        <w:rPr>
          <w:color w:val="000000" w:themeColor="text1"/>
        </w:rPr>
        <w:t xml:space="preserve">1.00 </w:t>
      </w:r>
      <w:proofErr w:type="spellStart"/>
      <w:r w:rsidRPr="004F3102">
        <w:rPr>
          <w:color w:val="000000" w:themeColor="text1"/>
        </w:rPr>
        <w:t>μM</w:t>
      </w:r>
      <w:proofErr w:type="spellEnd"/>
      <w:r w:rsidRPr="004F3102">
        <w:rPr>
          <w:color w:val="000000" w:themeColor="text1"/>
        </w:rPr>
        <w:t>) and toxic against host hepatocytes (EC</w:t>
      </w:r>
      <w:r w:rsidRPr="004F3102">
        <w:rPr>
          <w:color w:val="000000" w:themeColor="text1"/>
          <w:vertAlign w:val="subscript"/>
        </w:rPr>
        <w:t>50</w:t>
      </w:r>
      <w:r w:rsidRPr="004F3102">
        <w:rPr>
          <w:color w:val="000000" w:themeColor="text1"/>
        </w:rPr>
        <w:t xml:space="preserve"> 4.71 </w:t>
      </w:r>
      <w:proofErr w:type="spellStart"/>
      <w:r w:rsidRPr="004F3102">
        <w:rPr>
          <w:color w:val="000000" w:themeColor="text1"/>
        </w:rPr>
        <w:t>μM</w:t>
      </w:r>
      <w:proofErr w:type="spellEnd"/>
      <w:r w:rsidRPr="004F3102">
        <w:rPr>
          <w:color w:val="000000" w:themeColor="text1"/>
        </w:rPr>
        <w:t xml:space="preserve">), leading to a calculated selectivity of 4.7. Black marker indicates hypnozoite inhibition data marked as an outlier.  Bars represent SEM of 2 independent experiments, each experiment including two wells at each concentration.  </w:t>
      </w:r>
    </w:p>
    <w:p w14:paraId="4526BC47" w14:textId="77777777" w:rsidR="00891760" w:rsidRPr="004F3102" w:rsidRDefault="00891760" w:rsidP="004F3102">
      <w:pPr>
        <w:jc w:val="both"/>
        <w:rPr>
          <w:color w:val="000000" w:themeColor="text1"/>
        </w:rPr>
      </w:pPr>
    </w:p>
    <w:p w14:paraId="7A11C6B5" w14:textId="77777777" w:rsidR="00891760" w:rsidRPr="004F3102" w:rsidRDefault="00891760" w:rsidP="004F3102">
      <w:pPr>
        <w:jc w:val="both"/>
        <w:rPr>
          <w:color w:val="000000" w:themeColor="text1"/>
        </w:rPr>
      </w:pPr>
    </w:p>
    <w:p w14:paraId="17010292" w14:textId="77777777" w:rsidR="00891760" w:rsidRPr="004F3102" w:rsidRDefault="00891760" w:rsidP="004F3102">
      <w:pPr>
        <w:jc w:val="both"/>
        <w:rPr>
          <w:color w:val="000000" w:themeColor="text1"/>
        </w:rPr>
      </w:pPr>
    </w:p>
    <w:p w14:paraId="1CCC5569" w14:textId="77777777" w:rsidR="00891760" w:rsidRPr="004F3102" w:rsidRDefault="00891760" w:rsidP="004F3102">
      <w:pPr>
        <w:jc w:val="both"/>
        <w:rPr>
          <w:color w:val="000000" w:themeColor="text1"/>
        </w:rPr>
      </w:pPr>
    </w:p>
    <w:p w14:paraId="65F563BA" w14:textId="77777777" w:rsidR="00891760" w:rsidRPr="004F3102" w:rsidRDefault="00891760" w:rsidP="004F3102">
      <w:pPr>
        <w:jc w:val="both"/>
        <w:rPr>
          <w:color w:val="000000" w:themeColor="text1"/>
        </w:rPr>
      </w:pPr>
    </w:p>
    <w:p w14:paraId="11FFB475" w14:textId="77777777" w:rsidR="00891760" w:rsidRPr="004F3102" w:rsidRDefault="00891760" w:rsidP="004F3102">
      <w:pPr>
        <w:jc w:val="both"/>
        <w:rPr>
          <w:color w:val="000000" w:themeColor="text1"/>
        </w:rPr>
      </w:pPr>
    </w:p>
    <w:p w14:paraId="19BAB6D6" w14:textId="77777777" w:rsidR="00891760" w:rsidRPr="004F3102" w:rsidRDefault="00891760" w:rsidP="004F3102">
      <w:pPr>
        <w:jc w:val="both"/>
        <w:rPr>
          <w:color w:val="000000" w:themeColor="text1"/>
        </w:rPr>
      </w:pPr>
    </w:p>
    <w:p w14:paraId="2B04EA6A" w14:textId="77777777" w:rsidR="00891760" w:rsidRPr="004F3102" w:rsidRDefault="00891760" w:rsidP="004F3102">
      <w:pPr>
        <w:jc w:val="both"/>
        <w:rPr>
          <w:color w:val="000000" w:themeColor="text1"/>
        </w:rPr>
      </w:pPr>
    </w:p>
    <w:p w14:paraId="76A1A099" w14:textId="77777777" w:rsidR="00891760" w:rsidRPr="004F3102" w:rsidRDefault="00891760" w:rsidP="004F3102">
      <w:pPr>
        <w:jc w:val="both"/>
        <w:rPr>
          <w:color w:val="000000" w:themeColor="text1"/>
        </w:rPr>
      </w:pPr>
    </w:p>
    <w:p w14:paraId="319B0159" w14:textId="77777777" w:rsidR="00891760" w:rsidRPr="004F3102" w:rsidRDefault="00891760" w:rsidP="004F3102">
      <w:pPr>
        <w:jc w:val="both"/>
        <w:rPr>
          <w:color w:val="000000" w:themeColor="text1"/>
        </w:rPr>
      </w:pPr>
    </w:p>
    <w:p w14:paraId="228F7F3D" w14:textId="77777777" w:rsidR="00891760" w:rsidRPr="004F3102" w:rsidRDefault="00891760" w:rsidP="004F3102">
      <w:pPr>
        <w:jc w:val="both"/>
        <w:rPr>
          <w:color w:val="000000" w:themeColor="text1"/>
        </w:rPr>
      </w:pPr>
    </w:p>
    <w:p w14:paraId="7610FAB5" w14:textId="77777777" w:rsidR="00891760" w:rsidRPr="004F3102" w:rsidRDefault="00891760" w:rsidP="004F3102">
      <w:pPr>
        <w:jc w:val="both"/>
        <w:rPr>
          <w:color w:val="000000" w:themeColor="text1"/>
        </w:rPr>
      </w:pPr>
    </w:p>
    <w:p w14:paraId="046EF0C3" w14:textId="77777777" w:rsidR="00891760" w:rsidRPr="004F3102" w:rsidRDefault="00891760" w:rsidP="004F3102">
      <w:pPr>
        <w:jc w:val="both"/>
        <w:rPr>
          <w:color w:val="000000" w:themeColor="text1"/>
        </w:rPr>
      </w:pPr>
    </w:p>
    <w:p w14:paraId="2F1717D2" w14:textId="77777777" w:rsidR="00891760" w:rsidRPr="004F3102" w:rsidRDefault="00891760" w:rsidP="004F3102">
      <w:pPr>
        <w:jc w:val="both"/>
        <w:rPr>
          <w:color w:val="000000" w:themeColor="text1"/>
        </w:rPr>
      </w:pPr>
    </w:p>
    <w:p w14:paraId="23F9A8DC" w14:textId="77777777" w:rsidR="00891760" w:rsidRPr="004F3102" w:rsidRDefault="00891760" w:rsidP="004F3102">
      <w:pPr>
        <w:jc w:val="both"/>
        <w:rPr>
          <w:color w:val="000000" w:themeColor="text1"/>
        </w:rPr>
      </w:pPr>
    </w:p>
    <w:p w14:paraId="3BCFC408" w14:textId="77777777" w:rsidR="00891760" w:rsidRPr="004F3102" w:rsidRDefault="00891760" w:rsidP="004F3102">
      <w:pPr>
        <w:jc w:val="both"/>
        <w:rPr>
          <w:color w:val="000000" w:themeColor="text1"/>
        </w:rPr>
      </w:pPr>
    </w:p>
    <w:p w14:paraId="2CA04505" w14:textId="77777777" w:rsidR="00891760" w:rsidRPr="004F3102" w:rsidRDefault="00891760" w:rsidP="004F3102">
      <w:pPr>
        <w:jc w:val="both"/>
        <w:rPr>
          <w:color w:val="000000" w:themeColor="text1"/>
        </w:rPr>
      </w:pPr>
    </w:p>
    <w:p w14:paraId="1B8489B1" w14:textId="77777777" w:rsidR="00891760" w:rsidRPr="004F3102" w:rsidRDefault="00891760" w:rsidP="004F3102">
      <w:pPr>
        <w:jc w:val="both"/>
        <w:rPr>
          <w:color w:val="000000" w:themeColor="text1"/>
        </w:rPr>
      </w:pPr>
    </w:p>
    <w:p w14:paraId="46A2F99B" w14:textId="77777777" w:rsidR="00891760" w:rsidRPr="004F3102" w:rsidRDefault="00891760" w:rsidP="004F3102">
      <w:pPr>
        <w:jc w:val="both"/>
        <w:rPr>
          <w:color w:val="000000" w:themeColor="text1"/>
        </w:rPr>
      </w:pPr>
    </w:p>
    <w:p w14:paraId="754E92E3" w14:textId="77777777" w:rsidR="00891760" w:rsidRPr="004F3102" w:rsidRDefault="00891760" w:rsidP="004F3102">
      <w:pPr>
        <w:jc w:val="both"/>
        <w:rPr>
          <w:color w:val="000000" w:themeColor="text1"/>
        </w:rPr>
      </w:pPr>
    </w:p>
    <w:p w14:paraId="6265F7AA" w14:textId="77777777" w:rsidR="00891760" w:rsidRPr="004F3102" w:rsidRDefault="00891760" w:rsidP="004F3102">
      <w:pPr>
        <w:jc w:val="both"/>
        <w:rPr>
          <w:color w:val="000000" w:themeColor="text1"/>
        </w:rPr>
      </w:pPr>
    </w:p>
    <w:p w14:paraId="7CDB0F7E" w14:textId="77777777" w:rsidR="00891760" w:rsidRPr="004F3102" w:rsidRDefault="00891760" w:rsidP="004F3102">
      <w:pPr>
        <w:jc w:val="both"/>
        <w:rPr>
          <w:color w:val="000000" w:themeColor="text1"/>
        </w:rPr>
      </w:pPr>
    </w:p>
    <w:p w14:paraId="7AEE53B3" w14:textId="77777777" w:rsidR="00891760" w:rsidRPr="004F3102" w:rsidRDefault="00891760" w:rsidP="004F3102">
      <w:pPr>
        <w:jc w:val="both"/>
        <w:rPr>
          <w:color w:val="000000" w:themeColor="text1"/>
        </w:rPr>
      </w:pPr>
    </w:p>
    <w:p w14:paraId="240DEED8" w14:textId="77777777" w:rsidR="00891760" w:rsidRPr="004F3102" w:rsidRDefault="00891760" w:rsidP="004F3102">
      <w:pPr>
        <w:jc w:val="both"/>
        <w:rPr>
          <w:color w:val="000000" w:themeColor="text1"/>
        </w:rPr>
      </w:pPr>
    </w:p>
    <w:p w14:paraId="45908ED6" w14:textId="77777777" w:rsidR="00891760" w:rsidRPr="004F3102" w:rsidRDefault="00891760" w:rsidP="004F3102">
      <w:pPr>
        <w:jc w:val="both"/>
        <w:rPr>
          <w:color w:val="000000" w:themeColor="text1"/>
        </w:rPr>
      </w:pPr>
    </w:p>
    <w:p w14:paraId="55C494B0" w14:textId="77777777" w:rsidR="00891760" w:rsidRPr="004F3102" w:rsidRDefault="00891760" w:rsidP="004F3102">
      <w:pPr>
        <w:jc w:val="both"/>
        <w:rPr>
          <w:color w:val="000000" w:themeColor="text1"/>
        </w:rPr>
      </w:pPr>
    </w:p>
    <w:p w14:paraId="718901D2" w14:textId="77777777" w:rsidR="00891760" w:rsidRPr="004F3102" w:rsidRDefault="00891760" w:rsidP="004F3102">
      <w:pPr>
        <w:jc w:val="both"/>
        <w:rPr>
          <w:color w:val="000000" w:themeColor="text1"/>
        </w:rPr>
      </w:pPr>
    </w:p>
    <w:p w14:paraId="3017C5FC" w14:textId="77777777" w:rsidR="00891760" w:rsidRPr="004F3102" w:rsidRDefault="00891760" w:rsidP="004F3102">
      <w:pPr>
        <w:jc w:val="both"/>
        <w:rPr>
          <w:color w:val="000000" w:themeColor="text1"/>
        </w:rPr>
      </w:pPr>
    </w:p>
    <w:p w14:paraId="1B130F38" w14:textId="77777777" w:rsidR="00891760" w:rsidRPr="004F3102" w:rsidRDefault="00891760" w:rsidP="004F3102">
      <w:pPr>
        <w:jc w:val="both"/>
        <w:rPr>
          <w:color w:val="000000" w:themeColor="text1"/>
        </w:rPr>
      </w:pPr>
    </w:p>
    <w:p w14:paraId="453B9370" w14:textId="77777777" w:rsidR="00891760" w:rsidRPr="004F3102" w:rsidRDefault="00891760" w:rsidP="004F3102">
      <w:pPr>
        <w:jc w:val="both"/>
        <w:rPr>
          <w:color w:val="000000" w:themeColor="text1"/>
        </w:rPr>
      </w:pPr>
      <w:r w:rsidRPr="004F3102">
        <w:rPr>
          <w:noProof/>
          <w:color w:val="000000" w:themeColor="text1"/>
          <w:shd w:val="clear" w:color="auto" w:fill="E6E6E6"/>
        </w:rPr>
        <w:lastRenderedPageBreak/>
        <w:drawing>
          <wp:inline distT="0" distB="0" distL="0" distR="0" wp14:anchorId="39C92D14" wp14:editId="75D32CB6">
            <wp:extent cx="5943600" cy="7132320"/>
            <wp:effectExtent l="0" t="0" r="0" b="508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inline>
        </w:drawing>
      </w:r>
    </w:p>
    <w:p w14:paraId="1993FD17" w14:textId="77777777" w:rsidR="00891760" w:rsidRPr="004F3102" w:rsidRDefault="00891760" w:rsidP="004F3102">
      <w:pPr>
        <w:jc w:val="both"/>
        <w:rPr>
          <w:color w:val="000000" w:themeColor="text1"/>
        </w:rPr>
      </w:pPr>
    </w:p>
    <w:p w14:paraId="5D61272E" w14:textId="77777777" w:rsidR="00891760" w:rsidRPr="004F3102" w:rsidRDefault="00891760" w:rsidP="004F3102">
      <w:pPr>
        <w:jc w:val="both"/>
        <w:rPr>
          <w:color w:val="000000" w:themeColor="text1"/>
        </w:rPr>
      </w:pPr>
    </w:p>
    <w:p w14:paraId="73290904" w14:textId="77777777" w:rsidR="00891760" w:rsidRPr="004F3102" w:rsidRDefault="00891760" w:rsidP="004F3102">
      <w:pPr>
        <w:jc w:val="both"/>
        <w:rPr>
          <w:color w:val="000000" w:themeColor="text1"/>
        </w:rPr>
      </w:pPr>
    </w:p>
    <w:p w14:paraId="084BE195" w14:textId="77777777" w:rsidR="00891760" w:rsidRPr="004F3102" w:rsidRDefault="00891760" w:rsidP="004F3102">
      <w:pPr>
        <w:jc w:val="both"/>
        <w:rPr>
          <w:color w:val="000000" w:themeColor="text1"/>
        </w:rPr>
      </w:pPr>
      <w:r w:rsidRPr="004F3102">
        <w:rPr>
          <w:color w:val="000000" w:themeColor="text1"/>
        </w:rPr>
        <w:t xml:space="preserve">Figure S2. Multi-run analyses and putative hit consistency. A) Infection rate and statistical metrics from every Single Point run. Sch, Schizont; </w:t>
      </w:r>
      <w:proofErr w:type="spellStart"/>
      <w:r w:rsidRPr="004F3102">
        <w:rPr>
          <w:color w:val="000000" w:themeColor="text1"/>
        </w:rPr>
        <w:t>Hyp</w:t>
      </w:r>
      <w:proofErr w:type="spellEnd"/>
      <w:r w:rsidRPr="004F3102">
        <w:rPr>
          <w:color w:val="000000" w:themeColor="text1"/>
        </w:rPr>
        <w:t xml:space="preserve">, Hypnozoite; SD, standard deviation; CV, </w:t>
      </w:r>
      <w:r w:rsidRPr="004F3102">
        <w:rPr>
          <w:color w:val="000000" w:themeColor="text1"/>
        </w:rPr>
        <w:lastRenderedPageBreak/>
        <w:t xml:space="preserve">coefficient of variance; Z’, Z’ factor between positive and negative controls; Z, Z score between the inhibition of screen wells and the positive control. B) Nonlinear regression of Z’ factor as a function of infection rate. A minimum of about 40 hypnozoites per well is needed to obtain a positive Z’ factor. Bars represent SD. C) The Reference Compound Library, </w:t>
      </w:r>
      <w:proofErr w:type="spellStart"/>
      <w:r w:rsidRPr="004F3102">
        <w:rPr>
          <w:color w:val="000000" w:themeColor="text1"/>
        </w:rPr>
        <w:t>Photodiversity</w:t>
      </w:r>
      <w:proofErr w:type="spellEnd"/>
      <w:r w:rsidRPr="004F3102">
        <w:rPr>
          <w:color w:val="000000" w:themeColor="text1"/>
        </w:rPr>
        <w:t xml:space="preserve"> Library, and Malaria Box were </w:t>
      </w:r>
      <w:proofErr w:type="gramStart"/>
      <w:r w:rsidRPr="004F3102">
        <w:rPr>
          <w:color w:val="000000" w:themeColor="text1"/>
        </w:rPr>
        <w:t>ran</w:t>
      </w:r>
      <w:proofErr w:type="gramEnd"/>
      <w:r w:rsidRPr="004F3102">
        <w:rPr>
          <w:color w:val="000000" w:themeColor="text1"/>
        </w:rPr>
        <w:t xml:space="preserve"> twice; the higher-quality run (as measured by Z’ factor as well as absence of confounding results such as edge effects or plate gradients) was designated as the “Superior Run” while the other was designated as the “Inferior Run.”  Red dotted lines indicate 75% inhibition for reference. Paired data for each compound from both runs were plotted together to show which compounds were consistently putative hits (top right area), versus compounds which were likely false positive due to poor run quality (top left area and bottom right area). D) Violin plots from the negative control wells (blue) positive control wells (red), and screen wells (green) from each set of Superior and Inferior runs. The positive controls perform the same regardless of run quality, resulting in a consistent average at and narrow deviation around 100% inhibition. Conversely, the negative control and screen well average and deviation, as well as the separate between positive and negative control means, are dependent on run quality. Solid line, average; dotted lines, 25% and 75% quartiles.</w:t>
      </w:r>
    </w:p>
    <w:p w14:paraId="6219BFCF" w14:textId="77777777" w:rsidR="00891760" w:rsidRPr="004F3102" w:rsidRDefault="00891760" w:rsidP="004F3102">
      <w:pPr>
        <w:jc w:val="both"/>
        <w:rPr>
          <w:color w:val="000000" w:themeColor="text1"/>
        </w:rPr>
      </w:pPr>
    </w:p>
    <w:p w14:paraId="10E04843" w14:textId="77777777" w:rsidR="00891760" w:rsidRPr="004F3102" w:rsidRDefault="00891760" w:rsidP="004F3102">
      <w:pPr>
        <w:jc w:val="both"/>
        <w:rPr>
          <w:color w:val="000000" w:themeColor="text1"/>
        </w:rPr>
      </w:pPr>
    </w:p>
    <w:p w14:paraId="0740E093" w14:textId="77777777" w:rsidR="00891760" w:rsidRPr="004F3102" w:rsidRDefault="00891760" w:rsidP="004F3102">
      <w:pPr>
        <w:jc w:val="both"/>
        <w:rPr>
          <w:color w:val="000000" w:themeColor="text1"/>
        </w:rPr>
      </w:pPr>
    </w:p>
    <w:p w14:paraId="5EF41DA6" w14:textId="77777777" w:rsidR="00891760" w:rsidRPr="004F3102" w:rsidRDefault="00891760" w:rsidP="004F3102">
      <w:pPr>
        <w:jc w:val="both"/>
        <w:rPr>
          <w:color w:val="000000" w:themeColor="text1"/>
        </w:rPr>
      </w:pPr>
    </w:p>
    <w:p w14:paraId="562256A0" w14:textId="77777777" w:rsidR="00891760" w:rsidRPr="004F3102" w:rsidRDefault="00891760" w:rsidP="004F3102">
      <w:pPr>
        <w:jc w:val="both"/>
        <w:rPr>
          <w:color w:val="000000" w:themeColor="text1"/>
        </w:rPr>
      </w:pPr>
    </w:p>
    <w:p w14:paraId="7E62127C" w14:textId="77777777" w:rsidR="00891760" w:rsidRPr="004F3102" w:rsidRDefault="00891760" w:rsidP="004F3102">
      <w:pPr>
        <w:jc w:val="both"/>
        <w:rPr>
          <w:color w:val="000000" w:themeColor="text1"/>
        </w:rPr>
      </w:pPr>
    </w:p>
    <w:p w14:paraId="136C2180" w14:textId="77777777" w:rsidR="00891760" w:rsidRPr="004F3102" w:rsidRDefault="00891760" w:rsidP="004F3102">
      <w:pPr>
        <w:jc w:val="both"/>
        <w:rPr>
          <w:color w:val="000000" w:themeColor="text1"/>
        </w:rPr>
      </w:pPr>
    </w:p>
    <w:p w14:paraId="364DE81E" w14:textId="77777777" w:rsidR="00891760" w:rsidRPr="004F3102" w:rsidRDefault="00891760" w:rsidP="004F3102">
      <w:pPr>
        <w:jc w:val="both"/>
        <w:rPr>
          <w:color w:val="000000" w:themeColor="text1"/>
        </w:rPr>
      </w:pPr>
    </w:p>
    <w:p w14:paraId="65CE9EB6" w14:textId="77777777" w:rsidR="00891760" w:rsidRPr="004F3102" w:rsidRDefault="00891760" w:rsidP="004F3102">
      <w:pPr>
        <w:jc w:val="both"/>
        <w:rPr>
          <w:color w:val="000000" w:themeColor="text1"/>
        </w:rPr>
      </w:pPr>
    </w:p>
    <w:p w14:paraId="42ABA7D3" w14:textId="77777777" w:rsidR="00891760" w:rsidRPr="004F3102" w:rsidRDefault="00891760" w:rsidP="004F3102">
      <w:pPr>
        <w:jc w:val="both"/>
        <w:rPr>
          <w:color w:val="000000" w:themeColor="text1"/>
        </w:rPr>
      </w:pPr>
    </w:p>
    <w:p w14:paraId="4E521F38" w14:textId="77777777" w:rsidR="00891760" w:rsidRPr="004F3102" w:rsidRDefault="00891760" w:rsidP="004F3102">
      <w:pPr>
        <w:jc w:val="both"/>
        <w:rPr>
          <w:color w:val="000000" w:themeColor="text1"/>
        </w:rPr>
      </w:pPr>
    </w:p>
    <w:p w14:paraId="3F8491D1" w14:textId="77777777" w:rsidR="00891760" w:rsidRPr="004F3102" w:rsidRDefault="00891760" w:rsidP="004F3102">
      <w:pPr>
        <w:jc w:val="both"/>
        <w:rPr>
          <w:color w:val="000000" w:themeColor="text1"/>
        </w:rPr>
      </w:pPr>
    </w:p>
    <w:p w14:paraId="5BDADD09" w14:textId="77777777" w:rsidR="00891760" w:rsidRPr="004F3102" w:rsidRDefault="00891760" w:rsidP="004F3102">
      <w:pPr>
        <w:jc w:val="both"/>
        <w:rPr>
          <w:color w:val="000000" w:themeColor="text1"/>
        </w:rPr>
      </w:pPr>
      <w:r w:rsidRPr="004F3102">
        <w:rPr>
          <w:noProof/>
          <w:color w:val="000000" w:themeColor="text1"/>
          <w:shd w:val="clear" w:color="auto" w:fill="E6E6E6"/>
        </w:rPr>
        <w:lastRenderedPageBreak/>
        <w:drawing>
          <wp:inline distT="0" distB="0" distL="0" distR="0" wp14:anchorId="416727CC" wp14:editId="2D6E8352">
            <wp:extent cx="5942724" cy="3319438"/>
            <wp:effectExtent l="0" t="0" r="1270" b="0"/>
            <wp:docPr id="10" name="Picture 1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text on a white background&#10;&#10;Description automatically generated"/>
                    <pic:cNvPicPr/>
                  </pic:nvPicPr>
                  <pic:blipFill rotWithShape="1">
                    <a:blip r:embed="rId7" cstate="print">
                      <a:extLst>
                        <a:ext uri="{28A0092B-C50C-407E-A947-70E740481C1C}">
                          <a14:useLocalDpi xmlns:a14="http://schemas.microsoft.com/office/drawing/2010/main" val="0"/>
                        </a:ext>
                      </a:extLst>
                    </a:blip>
                    <a:srcRect t="4537" b="48915"/>
                    <a:stretch/>
                  </pic:blipFill>
                  <pic:spPr bwMode="auto">
                    <a:xfrm>
                      <a:off x="0" y="0"/>
                      <a:ext cx="5943600" cy="3319927"/>
                    </a:xfrm>
                    <a:prstGeom prst="rect">
                      <a:avLst/>
                    </a:prstGeom>
                    <a:ln>
                      <a:noFill/>
                    </a:ln>
                    <a:extLst>
                      <a:ext uri="{53640926-AAD7-44D8-BBD7-CCE9431645EC}">
                        <a14:shadowObscured xmlns:a14="http://schemas.microsoft.com/office/drawing/2010/main"/>
                      </a:ext>
                    </a:extLst>
                  </pic:spPr>
                </pic:pic>
              </a:graphicData>
            </a:graphic>
          </wp:inline>
        </w:drawing>
      </w:r>
      <w:r w:rsidRPr="004F3102">
        <w:rPr>
          <w:color w:val="000000" w:themeColor="text1"/>
        </w:rPr>
        <w:t xml:space="preserve">Figure S3. Single point activity from the Reference Compound </w:t>
      </w:r>
      <w:r>
        <w:rPr>
          <w:color w:val="000000" w:themeColor="text1"/>
        </w:rPr>
        <w:t>L</w:t>
      </w:r>
      <w:r w:rsidRPr="004F3102">
        <w:rPr>
          <w:color w:val="000000" w:themeColor="text1"/>
        </w:rPr>
        <w:t>ibrary. The net schizont growth area per well for both the Prophylactic and Radical Cure runs, as well as the hypnozoite quantity per well from the Prophylactic run, were normalized to the PI4Ki controls; Z’ factor is shown for each run. Hypnozoite quantity per well from the Radical Cure run was normalized to DMSO controls and percent inhibition was calculated as 100%-(% remaining hypnozoites); the CV (%) for hypnozoite quantity in DMSO wells is shown. Dotted line represents 75% inhibition for reference. Legend: DMSO, negative control; PI4Ki, MMV390048 positive control; ATO, atovaquone reference compound; PQ, primaquine reference compound; RCL, Reference Compound Library.</w:t>
      </w:r>
    </w:p>
    <w:p w14:paraId="765E8180" w14:textId="77777777" w:rsidR="00891760" w:rsidRPr="004F3102" w:rsidRDefault="00891760" w:rsidP="004F3102">
      <w:pPr>
        <w:jc w:val="both"/>
        <w:rPr>
          <w:color w:val="000000" w:themeColor="text1"/>
        </w:rPr>
      </w:pPr>
    </w:p>
    <w:p w14:paraId="229B0689" w14:textId="77777777" w:rsidR="00891760" w:rsidRPr="004F3102" w:rsidRDefault="00891760" w:rsidP="004F3102">
      <w:pPr>
        <w:jc w:val="both"/>
        <w:rPr>
          <w:color w:val="000000" w:themeColor="text1"/>
        </w:rPr>
      </w:pPr>
    </w:p>
    <w:p w14:paraId="30567323" w14:textId="77777777" w:rsidR="00891760" w:rsidRPr="004F3102" w:rsidRDefault="00891760" w:rsidP="004F3102">
      <w:pPr>
        <w:jc w:val="both"/>
        <w:rPr>
          <w:color w:val="000000" w:themeColor="text1"/>
        </w:rPr>
      </w:pPr>
    </w:p>
    <w:p w14:paraId="7F8BD67C" w14:textId="77777777" w:rsidR="00891760" w:rsidRPr="004F3102" w:rsidRDefault="00891760" w:rsidP="004F3102">
      <w:pPr>
        <w:jc w:val="both"/>
        <w:rPr>
          <w:color w:val="000000" w:themeColor="text1"/>
        </w:rPr>
      </w:pPr>
    </w:p>
    <w:p w14:paraId="32B04BE8" w14:textId="77777777" w:rsidR="00891760" w:rsidRPr="004F3102" w:rsidRDefault="00891760" w:rsidP="004F3102">
      <w:pPr>
        <w:jc w:val="both"/>
        <w:rPr>
          <w:color w:val="000000" w:themeColor="text1"/>
        </w:rPr>
      </w:pPr>
    </w:p>
    <w:p w14:paraId="305CDCAC" w14:textId="77777777" w:rsidR="00891760" w:rsidRPr="004F3102" w:rsidRDefault="00891760" w:rsidP="004F3102">
      <w:pPr>
        <w:jc w:val="both"/>
        <w:rPr>
          <w:color w:val="000000" w:themeColor="text1"/>
        </w:rPr>
      </w:pPr>
    </w:p>
    <w:p w14:paraId="758A80B5" w14:textId="77777777" w:rsidR="00891760" w:rsidRPr="004F3102" w:rsidRDefault="00891760" w:rsidP="004F3102">
      <w:pPr>
        <w:jc w:val="both"/>
        <w:rPr>
          <w:color w:val="000000" w:themeColor="text1"/>
        </w:rPr>
      </w:pPr>
    </w:p>
    <w:p w14:paraId="5D7891DE" w14:textId="77777777" w:rsidR="00891760" w:rsidRPr="004F3102" w:rsidRDefault="00891760" w:rsidP="004F3102">
      <w:pPr>
        <w:jc w:val="both"/>
        <w:rPr>
          <w:color w:val="000000" w:themeColor="text1"/>
        </w:rPr>
      </w:pPr>
    </w:p>
    <w:p w14:paraId="7580E410" w14:textId="77777777" w:rsidR="00891760" w:rsidRPr="004F3102" w:rsidRDefault="00891760" w:rsidP="004F3102">
      <w:pPr>
        <w:jc w:val="both"/>
        <w:rPr>
          <w:color w:val="000000" w:themeColor="text1"/>
        </w:rPr>
      </w:pPr>
    </w:p>
    <w:p w14:paraId="6CBA21A9" w14:textId="77777777" w:rsidR="00891760" w:rsidRPr="004F3102" w:rsidRDefault="00891760" w:rsidP="004F3102">
      <w:pPr>
        <w:jc w:val="both"/>
        <w:rPr>
          <w:color w:val="000000" w:themeColor="text1"/>
        </w:rPr>
      </w:pPr>
    </w:p>
    <w:p w14:paraId="3BAA474E" w14:textId="77777777" w:rsidR="00891760" w:rsidRPr="004F3102" w:rsidRDefault="00891760" w:rsidP="004F3102">
      <w:pPr>
        <w:jc w:val="both"/>
        <w:rPr>
          <w:color w:val="000000" w:themeColor="text1"/>
        </w:rPr>
      </w:pPr>
    </w:p>
    <w:p w14:paraId="0E7E5F5E" w14:textId="77777777" w:rsidR="00891760" w:rsidRPr="004F3102" w:rsidRDefault="00891760" w:rsidP="004F3102">
      <w:pPr>
        <w:jc w:val="both"/>
        <w:rPr>
          <w:color w:val="000000" w:themeColor="text1"/>
        </w:rPr>
      </w:pPr>
    </w:p>
    <w:p w14:paraId="211D5F6F" w14:textId="77777777" w:rsidR="00891760" w:rsidRPr="004F3102" w:rsidRDefault="00891760" w:rsidP="004F3102">
      <w:pPr>
        <w:jc w:val="both"/>
        <w:rPr>
          <w:color w:val="000000" w:themeColor="text1"/>
        </w:rPr>
      </w:pPr>
    </w:p>
    <w:p w14:paraId="7EE2E755" w14:textId="77777777" w:rsidR="00891760" w:rsidRPr="004F3102" w:rsidRDefault="00891760" w:rsidP="004F3102">
      <w:pPr>
        <w:jc w:val="both"/>
        <w:rPr>
          <w:color w:val="000000" w:themeColor="text1"/>
        </w:rPr>
      </w:pPr>
    </w:p>
    <w:p w14:paraId="61D1A90E" w14:textId="77777777" w:rsidR="00891760" w:rsidRPr="004F3102" w:rsidRDefault="00891760" w:rsidP="004F3102">
      <w:pPr>
        <w:jc w:val="both"/>
        <w:rPr>
          <w:color w:val="000000" w:themeColor="text1"/>
        </w:rPr>
      </w:pPr>
    </w:p>
    <w:p w14:paraId="434F5D9F" w14:textId="77777777" w:rsidR="00891760" w:rsidRPr="004F3102" w:rsidRDefault="00891760" w:rsidP="004F3102">
      <w:pPr>
        <w:jc w:val="both"/>
        <w:rPr>
          <w:color w:val="000000" w:themeColor="text1"/>
        </w:rPr>
      </w:pPr>
    </w:p>
    <w:p w14:paraId="56C766F1" w14:textId="77777777" w:rsidR="00891760" w:rsidRPr="004F3102" w:rsidRDefault="00891760" w:rsidP="004F3102">
      <w:pPr>
        <w:jc w:val="both"/>
        <w:rPr>
          <w:color w:val="000000" w:themeColor="text1"/>
        </w:rPr>
      </w:pPr>
    </w:p>
    <w:p w14:paraId="3AC4FEA6" w14:textId="77777777" w:rsidR="00891760" w:rsidRPr="004F3102" w:rsidRDefault="00891760" w:rsidP="004F3102">
      <w:pPr>
        <w:jc w:val="both"/>
        <w:rPr>
          <w:color w:val="000000" w:themeColor="text1"/>
        </w:rPr>
      </w:pPr>
      <w:r w:rsidRPr="004F3102">
        <w:rPr>
          <w:noProof/>
          <w:color w:val="000000" w:themeColor="text1"/>
          <w:shd w:val="clear" w:color="auto" w:fill="E6E6E6"/>
        </w:rPr>
        <w:lastRenderedPageBreak/>
        <w:drawing>
          <wp:inline distT="0" distB="0" distL="0" distR="0" wp14:anchorId="03B09BD6" wp14:editId="29571951">
            <wp:extent cx="5943600" cy="6893169"/>
            <wp:effectExtent l="0" t="0" r="0" b="3175"/>
            <wp:docPr id="11" name="Picture 1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text on a white background&#10;&#10;Description automatically generated"/>
                    <pic:cNvPicPr/>
                  </pic:nvPicPr>
                  <pic:blipFill rotWithShape="1">
                    <a:blip r:embed="rId8" cstate="print">
                      <a:extLst>
                        <a:ext uri="{28A0092B-C50C-407E-A947-70E740481C1C}">
                          <a14:useLocalDpi xmlns:a14="http://schemas.microsoft.com/office/drawing/2010/main" val="0"/>
                        </a:ext>
                      </a:extLst>
                    </a:blip>
                    <a:srcRect t="3353"/>
                    <a:stretch/>
                  </pic:blipFill>
                  <pic:spPr bwMode="auto">
                    <a:xfrm>
                      <a:off x="0" y="0"/>
                      <a:ext cx="5943600" cy="6893169"/>
                    </a:xfrm>
                    <a:prstGeom prst="rect">
                      <a:avLst/>
                    </a:prstGeom>
                    <a:ln>
                      <a:noFill/>
                    </a:ln>
                    <a:extLst>
                      <a:ext uri="{53640926-AAD7-44D8-BBD7-CCE9431645EC}">
                        <a14:shadowObscured xmlns:a14="http://schemas.microsoft.com/office/drawing/2010/main"/>
                      </a:ext>
                    </a:extLst>
                  </pic:spPr>
                </pic:pic>
              </a:graphicData>
            </a:graphic>
          </wp:inline>
        </w:drawing>
      </w:r>
      <w:r w:rsidRPr="004F3102">
        <w:rPr>
          <w:color w:val="000000" w:themeColor="text1"/>
        </w:rPr>
        <w:t xml:space="preserve">Figure S4. Single point activity from the Pathogen and Stasis Boxes. The Pathogen Box and Stasis Box were merged and ran together. The net schizont growth area per well for both the Prophylactic and Radical Cure runs, as well as the hypnozoite quantity per well from the Prophylactic run, were normalized to the PI4Ki controls; Z’ factor is shown for each run. Hypnozoite quantity per well from the Radical Cure run was normalized to DMSO controls and percent inhibition was calculated as 100%-(% remaining hypnozoites); the CV (%) for hypnozoite quantity in DMSO wells is shown. Dotted line represents 75% inhibition for reference. Legend: </w:t>
      </w:r>
      <w:r w:rsidRPr="004F3102">
        <w:rPr>
          <w:color w:val="000000" w:themeColor="text1"/>
        </w:rPr>
        <w:lastRenderedPageBreak/>
        <w:t xml:space="preserve">DMSO negative control; PI4Ki, MMV390048 positive control; ATO, atovaquone reference compound; PQ, primaquine reference compound; PB compounds were characterized by disease set and are represented with different points as indicated; Stasis, SB compounds. </w:t>
      </w:r>
    </w:p>
    <w:p w14:paraId="3269EAA4" w14:textId="77777777" w:rsidR="00891760" w:rsidRPr="004F3102" w:rsidRDefault="00891760" w:rsidP="004F3102">
      <w:pPr>
        <w:jc w:val="both"/>
        <w:rPr>
          <w:color w:val="000000" w:themeColor="text1"/>
        </w:rPr>
      </w:pPr>
    </w:p>
    <w:p w14:paraId="245B623B" w14:textId="77777777" w:rsidR="00891760" w:rsidRPr="004F3102" w:rsidRDefault="00891760" w:rsidP="004F3102">
      <w:pPr>
        <w:jc w:val="both"/>
        <w:rPr>
          <w:color w:val="000000" w:themeColor="text1"/>
        </w:rPr>
      </w:pPr>
    </w:p>
    <w:p w14:paraId="60D4444D" w14:textId="77777777" w:rsidR="00891760" w:rsidRPr="004F3102" w:rsidRDefault="00891760" w:rsidP="004F3102">
      <w:pPr>
        <w:jc w:val="both"/>
        <w:rPr>
          <w:color w:val="000000" w:themeColor="text1"/>
        </w:rPr>
      </w:pPr>
    </w:p>
    <w:p w14:paraId="4A4D3A21" w14:textId="77777777" w:rsidR="00891760" w:rsidRPr="004F3102" w:rsidRDefault="00891760" w:rsidP="004F3102">
      <w:pPr>
        <w:jc w:val="both"/>
        <w:rPr>
          <w:color w:val="000000" w:themeColor="text1"/>
        </w:rPr>
      </w:pPr>
    </w:p>
    <w:p w14:paraId="0FBBDD02" w14:textId="77777777" w:rsidR="00891760" w:rsidRPr="004F3102" w:rsidRDefault="00891760" w:rsidP="004F3102">
      <w:pPr>
        <w:jc w:val="both"/>
        <w:rPr>
          <w:color w:val="000000" w:themeColor="text1"/>
        </w:rPr>
      </w:pPr>
    </w:p>
    <w:p w14:paraId="351A411C" w14:textId="77777777" w:rsidR="00891760" w:rsidRPr="004F3102" w:rsidRDefault="00891760" w:rsidP="004F3102">
      <w:pPr>
        <w:jc w:val="both"/>
        <w:rPr>
          <w:color w:val="000000" w:themeColor="text1"/>
        </w:rPr>
      </w:pPr>
    </w:p>
    <w:p w14:paraId="4B40AF87" w14:textId="77777777" w:rsidR="00891760" w:rsidRPr="004F3102" w:rsidRDefault="00891760" w:rsidP="004F3102">
      <w:pPr>
        <w:jc w:val="both"/>
        <w:rPr>
          <w:color w:val="000000" w:themeColor="text1"/>
        </w:rPr>
      </w:pPr>
    </w:p>
    <w:p w14:paraId="0B9ABE84" w14:textId="77777777" w:rsidR="00891760" w:rsidRPr="004F3102" w:rsidRDefault="00891760" w:rsidP="004F3102">
      <w:pPr>
        <w:jc w:val="both"/>
        <w:rPr>
          <w:color w:val="000000" w:themeColor="text1"/>
        </w:rPr>
      </w:pPr>
    </w:p>
    <w:p w14:paraId="4A8B73B7" w14:textId="77777777" w:rsidR="00891760" w:rsidRPr="004F3102" w:rsidRDefault="00891760" w:rsidP="004F3102">
      <w:pPr>
        <w:jc w:val="both"/>
        <w:rPr>
          <w:color w:val="000000" w:themeColor="text1"/>
        </w:rPr>
      </w:pPr>
    </w:p>
    <w:p w14:paraId="62E3224C" w14:textId="77777777" w:rsidR="00891760" w:rsidRPr="004F3102" w:rsidRDefault="00891760" w:rsidP="004F3102">
      <w:pPr>
        <w:jc w:val="both"/>
        <w:rPr>
          <w:color w:val="000000" w:themeColor="text1"/>
        </w:rPr>
      </w:pPr>
    </w:p>
    <w:p w14:paraId="3EA7B040" w14:textId="77777777" w:rsidR="00891760" w:rsidRPr="004F3102" w:rsidRDefault="00891760" w:rsidP="004F3102">
      <w:pPr>
        <w:jc w:val="both"/>
        <w:rPr>
          <w:color w:val="000000" w:themeColor="text1"/>
        </w:rPr>
      </w:pPr>
    </w:p>
    <w:p w14:paraId="42215DA4" w14:textId="77777777" w:rsidR="00891760" w:rsidRPr="004F3102" w:rsidRDefault="00891760" w:rsidP="004F3102">
      <w:pPr>
        <w:jc w:val="both"/>
        <w:rPr>
          <w:color w:val="000000" w:themeColor="text1"/>
        </w:rPr>
      </w:pPr>
    </w:p>
    <w:p w14:paraId="151246FB" w14:textId="77777777" w:rsidR="00891760" w:rsidRPr="004F3102" w:rsidRDefault="00891760" w:rsidP="004F3102">
      <w:pPr>
        <w:jc w:val="both"/>
        <w:rPr>
          <w:color w:val="000000" w:themeColor="text1"/>
        </w:rPr>
      </w:pPr>
    </w:p>
    <w:p w14:paraId="7939BBF5" w14:textId="77777777" w:rsidR="00891760" w:rsidRPr="004F3102" w:rsidRDefault="00891760" w:rsidP="004F3102">
      <w:pPr>
        <w:jc w:val="both"/>
        <w:rPr>
          <w:color w:val="000000" w:themeColor="text1"/>
        </w:rPr>
      </w:pPr>
    </w:p>
    <w:p w14:paraId="36ECAFB9" w14:textId="77777777" w:rsidR="00891760" w:rsidRPr="004F3102" w:rsidRDefault="00891760" w:rsidP="004F3102">
      <w:pPr>
        <w:jc w:val="both"/>
        <w:rPr>
          <w:color w:val="000000" w:themeColor="text1"/>
        </w:rPr>
      </w:pPr>
    </w:p>
    <w:p w14:paraId="311E20A7" w14:textId="77777777" w:rsidR="00891760" w:rsidRPr="004F3102" w:rsidRDefault="00891760" w:rsidP="004F3102">
      <w:pPr>
        <w:jc w:val="both"/>
        <w:rPr>
          <w:color w:val="000000" w:themeColor="text1"/>
        </w:rPr>
      </w:pPr>
    </w:p>
    <w:p w14:paraId="6BD77557" w14:textId="77777777" w:rsidR="00891760" w:rsidRPr="004F3102" w:rsidRDefault="00891760" w:rsidP="004F3102">
      <w:pPr>
        <w:jc w:val="both"/>
        <w:rPr>
          <w:color w:val="000000" w:themeColor="text1"/>
        </w:rPr>
      </w:pPr>
    </w:p>
    <w:p w14:paraId="43BD802B" w14:textId="77777777" w:rsidR="00891760" w:rsidRPr="004F3102" w:rsidRDefault="00891760" w:rsidP="004F3102">
      <w:pPr>
        <w:jc w:val="both"/>
        <w:rPr>
          <w:color w:val="000000" w:themeColor="text1"/>
        </w:rPr>
      </w:pPr>
    </w:p>
    <w:p w14:paraId="57EACB4F" w14:textId="77777777" w:rsidR="00891760" w:rsidRPr="004F3102" w:rsidRDefault="00891760" w:rsidP="004F3102">
      <w:pPr>
        <w:jc w:val="both"/>
        <w:rPr>
          <w:color w:val="000000" w:themeColor="text1"/>
        </w:rPr>
      </w:pPr>
    </w:p>
    <w:p w14:paraId="65867FCC" w14:textId="77777777" w:rsidR="00891760" w:rsidRPr="004F3102" w:rsidRDefault="00891760" w:rsidP="004F3102">
      <w:pPr>
        <w:jc w:val="both"/>
        <w:rPr>
          <w:color w:val="000000" w:themeColor="text1"/>
        </w:rPr>
      </w:pPr>
    </w:p>
    <w:p w14:paraId="73E196BD" w14:textId="77777777" w:rsidR="00891760" w:rsidRPr="004F3102" w:rsidRDefault="00891760" w:rsidP="004F3102">
      <w:pPr>
        <w:jc w:val="both"/>
        <w:rPr>
          <w:color w:val="000000" w:themeColor="text1"/>
        </w:rPr>
      </w:pPr>
    </w:p>
    <w:p w14:paraId="3060C480" w14:textId="77777777" w:rsidR="00891760" w:rsidRPr="004F3102" w:rsidRDefault="00891760" w:rsidP="004F3102">
      <w:pPr>
        <w:jc w:val="both"/>
        <w:rPr>
          <w:color w:val="000000" w:themeColor="text1"/>
        </w:rPr>
      </w:pPr>
    </w:p>
    <w:p w14:paraId="0B5F3573" w14:textId="77777777" w:rsidR="00891760" w:rsidRPr="004F3102" w:rsidRDefault="00891760" w:rsidP="004F3102">
      <w:pPr>
        <w:jc w:val="both"/>
        <w:rPr>
          <w:color w:val="000000" w:themeColor="text1"/>
        </w:rPr>
      </w:pPr>
    </w:p>
    <w:p w14:paraId="5E92332C" w14:textId="77777777" w:rsidR="00891760" w:rsidRPr="004F3102" w:rsidRDefault="00891760" w:rsidP="004F3102">
      <w:pPr>
        <w:jc w:val="both"/>
        <w:rPr>
          <w:color w:val="000000" w:themeColor="text1"/>
        </w:rPr>
      </w:pPr>
    </w:p>
    <w:p w14:paraId="29C21A3E" w14:textId="77777777" w:rsidR="00891760" w:rsidRPr="004F3102" w:rsidRDefault="00891760" w:rsidP="004F3102">
      <w:pPr>
        <w:jc w:val="both"/>
        <w:rPr>
          <w:color w:val="000000" w:themeColor="text1"/>
        </w:rPr>
      </w:pPr>
    </w:p>
    <w:p w14:paraId="16758EA6" w14:textId="77777777" w:rsidR="00891760" w:rsidRPr="004F3102" w:rsidRDefault="00891760" w:rsidP="004F3102">
      <w:pPr>
        <w:jc w:val="both"/>
        <w:rPr>
          <w:color w:val="000000" w:themeColor="text1"/>
        </w:rPr>
      </w:pPr>
    </w:p>
    <w:p w14:paraId="36EE2CC7" w14:textId="77777777" w:rsidR="00891760" w:rsidRPr="004F3102" w:rsidRDefault="00891760" w:rsidP="004F3102">
      <w:pPr>
        <w:jc w:val="both"/>
        <w:rPr>
          <w:color w:val="000000" w:themeColor="text1"/>
        </w:rPr>
      </w:pPr>
    </w:p>
    <w:p w14:paraId="6A38AA27" w14:textId="77777777" w:rsidR="00891760" w:rsidRPr="004F3102" w:rsidRDefault="00891760" w:rsidP="004F3102">
      <w:pPr>
        <w:jc w:val="both"/>
        <w:rPr>
          <w:color w:val="000000" w:themeColor="text1"/>
        </w:rPr>
      </w:pPr>
    </w:p>
    <w:p w14:paraId="1AE48E89" w14:textId="77777777" w:rsidR="00891760" w:rsidRPr="004F3102" w:rsidRDefault="00891760" w:rsidP="004F3102">
      <w:pPr>
        <w:jc w:val="both"/>
        <w:rPr>
          <w:color w:val="000000" w:themeColor="text1"/>
        </w:rPr>
      </w:pPr>
    </w:p>
    <w:p w14:paraId="4D3CD49E" w14:textId="77777777" w:rsidR="00891760" w:rsidRPr="004F3102" w:rsidRDefault="00891760" w:rsidP="004F3102">
      <w:pPr>
        <w:jc w:val="both"/>
        <w:rPr>
          <w:color w:val="000000" w:themeColor="text1"/>
        </w:rPr>
      </w:pPr>
    </w:p>
    <w:p w14:paraId="31B589BD" w14:textId="77777777" w:rsidR="00891760" w:rsidRPr="004F3102" w:rsidRDefault="00891760" w:rsidP="004F3102">
      <w:pPr>
        <w:jc w:val="both"/>
        <w:rPr>
          <w:color w:val="000000" w:themeColor="text1"/>
        </w:rPr>
      </w:pPr>
    </w:p>
    <w:p w14:paraId="1C71F76C" w14:textId="77777777" w:rsidR="00891760" w:rsidRPr="004F3102" w:rsidRDefault="00891760" w:rsidP="004F3102">
      <w:pPr>
        <w:jc w:val="both"/>
        <w:rPr>
          <w:color w:val="000000" w:themeColor="text1"/>
        </w:rPr>
      </w:pPr>
    </w:p>
    <w:p w14:paraId="5B2DA2F4" w14:textId="77777777" w:rsidR="00891760" w:rsidRPr="004F3102" w:rsidRDefault="00891760" w:rsidP="004F3102">
      <w:pPr>
        <w:jc w:val="both"/>
        <w:rPr>
          <w:color w:val="000000" w:themeColor="text1"/>
        </w:rPr>
      </w:pPr>
    </w:p>
    <w:p w14:paraId="00D157BE" w14:textId="77777777" w:rsidR="00891760" w:rsidRPr="004F3102" w:rsidRDefault="00891760" w:rsidP="004F3102">
      <w:pPr>
        <w:jc w:val="both"/>
        <w:rPr>
          <w:color w:val="000000" w:themeColor="text1"/>
        </w:rPr>
      </w:pPr>
    </w:p>
    <w:p w14:paraId="7A1FB31E" w14:textId="77777777" w:rsidR="00891760" w:rsidRPr="004F3102" w:rsidRDefault="00891760" w:rsidP="004F3102">
      <w:pPr>
        <w:jc w:val="both"/>
        <w:rPr>
          <w:color w:val="000000" w:themeColor="text1"/>
        </w:rPr>
      </w:pPr>
    </w:p>
    <w:p w14:paraId="2D276E5A" w14:textId="77777777" w:rsidR="00891760" w:rsidRPr="004F3102" w:rsidRDefault="00891760" w:rsidP="004F3102">
      <w:pPr>
        <w:jc w:val="both"/>
        <w:rPr>
          <w:color w:val="000000" w:themeColor="text1"/>
        </w:rPr>
      </w:pPr>
    </w:p>
    <w:p w14:paraId="5CC139A7" w14:textId="77777777" w:rsidR="00891760" w:rsidRPr="004F3102" w:rsidRDefault="00891760" w:rsidP="004F3102">
      <w:pPr>
        <w:jc w:val="both"/>
        <w:rPr>
          <w:color w:val="000000" w:themeColor="text1"/>
        </w:rPr>
      </w:pPr>
    </w:p>
    <w:p w14:paraId="7BCD9607" w14:textId="77777777" w:rsidR="00891760" w:rsidRPr="004F3102" w:rsidRDefault="00891760" w:rsidP="004F3102">
      <w:pPr>
        <w:jc w:val="both"/>
        <w:rPr>
          <w:color w:val="000000" w:themeColor="text1"/>
        </w:rPr>
      </w:pPr>
    </w:p>
    <w:p w14:paraId="19018CFF" w14:textId="77777777" w:rsidR="00891760" w:rsidRPr="004F3102" w:rsidRDefault="00891760" w:rsidP="004F3102">
      <w:pPr>
        <w:jc w:val="both"/>
        <w:rPr>
          <w:color w:val="000000" w:themeColor="text1"/>
        </w:rPr>
      </w:pPr>
    </w:p>
    <w:p w14:paraId="6B8ACF40" w14:textId="77777777" w:rsidR="00891760" w:rsidRPr="004F3102" w:rsidRDefault="00891760" w:rsidP="004F3102">
      <w:pPr>
        <w:jc w:val="both"/>
        <w:rPr>
          <w:color w:val="000000" w:themeColor="text1"/>
        </w:rPr>
      </w:pPr>
      <w:r w:rsidRPr="004F3102">
        <w:rPr>
          <w:noProof/>
          <w:color w:val="000000" w:themeColor="text1"/>
          <w:shd w:val="clear" w:color="auto" w:fill="E6E6E6"/>
        </w:rPr>
        <w:lastRenderedPageBreak/>
        <w:drawing>
          <wp:inline distT="0" distB="0" distL="0" distR="0" wp14:anchorId="0D72F13A" wp14:editId="0D9CE569">
            <wp:extent cx="5943384" cy="5219114"/>
            <wp:effectExtent l="0" t="0" r="635" b="635"/>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map&#10;&#10;Description automatically generated"/>
                    <pic:cNvPicPr/>
                  </pic:nvPicPr>
                  <pic:blipFill rotWithShape="1">
                    <a:blip r:embed="rId9" cstate="print">
                      <a:extLst>
                        <a:ext uri="{28A0092B-C50C-407E-A947-70E740481C1C}">
                          <a14:useLocalDpi xmlns:a14="http://schemas.microsoft.com/office/drawing/2010/main" val="0"/>
                        </a:ext>
                      </a:extLst>
                    </a:blip>
                    <a:srcRect t="5917" b="20904"/>
                    <a:stretch/>
                  </pic:blipFill>
                  <pic:spPr bwMode="auto">
                    <a:xfrm>
                      <a:off x="0" y="0"/>
                      <a:ext cx="5943600" cy="5219304"/>
                    </a:xfrm>
                    <a:prstGeom prst="rect">
                      <a:avLst/>
                    </a:prstGeom>
                    <a:ln>
                      <a:noFill/>
                    </a:ln>
                    <a:extLst>
                      <a:ext uri="{53640926-AAD7-44D8-BBD7-CCE9431645EC}">
                        <a14:shadowObscured xmlns:a14="http://schemas.microsoft.com/office/drawing/2010/main"/>
                      </a:ext>
                    </a:extLst>
                  </pic:spPr>
                </pic:pic>
              </a:graphicData>
            </a:graphic>
          </wp:inline>
        </w:drawing>
      </w:r>
    </w:p>
    <w:p w14:paraId="473DC86E" w14:textId="77777777" w:rsidR="00891760" w:rsidRDefault="00891760" w:rsidP="004F3102">
      <w:pPr>
        <w:jc w:val="both"/>
        <w:rPr>
          <w:color w:val="000000" w:themeColor="text1"/>
        </w:rPr>
      </w:pPr>
      <w:r w:rsidRPr="004F3102">
        <w:rPr>
          <w:color w:val="000000" w:themeColor="text1"/>
        </w:rPr>
        <w:t xml:space="preserve">Figure S5. Single point activity from the Malaria Box and </w:t>
      </w:r>
      <w:proofErr w:type="spellStart"/>
      <w:r w:rsidRPr="004F3102">
        <w:rPr>
          <w:color w:val="000000" w:themeColor="text1"/>
        </w:rPr>
        <w:t>Photodiversity</w:t>
      </w:r>
      <w:proofErr w:type="spellEnd"/>
      <w:r w:rsidRPr="004F3102">
        <w:rPr>
          <w:color w:val="000000" w:themeColor="text1"/>
        </w:rPr>
        <w:t xml:space="preserve"> Library. The net schizont growth area per well for both the Prophylactic and Radical Cure runs, as well as the hypnozoite quantity per well from for both the Prophylactic and Radical Cure runs, were normalized to the </w:t>
      </w:r>
      <w:proofErr w:type="spellStart"/>
      <w:r w:rsidRPr="004F3102">
        <w:rPr>
          <w:color w:val="000000" w:themeColor="text1"/>
        </w:rPr>
        <w:t>monensin</w:t>
      </w:r>
      <w:proofErr w:type="spellEnd"/>
      <w:r w:rsidRPr="004F3102">
        <w:rPr>
          <w:color w:val="000000" w:themeColor="text1"/>
        </w:rPr>
        <w:t xml:space="preserve"> controls; Z’ factor is shown for each run. Dotted line represents 75% inhibition for reference. Legend: DMSO negative control; PI4Ki, MMV390048 reference compound; ATO, atovaquone reference compound; MON, </w:t>
      </w:r>
      <w:proofErr w:type="spellStart"/>
      <w:r w:rsidRPr="004F3102">
        <w:rPr>
          <w:color w:val="000000" w:themeColor="text1"/>
        </w:rPr>
        <w:t>monensin</w:t>
      </w:r>
      <w:proofErr w:type="spellEnd"/>
      <w:r w:rsidRPr="004F3102">
        <w:rPr>
          <w:color w:val="000000" w:themeColor="text1"/>
        </w:rPr>
        <w:t xml:space="preserve"> positive control; Malaria Box compounds were characterized as either Probe-like or Drug-like and are represented with different points as indicated; REFER, the </w:t>
      </w:r>
      <w:proofErr w:type="spellStart"/>
      <w:r w:rsidRPr="004F3102">
        <w:rPr>
          <w:color w:val="000000" w:themeColor="text1"/>
        </w:rPr>
        <w:t>Photodiversity</w:t>
      </w:r>
      <w:proofErr w:type="spellEnd"/>
      <w:r w:rsidRPr="004F3102">
        <w:rPr>
          <w:color w:val="000000" w:themeColor="text1"/>
        </w:rPr>
        <w:t xml:space="preserve"> Library contained 60 reference compounds which are represented with different points as indicated.  </w:t>
      </w:r>
    </w:p>
    <w:p w14:paraId="283EF94E" w14:textId="77777777" w:rsidR="00891760" w:rsidRDefault="00891760" w:rsidP="004F3102">
      <w:pPr>
        <w:jc w:val="both"/>
        <w:rPr>
          <w:color w:val="000000" w:themeColor="text1"/>
        </w:rPr>
      </w:pPr>
    </w:p>
    <w:p w14:paraId="12EEFAE8" w14:textId="77777777" w:rsidR="00891760" w:rsidRDefault="00891760" w:rsidP="004F3102">
      <w:pPr>
        <w:jc w:val="both"/>
        <w:rPr>
          <w:color w:val="000000" w:themeColor="text1"/>
        </w:rPr>
      </w:pPr>
    </w:p>
    <w:p w14:paraId="751C5A63" w14:textId="77777777" w:rsidR="00891760" w:rsidRDefault="00891760" w:rsidP="004F3102">
      <w:pPr>
        <w:jc w:val="both"/>
        <w:rPr>
          <w:color w:val="000000" w:themeColor="text1"/>
        </w:rPr>
      </w:pPr>
    </w:p>
    <w:p w14:paraId="5BC48C70" w14:textId="77777777" w:rsidR="00891760" w:rsidRDefault="00891760" w:rsidP="004F3102">
      <w:pPr>
        <w:jc w:val="both"/>
        <w:rPr>
          <w:color w:val="000000" w:themeColor="text1"/>
        </w:rPr>
      </w:pPr>
    </w:p>
    <w:p w14:paraId="1E4C83EC" w14:textId="77777777" w:rsidR="00891760" w:rsidRDefault="00891760" w:rsidP="004F3102">
      <w:pPr>
        <w:jc w:val="both"/>
        <w:rPr>
          <w:color w:val="000000" w:themeColor="text1"/>
        </w:rPr>
      </w:pPr>
    </w:p>
    <w:p w14:paraId="786DC966" w14:textId="77777777" w:rsidR="00891760" w:rsidRDefault="00891760" w:rsidP="004F3102">
      <w:pPr>
        <w:jc w:val="both"/>
        <w:rPr>
          <w:color w:val="000000" w:themeColor="text1"/>
        </w:rPr>
      </w:pPr>
    </w:p>
    <w:p w14:paraId="26D45800" w14:textId="77777777" w:rsidR="00891760" w:rsidRDefault="00891760" w:rsidP="004F3102">
      <w:pPr>
        <w:jc w:val="both"/>
        <w:rPr>
          <w:color w:val="000000" w:themeColor="text1"/>
        </w:rPr>
      </w:pPr>
    </w:p>
    <w:p w14:paraId="3B40BAE9" w14:textId="77777777" w:rsidR="00891760" w:rsidRDefault="00891760" w:rsidP="00436A8F">
      <w:pPr>
        <w:jc w:val="both"/>
        <w:rPr>
          <w:color w:val="000000" w:themeColor="text1"/>
        </w:rPr>
      </w:pPr>
      <w:r>
        <w:rPr>
          <w:noProof/>
          <w:color w:val="000000" w:themeColor="text1"/>
        </w:rPr>
        <w:lastRenderedPageBreak/>
        <w:drawing>
          <wp:inline distT="0" distB="0" distL="0" distR="0" wp14:anchorId="5719AE7B" wp14:editId="0F478D83">
            <wp:extent cx="6227180" cy="398716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extLst>
                        <a:ext uri="{28A0092B-C50C-407E-A947-70E740481C1C}">
                          <a14:useLocalDpi xmlns:a14="http://schemas.microsoft.com/office/drawing/2010/main" val="0"/>
                        </a:ext>
                      </a:extLst>
                    </a:blip>
                    <a:srcRect b="46671"/>
                    <a:stretch/>
                  </pic:blipFill>
                  <pic:spPr bwMode="auto">
                    <a:xfrm>
                      <a:off x="0" y="0"/>
                      <a:ext cx="6243126" cy="3997377"/>
                    </a:xfrm>
                    <a:prstGeom prst="rect">
                      <a:avLst/>
                    </a:prstGeom>
                    <a:ln>
                      <a:noFill/>
                    </a:ln>
                    <a:extLst>
                      <a:ext uri="{53640926-AAD7-44D8-BBD7-CCE9431645EC}">
                        <a14:shadowObscured xmlns:a14="http://schemas.microsoft.com/office/drawing/2010/main"/>
                      </a:ext>
                    </a:extLst>
                  </pic:spPr>
                </pic:pic>
              </a:graphicData>
            </a:graphic>
          </wp:inline>
        </w:drawing>
      </w:r>
    </w:p>
    <w:p w14:paraId="7F5E23AC" w14:textId="77777777" w:rsidR="00891760" w:rsidRDefault="00891760" w:rsidP="00436A8F">
      <w:pPr>
        <w:jc w:val="both"/>
        <w:rPr>
          <w:color w:val="000000" w:themeColor="text1"/>
        </w:rPr>
      </w:pPr>
    </w:p>
    <w:p w14:paraId="598B86FA" w14:textId="77777777" w:rsidR="00891760" w:rsidRPr="004F3102" w:rsidRDefault="00891760" w:rsidP="00436A8F">
      <w:pPr>
        <w:jc w:val="both"/>
        <w:rPr>
          <w:color w:val="000000" w:themeColor="text1"/>
        </w:rPr>
      </w:pPr>
      <w:r w:rsidRPr="004F3102">
        <w:rPr>
          <w:color w:val="000000" w:themeColor="text1"/>
        </w:rPr>
        <w:t>Figure S</w:t>
      </w:r>
      <w:r>
        <w:rPr>
          <w:color w:val="000000" w:themeColor="text1"/>
        </w:rPr>
        <w:t>6</w:t>
      </w:r>
      <w:r w:rsidRPr="004F3102">
        <w:rPr>
          <w:color w:val="000000" w:themeColor="text1"/>
        </w:rPr>
        <w:t xml:space="preserve">. Cross-comparison of </w:t>
      </w:r>
      <w:r>
        <w:rPr>
          <w:color w:val="000000" w:themeColor="text1"/>
        </w:rPr>
        <w:t>potency</w:t>
      </w:r>
      <w:r w:rsidRPr="004F3102">
        <w:rPr>
          <w:color w:val="000000" w:themeColor="text1"/>
        </w:rPr>
        <w:t xml:space="preserve"> </w:t>
      </w:r>
      <w:r>
        <w:rPr>
          <w:color w:val="000000" w:themeColor="text1"/>
        </w:rPr>
        <w:t xml:space="preserve">against </w:t>
      </w:r>
      <w:r>
        <w:rPr>
          <w:i/>
          <w:iCs/>
          <w:color w:val="000000" w:themeColor="text1"/>
        </w:rPr>
        <w:t xml:space="preserve">P. vivax </w:t>
      </w:r>
      <w:r>
        <w:rPr>
          <w:color w:val="000000" w:themeColor="text1"/>
        </w:rPr>
        <w:t xml:space="preserve">late schizonts and </w:t>
      </w:r>
      <w:r w:rsidRPr="004F3102">
        <w:rPr>
          <w:color w:val="000000" w:themeColor="text1"/>
        </w:rPr>
        <w:t xml:space="preserve">other </w:t>
      </w:r>
      <w:r w:rsidRPr="004F3102">
        <w:rPr>
          <w:i/>
          <w:iCs/>
          <w:color w:val="000000" w:themeColor="text1"/>
        </w:rPr>
        <w:t xml:space="preserve">Plasmodium </w:t>
      </w:r>
      <w:r w:rsidRPr="004F3102">
        <w:rPr>
          <w:color w:val="000000" w:themeColor="text1"/>
        </w:rPr>
        <w:t>species and lifecycle stages.</w:t>
      </w:r>
      <w:r>
        <w:rPr>
          <w:color w:val="000000" w:themeColor="text1"/>
        </w:rPr>
        <w:t xml:space="preserve"> Data were derived from previously-published data or information available with the Pathogen Box. Markers above black line indicate more potency against </w:t>
      </w:r>
      <w:r>
        <w:rPr>
          <w:i/>
          <w:iCs/>
          <w:color w:val="000000" w:themeColor="text1"/>
        </w:rPr>
        <w:t xml:space="preserve">P. vivax </w:t>
      </w:r>
      <w:r>
        <w:rPr>
          <w:color w:val="000000" w:themeColor="text1"/>
        </w:rPr>
        <w:t xml:space="preserve">late schizonts, markers below black line indicate less potency against </w:t>
      </w:r>
      <w:r>
        <w:rPr>
          <w:i/>
          <w:iCs/>
          <w:color w:val="000000" w:themeColor="text1"/>
        </w:rPr>
        <w:t xml:space="preserve">P. vivax </w:t>
      </w:r>
      <w:r>
        <w:rPr>
          <w:color w:val="000000" w:themeColor="text1"/>
        </w:rPr>
        <w:t xml:space="preserve">late schizonts.  ABS: asexual blood stage. </w:t>
      </w:r>
    </w:p>
    <w:p w14:paraId="58C60AA6" w14:textId="77777777" w:rsidR="00891760" w:rsidRDefault="00891760" w:rsidP="004F3102">
      <w:pPr>
        <w:jc w:val="both"/>
        <w:rPr>
          <w:color w:val="000000" w:themeColor="text1"/>
        </w:rPr>
      </w:pPr>
    </w:p>
    <w:p w14:paraId="40935660" w14:textId="77777777" w:rsidR="00891760" w:rsidRDefault="00891760" w:rsidP="004F3102">
      <w:pPr>
        <w:jc w:val="both"/>
        <w:rPr>
          <w:color w:val="000000" w:themeColor="text1"/>
        </w:rPr>
      </w:pPr>
    </w:p>
    <w:p w14:paraId="6F657312" w14:textId="77777777" w:rsidR="00891760" w:rsidRDefault="00891760" w:rsidP="004F3102">
      <w:pPr>
        <w:jc w:val="both"/>
        <w:rPr>
          <w:color w:val="000000" w:themeColor="text1"/>
        </w:rPr>
      </w:pPr>
    </w:p>
    <w:p w14:paraId="21FC5D59" w14:textId="77777777" w:rsidR="00891760" w:rsidRDefault="00891760" w:rsidP="004F3102">
      <w:pPr>
        <w:jc w:val="both"/>
        <w:rPr>
          <w:color w:val="000000" w:themeColor="text1"/>
        </w:rPr>
      </w:pPr>
    </w:p>
    <w:p w14:paraId="6995D0B5" w14:textId="77777777" w:rsidR="00891760" w:rsidRDefault="00891760" w:rsidP="004F3102">
      <w:pPr>
        <w:jc w:val="both"/>
        <w:rPr>
          <w:color w:val="000000" w:themeColor="text1"/>
        </w:rPr>
      </w:pPr>
    </w:p>
    <w:p w14:paraId="3374A47E" w14:textId="77777777" w:rsidR="00891760" w:rsidRDefault="00891760" w:rsidP="004F3102">
      <w:pPr>
        <w:jc w:val="both"/>
        <w:rPr>
          <w:color w:val="000000" w:themeColor="text1"/>
        </w:rPr>
      </w:pPr>
    </w:p>
    <w:p w14:paraId="1CD74F77" w14:textId="77777777" w:rsidR="00891760" w:rsidRPr="004F3102" w:rsidRDefault="00891760" w:rsidP="004F3102">
      <w:pPr>
        <w:jc w:val="both"/>
        <w:rPr>
          <w:color w:val="000000" w:themeColor="text1"/>
        </w:rPr>
      </w:pPr>
    </w:p>
    <w:p w14:paraId="0B104BF8" w14:textId="77777777" w:rsidR="00891760" w:rsidRPr="004F3102" w:rsidRDefault="00891760" w:rsidP="004F3102">
      <w:pPr>
        <w:jc w:val="both"/>
        <w:rPr>
          <w:color w:val="000000" w:themeColor="text1"/>
        </w:rPr>
      </w:pPr>
      <w:r w:rsidRPr="004F3102">
        <w:rPr>
          <w:noProof/>
          <w:color w:val="000000" w:themeColor="text1"/>
          <w:shd w:val="clear" w:color="auto" w:fill="E6E6E6"/>
        </w:rPr>
        <w:lastRenderedPageBreak/>
        <w:drawing>
          <wp:inline distT="0" distB="0" distL="0" distR="0" wp14:anchorId="470C927C" wp14:editId="485C8C38">
            <wp:extent cx="5943127" cy="4881489"/>
            <wp:effectExtent l="0" t="0" r="635"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pic:nvPicPr>
                  <pic:blipFill rotWithShape="1">
                    <a:blip r:embed="rId11" cstate="print">
                      <a:extLst>
                        <a:ext uri="{28A0092B-C50C-407E-A947-70E740481C1C}">
                          <a14:useLocalDpi xmlns:a14="http://schemas.microsoft.com/office/drawing/2010/main" val="0"/>
                        </a:ext>
                      </a:extLst>
                    </a:blip>
                    <a:srcRect t="5326" b="26227"/>
                    <a:stretch/>
                  </pic:blipFill>
                  <pic:spPr bwMode="auto">
                    <a:xfrm>
                      <a:off x="0" y="0"/>
                      <a:ext cx="5943600" cy="4881877"/>
                    </a:xfrm>
                    <a:prstGeom prst="rect">
                      <a:avLst/>
                    </a:prstGeom>
                    <a:ln>
                      <a:noFill/>
                    </a:ln>
                    <a:extLst>
                      <a:ext uri="{53640926-AAD7-44D8-BBD7-CCE9431645EC}">
                        <a14:shadowObscured xmlns:a14="http://schemas.microsoft.com/office/drawing/2010/main"/>
                      </a:ext>
                    </a:extLst>
                  </pic:spPr>
                </pic:pic>
              </a:graphicData>
            </a:graphic>
          </wp:inline>
        </w:drawing>
      </w:r>
    </w:p>
    <w:p w14:paraId="474C48FC" w14:textId="3B54A415" w:rsidR="006A7F57" w:rsidRPr="0005485B" w:rsidRDefault="00891760" w:rsidP="0005485B">
      <w:pPr>
        <w:jc w:val="both"/>
        <w:rPr>
          <w:color w:val="000000" w:themeColor="text1"/>
        </w:rPr>
      </w:pPr>
      <w:r w:rsidRPr="004F3102">
        <w:rPr>
          <w:color w:val="000000" w:themeColor="text1"/>
        </w:rPr>
        <w:t>Figure S</w:t>
      </w:r>
      <w:r>
        <w:rPr>
          <w:color w:val="000000" w:themeColor="text1"/>
        </w:rPr>
        <w:t>7</w:t>
      </w:r>
      <w:r w:rsidRPr="004F3102">
        <w:rPr>
          <w:color w:val="000000" w:themeColor="text1"/>
        </w:rPr>
        <w:t xml:space="preserve">. High Content Imaging methodology and validation. High Content Imaging (HCI) was first performed on an </w:t>
      </w:r>
      <w:proofErr w:type="spellStart"/>
      <w:r w:rsidRPr="004F3102">
        <w:rPr>
          <w:color w:val="000000" w:themeColor="text1"/>
        </w:rPr>
        <w:t>ImageXpress</w:t>
      </w:r>
      <w:proofErr w:type="spellEnd"/>
      <w:r w:rsidRPr="004F3102">
        <w:rPr>
          <w:color w:val="000000" w:themeColor="text1"/>
        </w:rPr>
        <w:t xml:space="preserve"> (IMX) Micro Confocal with a 10x objective and then with a Lionheart with a 4x objective.  A) Representative image from a single well of a 384-well plate, stitched from 9 fields of view imaged with a 10x objective on an IMX. Inset: digitally zoomed image from area marked by dotted white line. B) Representative image from a single well of a 384-well plate, stitched from 4 fields of view imaged with a 4x objective on a Lionheart. Inset: digitally zoomed image from area marked by dotted white line. Bar represents 20 </w:t>
      </w:r>
      <w:proofErr w:type="spellStart"/>
      <w:r w:rsidRPr="004F3102">
        <w:rPr>
          <w:color w:val="000000" w:themeColor="text1"/>
        </w:rPr>
        <w:t>μm</w:t>
      </w:r>
      <w:proofErr w:type="spellEnd"/>
      <w:r w:rsidRPr="004F3102">
        <w:rPr>
          <w:color w:val="000000" w:themeColor="text1"/>
        </w:rPr>
        <w:t xml:space="preserve">. C) HCI data obtained from an IMX and Lionheart was compared for several assay plates, including one with a very high infection rate of over 500 parasites per well (shown). Each point represents the </w:t>
      </w:r>
      <w:proofErr w:type="spellStart"/>
      <w:r w:rsidRPr="004F3102">
        <w:rPr>
          <w:color w:val="000000" w:themeColor="text1"/>
        </w:rPr>
        <w:t>PvLS</w:t>
      </w:r>
      <w:proofErr w:type="spellEnd"/>
      <w:r w:rsidRPr="004F3102">
        <w:rPr>
          <w:color w:val="000000" w:themeColor="text1"/>
        </w:rPr>
        <w:t xml:space="preserve"> parasite growth metrics or nuclei count for a single well. </w:t>
      </w:r>
    </w:p>
    <w:sectPr w:rsidR="006A7F57" w:rsidRPr="0005485B" w:rsidSect="005227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77726"/>
    <w:multiLevelType w:val="hybridMultilevel"/>
    <w:tmpl w:val="92A08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E369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BA41FFD"/>
    <w:multiLevelType w:val="hybridMultilevel"/>
    <w:tmpl w:val="0409001D"/>
    <w:lvl w:ilvl="0" w:tplc="25AA3926">
      <w:start w:val="1"/>
      <w:numFmt w:val="decimal"/>
      <w:lvlText w:val="%1)"/>
      <w:lvlJc w:val="left"/>
      <w:pPr>
        <w:ind w:left="360" w:hanging="360"/>
      </w:pPr>
    </w:lvl>
    <w:lvl w:ilvl="1" w:tplc="CF741686">
      <w:start w:val="1"/>
      <w:numFmt w:val="lowerLetter"/>
      <w:lvlText w:val="%2)"/>
      <w:lvlJc w:val="left"/>
      <w:pPr>
        <w:ind w:left="720" w:hanging="360"/>
      </w:pPr>
    </w:lvl>
    <w:lvl w:ilvl="2" w:tplc="6D9420DC">
      <w:start w:val="1"/>
      <w:numFmt w:val="lowerRoman"/>
      <w:lvlText w:val="%3)"/>
      <w:lvlJc w:val="left"/>
      <w:pPr>
        <w:ind w:left="1080" w:hanging="360"/>
      </w:pPr>
    </w:lvl>
    <w:lvl w:ilvl="3" w:tplc="10667BFA">
      <w:start w:val="1"/>
      <w:numFmt w:val="decimal"/>
      <w:lvlText w:val="(%4)"/>
      <w:lvlJc w:val="left"/>
      <w:pPr>
        <w:ind w:left="1440" w:hanging="360"/>
      </w:pPr>
    </w:lvl>
    <w:lvl w:ilvl="4" w:tplc="992A68D4">
      <w:start w:val="1"/>
      <w:numFmt w:val="lowerLetter"/>
      <w:lvlText w:val="(%5)"/>
      <w:lvlJc w:val="left"/>
      <w:pPr>
        <w:ind w:left="1800" w:hanging="360"/>
      </w:pPr>
    </w:lvl>
    <w:lvl w:ilvl="5" w:tplc="F74E113C">
      <w:start w:val="1"/>
      <w:numFmt w:val="lowerRoman"/>
      <w:lvlText w:val="(%6)"/>
      <w:lvlJc w:val="left"/>
      <w:pPr>
        <w:ind w:left="2160" w:hanging="360"/>
      </w:pPr>
    </w:lvl>
    <w:lvl w:ilvl="6" w:tplc="702EFCC0">
      <w:start w:val="1"/>
      <w:numFmt w:val="decimal"/>
      <w:lvlText w:val="%7."/>
      <w:lvlJc w:val="left"/>
      <w:pPr>
        <w:ind w:left="2520" w:hanging="360"/>
      </w:pPr>
    </w:lvl>
    <w:lvl w:ilvl="7" w:tplc="1CE032A4">
      <w:start w:val="1"/>
      <w:numFmt w:val="lowerLetter"/>
      <w:lvlText w:val="%8."/>
      <w:lvlJc w:val="left"/>
      <w:pPr>
        <w:ind w:left="2880" w:hanging="360"/>
      </w:pPr>
    </w:lvl>
    <w:lvl w:ilvl="8" w:tplc="46A6C3A2">
      <w:start w:val="1"/>
      <w:numFmt w:val="lowerRoman"/>
      <w:lvlText w:val="%9."/>
      <w:lvlJc w:val="left"/>
      <w:pPr>
        <w:ind w:left="3240" w:hanging="360"/>
      </w:pPr>
    </w:lvl>
  </w:abstractNum>
  <w:abstractNum w:abstractNumId="3" w15:restartNumberingAfterBreak="0">
    <w:nsid w:val="1BC92C50"/>
    <w:multiLevelType w:val="hybridMultilevel"/>
    <w:tmpl w:val="04090027"/>
    <w:lvl w:ilvl="0" w:tplc="399A479C">
      <w:start w:val="1"/>
      <w:numFmt w:val="upperRoman"/>
      <w:pStyle w:val="Heading1"/>
      <w:lvlText w:val="%1."/>
      <w:lvlJc w:val="left"/>
      <w:pPr>
        <w:ind w:left="0" w:firstLine="0"/>
      </w:pPr>
    </w:lvl>
    <w:lvl w:ilvl="1" w:tplc="839A1EFC">
      <w:start w:val="1"/>
      <w:numFmt w:val="upperLetter"/>
      <w:pStyle w:val="Heading2"/>
      <w:lvlText w:val="%2."/>
      <w:lvlJc w:val="left"/>
      <w:pPr>
        <w:ind w:left="720" w:firstLine="0"/>
      </w:pPr>
    </w:lvl>
    <w:lvl w:ilvl="2" w:tplc="F57E7370">
      <w:start w:val="1"/>
      <w:numFmt w:val="decimal"/>
      <w:pStyle w:val="Heading3"/>
      <w:lvlText w:val="%3."/>
      <w:lvlJc w:val="left"/>
      <w:pPr>
        <w:ind w:left="1440" w:firstLine="0"/>
      </w:pPr>
    </w:lvl>
    <w:lvl w:ilvl="3" w:tplc="17B266A4">
      <w:start w:val="1"/>
      <w:numFmt w:val="lowerLetter"/>
      <w:pStyle w:val="Heading4"/>
      <w:lvlText w:val="%4)"/>
      <w:lvlJc w:val="left"/>
      <w:pPr>
        <w:ind w:left="2160" w:firstLine="0"/>
      </w:pPr>
    </w:lvl>
    <w:lvl w:ilvl="4" w:tplc="3FE46938">
      <w:start w:val="1"/>
      <w:numFmt w:val="decimal"/>
      <w:pStyle w:val="Heading5"/>
      <w:lvlText w:val="(%5)"/>
      <w:lvlJc w:val="left"/>
      <w:pPr>
        <w:ind w:left="2880" w:firstLine="0"/>
      </w:pPr>
    </w:lvl>
    <w:lvl w:ilvl="5" w:tplc="E3B05984">
      <w:start w:val="1"/>
      <w:numFmt w:val="lowerLetter"/>
      <w:pStyle w:val="Heading6"/>
      <w:lvlText w:val="(%6)"/>
      <w:lvlJc w:val="left"/>
      <w:pPr>
        <w:ind w:left="3600" w:firstLine="0"/>
      </w:pPr>
    </w:lvl>
    <w:lvl w:ilvl="6" w:tplc="796CAF44">
      <w:start w:val="1"/>
      <w:numFmt w:val="lowerRoman"/>
      <w:pStyle w:val="Heading7"/>
      <w:lvlText w:val="(%7)"/>
      <w:lvlJc w:val="left"/>
      <w:pPr>
        <w:ind w:left="4320" w:firstLine="0"/>
      </w:pPr>
    </w:lvl>
    <w:lvl w:ilvl="7" w:tplc="608C4168">
      <w:start w:val="1"/>
      <w:numFmt w:val="lowerLetter"/>
      <w:pStyle w:val="Heading8"/>
      <w:lvlText w:val="(%8)"/>
      <w:lvlJc w:val="left"/>
      <w:pPr>
        <w:ind w:left="5040" w:firstLine="0"/>
      </w:pPr>
    </w:lvl>
    <w:lvl w:ilvl="8" w:tplc="9F3E8636">
      <w:start w:val="1"/>
      <w:numFmt w:val="lowerRoman"/>
      <w:pStyle w:val="Heading9"/>
      <w:lvlText w:val="(%9)"/>
      <w:lvlJc w:val="left"/>
      <w:pPr>
        <w:ind w:left="5760" w:firstLine="0"/>
      </w:pPr>
    </w:lvl>
  </w:abstractNum>
  <w:abstractNum w:abstractNumId="4" w15:restartNumberingAfterBreak="0">
    <w:nsid w:val="1CE11C64"/>
    <w:multiLevelType w:val="hybridMultilevel"/>
    <w:tmpl w:val="E62EF8D8"/>
    <w:lvl w:ilvl="0" w:tplc="B0B832C4">
      <w:numFmt w:val="bullet"/>
      <w:lvlText w:val=""/>
      <w:lvlJc w:val="left"/>
      <w:pPr>
        <w:ind w:left="1800" w:hanging="360"/>
      </w:pPr>
      <w:rPr>
        <w:rFonts w:ascii="Wingdings" w:eastAsiaTheme="minorHAnsi" w:hAnsi="Wingding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E1122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49D5262"/>
    <w:multiLevelType w:val="multilevel"/>
    <w:tmpl w:val="8C26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E0332F"/>
    <w:multiLevelType w:val="hybridMultilevel"/>
    <w:tmpl w:val="0409001D"/>
    <w:lvl w:ilvl="0" w:tplc="FA10EAA2">
      <w:start w:val="1"/>
      <w:numFmt w:val="decimal"/>
      <w:lvlText w:val="%1)"/>
      <w:lvlJc w:val="left"/>
      <w:pPr>
        <w:ind w:left="360" w:hanging="360"/>
      </w:pPr>
    </w:lvl>
    <w:lvl w:ilvl="1" w:tplc="05A4BAD8">
      <w:start w:val="1"/>
      <w:numFmt w:val="lowerLetter"/>
      <w:lvlText w:val="%2)"/>
      <w:lvlJc w:val="left"/>
      <w:pPr>
        <w:ind w:left="720" w:hanging="360"/>
      </w:pPr>
    </w:lvl>
    <w:lvl w:ilvl="2" w:tplc="84F4E63A">
      <w:start w:val="1"/>
      <w:numFmt w:val="lowerRoman"/>
      <w:lvlText w:val="%3)"/>
      <w:lvlJc w:val="left"/>
      <w:pPr>
        <w:ind w:left="1080" w:hanging="360"/>
      </w:pPr>
    </w:lvl>
    <w:lvl w:ilvl="3" w:tplc="EFEA80A8">
      <w:start w:val="1"/>
      <w:numFmt w:val="decimal"/>
      <w:lvlText w:val="(%4)"/>
      <w:lvlJc w:val="left"/>
      <w:pPr>
        <w:ind w:left="1440" w:hanging="360"/>
      </w:pPr>
    </w:lvl>
    <w:lvl w:ilvl="4" w:tplc="185C0456">
      <w:start w:val="1"/>
      <w:numFmt w:val="lowerLetter"/>
      <w:lvlText w:val="(%5)"/>
      <w:lvlJc w:val="left"/>
      <w:pPr>
        <w:ind w:left="1800" w:hanging="360"/>
      </w:pPr>
    </w:lvl>
    <w:lvl w:ilvl="5" w:tplc="9B0E0CEC">
      <w:start w:val="1"/>
      <w:numFmt w:val="lowerRoman"/>
      <w:lvlText w:val="(%6)"/>
      <w:lvlJc w:val="left"/>
      <w:pPr>
        <w:ind w:left="2160" w:hanging="360"/>
      </w:pPr>
    </w:lvl>
    <w:lvl w:ilvl="6" w:tplc="03042ABA">
      <w:start w:val="1"/>
      <w:numFmt w:val="decimal"/>
      <w:lvlText w:val="%7."/>
      <w:lvlJc w:val="left"/>
      <w:pPr>
        <w:ind w:left="2520" w:hanging="360"/>
      </w:pPr>
    </w:lvl>
    <w:lvl w:ilvl="7" w:tplc="75441A96">
      <w:start w:val="1"/>
      <w:numFmt w:val="lowerLetter"/>
      <w:lvlText w:val="%8."/>
      <w:lvlJc w:val="left"/>
      <w:pPr>
        <w:ind w:left="2880" w:hanging="360"/>
      </w:pPr>
    </w:lvl>
    <w:lvl w:ilvl="8" w:tplc="61823E28">
      <w:start w:val="1"/>
      <w:numFmt w:val="lowerRoman"/>
      <w:lvlText w:val="%9."/>
      <w:lvlJc w:val="left"/>
      <w:pPr>
        <w:ind w:left="3240" w:hanging="360"/>
      </w:pPr>
    </w:lvl>
  </w:abstractNum>
  <w:abstractNum w:abstractNumId="8" w15:restartNumberingAfterBreak="0">
    <w:nsid w:val="2EF22BFA"/>
    <w:multiLevelType w:val="hybridMultilevel"/>
    <w:tmpl w:val="B23E8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E56D85"/>
    <w:multiLevelType w:val="hybridMultilevel"/>
    <w:tmpl w:val="75EAF8D0"/>
    <w:lvl w:ilvl="0" w:tplc="0409000F">
      <w:start w:val="1"/>
      <w:numFmt w:val="decimal"/>
      <w:lvlText w:val="%1."/>
      <w:lvlJc w:val="left"/>
      <w:pPr>
        <w:ind w:left="720" w:hanging="360"/>
      </w:pPr>
    </w:lvl>
    <w:lvl w:ilvl="1" w:tplc="38B28A8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F07EC028">
      <w:start w:val="1"/>
      <w:numFmt w:val="bullet"/>
      <w:lvlText w:val=""/>
      <w:lvlJc w:val="left"/>
      <w:pPr>
        <w:ind w:left="2880" w:hanging="360"/>
      </w:pPr>
      <w:rPr>
        <w:rFonts w:ascii="Wingdings" w:eastAsiaTheme="minorHAnsi" w:hAnsi="Wingdings" w:cstheme="minorBidi" w:hint="default"/>
      </w:rPr>
    </w:lvl>
    <w:lvl w:ilvl="4" w:tplc="E0828024">
      <w:start w:val="4"/>
      <w:numFmt w:val="bullet"/>
      <w:lvlText w:val="-"/>
      <w:lvlJc w:val="left"/>
      <w:pPr>
        <w:ind w:left="3600" w:hanging="360"/>
      </w:pPr>
      <w:rPr>
        <w:rFonts w:ascii="Calibri" w:eastAsiaTheme="minorHAnsi" w:hAnsi="Calibri" w:cs="Calibr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704384"/>
    <w:multiLevelType w:val="hybridMultilevel"/>
    <w:tmpl w:val="0409001D"/>
    <w:lvl w:ilvl="0" w:tplc="9B1ADB1E">
      <w:start w:val="1"/>
      <w:numFmt w:val="decimal"/>
      <w:lvlText w:val="%1)"/>
      <w:lvlJc w:val="left"/>
      <w:pPr>
        <w:ind w:left="360" w:hanging="360"/>
      </w:pPr>
    </w:lvl>
    <w:lvl w:ilvl="1" w:tplc="BC4C5246">
      <w:start w:val="1"/>
      <w:numFmt w:val="lowerLetter"/>
      <w:lvlText w:val="%2)"/>
      <w:lvlJc w:val="left"/>
      <w:pPr>
        <w:ind w:left="720" w:hanging="360"/>
      </w:pPr>
    </w:lvl>
    <w:lvl w:ilvl="2" w:tplc="BA861AE8">
      <w:start w:val="1"/>
      <w:numFmt w:val="lowerRoman"/>
      <w:lvlText w:val="%3)"/>
      <w:lvlJc w:val="left"/>
      <w:pPr>
        <w:ind w:left="1080" w:hanging="360"/>
      </w:pPr>
    </w:lvl>
    <w:lvl w:ilvl="3" w:tplc="B8B2303E">
      <w:start w:val="1"/>
      <w:numFmt w:val="decimal"/>
      <w:lvlText w:val="(%4)"/>
      <w:lvlJc w:val="left"/>
      <w:pPr>
        <w:ind w:left="1440" w:hanging="360"/>
      </w:pPr>
    </w:lvl>
    <w:lvl w:ilvl="4" w:tplc="2FC053FC">
      <w:start w:val="1"/>
      <w:numFmt w:val="lowerLetter"/>
      <w:lvlText w:val="(%5)"/>
      <w:lvlJc w:val="left"/>
      <w:pPr>
        <w:ind w:left="1800" w:hanging="360"/>
      </w:pPr>
    </w:lvl>
    <w:lvl w:ilvl="5" w:tplc="78245E4C">
      <w:start w:val="1"/>
      <w:numFmt w:val="lowerRoman"/>
      <w:lvlText w:val="(%6)"/>
      <w:lvlJc w:val="left"/>
      <w:pPr>
        <w:ind w:left="2160" w:hanging="360"/>
      </w:pPr>
    </w:lvl>
    <w:lvl w:ilvl="6" w:tplc="13D091C0">
      <w:start w:val="1"/>
      <w:numFmt w:val="decimal"/>
      <w:lvlText w:val="%7."/>
      <w:lvlJc w:val="left"/>
      <w:pPr>
        <w:ind w:left="2520" w:hanging="360"/>
      </w:pPr>
    </w:lvl>
    <w:lvl w:ilvl="7" w:tplc="09100838">
      <w:start w:val="1"/>
      <w:numFmt w:val="lowerLetter"/>
      <w:lvlText w:val="%8."/>
      <w:lvlJc w:val="left"/>
      <w:pPr>
        <w:ind w:left="2880" w:hanging="360"/>
      </w:pPr>
    </w:lvl>
    <w:lvl w:ilvl="8" w:tplc="A69AD6B8">
      <w:start w:val="1"/>
      <w:numFmt w:val="lowerRoman"/>
      <w:lvlText w:val="%9."/>
      <w:lvlJc w:val="left"/>
      <w:pPr>
        <w:ind w:left="3240" w:hanging="360"/>
      </w:pPr>
    </w:lvl>
  </w:abstractNum>
  <w:abstractNum w:abstractNumId="11" w15:restartNumberingAfterBreak="0">
    <w:nsid w:val="3A550181"/>
    <w:multiLevelType w:val="multilevel"/>
    <w:tmpl w:val="B40A7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B828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A696B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ACA610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D341619"/>
    <w:multiLevelType w:val="hybridMultilevel"/>
    <w:tmpl w:val="DC5C730E"/>
    <w:lvl w:ilvl="0" w:tplc="ECA41194">
      <w:numFmt w:val="bullet"/>
      <w:lvlText w:val=""/>
      <w:lvlJc w:val="left"/>
      <w:pPr>
        <w:ind w:left="1800" w:hanging="360"/>
      </w:pPr>
      <w:rPr>
        <w:rFonts w:ascii="Wingdings" w:eastAsiaTheme="minorHAnsi" w:hAnsi="Wingding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18A7027"/>
    <w:multiLevelType w:val="multilevel"/>
    <w:tmpl w:val="C0FC3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286C65"/>
    <w:multiLevelType w:val="hybridMultilevel"/>
    <w:tmpl w:val="B0764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B11F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455318C"/>
    <w:multiLevelType w:val="hybridMultilevel"/>
    <w:tmpl w:val="846CA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5"/>
  </w:num>
  <w:num w:numId="4">
    <w:abstractNumId w:val="8"/>
  </w:num>
  <w:num w:numId="5">
    <w:abstractNumId w:val="19"/>
  </w:num>
  <w:num w:numId="6">
    <w:abstractNumId w:val="9"/>
  </w:num>
  <w:num w:numId="7">
    <w:abstractNumId w:val="17"/>
  </w:num>
  <w:num w:numId="8">
    <w:abstractNumId w:val="0"/>
  </w:num>
  <w:num w:numId="9">
    <w:abstractNumId w:val="5"/>
  </w:num>
  <w:num w:numId="10">
    <w:abstractNumId w:val="2"/>
  </w:num>
  <w:num w:numId="11">
    <w:abstractNumId w:val="13"/>
  </w:num>
  <w:num w:numId="12">
    <w:abstractNumId w:val="14"/>
  </w:num>
  <w:num w:numId="13">
    <w:abstractNumId w:val="10"/>
  </w:num>
  <w:num w:numId="14">
    <w:abstractNumId w:val="18"/>
  </w:num>
  <w:num w:numId="15">
    <w:abstractNumId w:val="1"/>
  </w:num>
  <w:num w:numId="16">
    <w:abstractNumId w:val="12"/>
  </w:num>
  <w:num w:numId="17">
    <w:abstractNumId w:val="7"/>
  </w:num>
  <w:num w:numId="18">
    <w:abstractNumId w:val="11"/>
  </w:num>
  <w:num w:numId="19">
    <w:abstractNumId w:val="6"/>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91760"/>
    <w:rsid w:val="000365EA"/>
    <w:rsid w:val="000439CE"/>
    <w:rsid w:val="0005485B"/>
    <w:rsid w:val="00075847"/>
    <w:rsid w:val="000A7CF5"/>
    <w:rsid w:val="000E609B"/>
    <w:rsid w:val="000F7EE8"/>
    <w:rsid w:val="00115F17"/>
    <w:rsid w:val="001219FC"/>
    <w:rsid w:val="001271F8"/>
    <w:rsid w:val="00127933"/>
    <w:rsid w:val="00157175"/>
    <w:rsid w:val="00157D1C"/>
    <w:rsid w:val="0016502E"/>
    <w:rsid w:val="001A6572"/>
    <w:rsid w:val="001F7F64"/>
    <w:rsid w:val="0022315F"/>
    <w:rsid w:val="00234129"/>
    <w:rsid w:val="002411AF"/>
    <w:rsid w:val="00254E09"/>
    <w:rsid w:val="00282437"/>
    <w:rsid w:val="002854CE"/>
    <w:rsid w:val="002C052F"/>
    <w:rsid w:val="002F3B82"/>
    <w:rsid w:val="002F4D2B"/>
    <w:rsid w:val="00317232"/>
    <w:rsid w:val="00342D05"/>
    <w:rsid w:val="003514F0"/>
    <w:rsid w:val="00365519"/>
    <w:rsid w:val="003873B2"/>
    <w:rsid w:val="003B4EE3"/>
    <w:rsid w:val="004741C2"/>
    <w:rsid w:val="004D2268"/>
    <w:rsid w:val="004E2103"/>
    <w:rsid w:val="004E4A1B"/>
    <w:rsid w:val="00522736"/>
    <w:rsid w:val="00534218"/>
    <w:rsid w:val="005B7B93"/>
    <w:rsid w:val="005C6734"/>
    <w:rsid w:val="005D4FA6"/>
    <w:rsid w:val="005D60D7"/>
    <w:rsid w:val="005E4BD1"/>
    <w:rsid w:val="005E5518"/>
    <w:rsid w:val="005E71BA"/>
    <w:rsid w:val="0060071D"/>
    <w:rsid w:val="00613408"/>
    <w:rsid w:val="0062026F"/>
    <w:rsid w:val="00626667"/>
    <w:rsid w:val="006A52D4"/>
    <w:rsid w:val="006C39D9"/>
    <w:rsid w:val="0071240E"/>
    <w:rsid w:val="0071747D"/>
    <w:rsid w:val="007741D1"/>
    <w:rsid w:val="00780983"/>
    <w:rsid w:val="007900C9"/>
    <w:rsid w:val="007B4CE8"/>
    <w:rsid w:val="007E0750"/>
    <w:rsid w:val="007E3B09"/>
    <w:rsid w:val="00834313"/>
    <w:rsid w:val="00863F6F"/>
    <w:rsid w:val="0088368E"/>
    <w:rsid w:val="00891760"/>
    <w:rsid w:val="008C5A29"/>
    <w:rsid w:val="00907395"/>
    <w:rsid w:val="00933A44"/>
    <w:rsid w:val="009A242E"/>
    <w:rsid w:val="009B462A"/>
    <w:rsid w:val="009D7FF3"/>
    <w:rsid w:val="009E5F33"/>
    <w:rsid w:val="00A40D20"/>
    <w:rsid w:val="00A80227"/>
    <w:rsid w:val="00B01E44"/>
    <w:rsid w:val="00B86994"/>
    <w:rsid w:val="00B957DF"/>
    <w:rsid w:val="00BB5E21"/>
    <w:rsid w:val="00BB6C66"/>
    <w:rsid w:val="00BD3979"/>
    <w:rsid w:val="00BF4FCB"/>
    <w:rsid w:val="00C00744"/>
    <w:rsid w:val="00C35C5C"/>
    <w:rsid w:val="00C552CF"/>
    <w:rsid w:val="00C60DFC"/>
    <w:rsid w:val="00C75389"/>
    <w:rsid w:val="00C75783"/>
    <w:rsid w:val="00C7582C"/>
    <w:rsid w:val="00CB3492"/>
    <w:rsid w:val="00CB5F0F"/>
    <w:rsid w:val="00D02BAA"/>
    <w:rsid w:val="00D34440"/>
    <w:rsid w:val="00D55D57"/>
    <w:rsid w:val="00D675FA"/>
    <w:rsid w:val="00D81128"/>
    <w:rsid w:val="00DD10B1"/>
    <w:rsid w:val="00DD4945"/>
    <w:rsid w:val="00DD7ABE"/>
    <w:rsid w:val="00DE70AA"/>
    <w:rsid w:val="00E37A79"/>
    <w:rsid w:val="00EA1AE0"/>
    <w:rsid w:val="00EA5108"/>
    <w:rsid w:val="00F03772"/>
    <w:rsid w:val="00F17F68"/>
    <w:rsid w:val="00F2634B"/>
    <w:rsid w:val="00F40EAF"/>
    <w:rsid w:val="00F67D42"/>
    <w:rsid w:val="00F707AE"/>
    <w:rsid w:val="00FA1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50909"/>
  <w15:chartTrackingRefBased/>
  <w15:docId w15:val="{D89C0C24-FAF9-4D45-92C6-8205D390A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760"/>
  </w:style>
  <w:style w:type="paragraph" w:styleId="Heading1">
    <w:name w:val="heading 1"/>
    <w:basedOn w:val="Normal"/>
    <w:next w:val="Normal"/>
    <w:link w:val="Heading1Char"/>
    <w:uiPriority w:val="9"/>
    <w:qFormat/>
    <w:rsid w:val="00891760"/>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91760"/>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91760"/>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891760"/>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91760"/>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91760"/>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91760"/>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9176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9176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76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9176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89176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9176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9176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9176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9176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9176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91760"/>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891760"/>
    <w:pPr>
      <w:ind w:left="720"/>
      <w:contextualSpacing/>
    </w:pPr>
  </w:style>
  <w:style w:type="paragraph" w:styleId="BalloonText">
    <w:name w:val="Balloon Text"/>
    <w:basedOn w:val="Normal"/>
    <w:link w:val="BalloonTextChar"/>
    <w:uiPriority w:val="99"/>
    <w:semiHidden/>
    <w:unhideWhenUsed/>
    <w:rsid w:val="0089176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1760"/>
    <w:rPr>
      <w:rFonts w:ascii="Times New Roman" w:hAnsi="Times New Roman" w:cs="Times New Roman"/>
      <w:sz w:val="18"/>
      <w:szCs w:val="18"/>
    </w:rPr>
  </w:style>
  <w:style w:type="paragraph" w:styleId="Header">
    <w:name w:val="header"/>
    <w:basedOn w:val="Normal"/>
    <w:link w:val="HeaderChar"/>
    <w:uiPriority w:val="99"/>
    <w:unhideWhenUsed/>
    <w:rsid w:val="00891760"/>
    <w:pPr>
      <w:tabs>
        <w:tab w:val="center" w:pos="4680"/>
        <w:tab w:val="right" w:pos="9360"/>
      </w:tabs>
    </w:pPr>
  </w:style>
  <w:style w:type="character" w:customStyle="1" w:styleId="HeaderChar">
    <w:name w:val="Header Char"/>
    <w:basedOn w:val="DefaultParagraphFont"/>
    <w:link w:val="Header"/>
    <w:uiPriority w:val="99"/>
    <w:rsid w:val="00891760"/>
  </w:style>
  <w:style w:type="paragraph" w:styleId="Footer">
    <w:name w:val="footer"/>
    <w:basedOn w:val="Normal"/>
    <w:link w:val="FooterChar"/>
    <w:uiPriority w:val="99"/>
    <w:unhideWhenUsed/>
    <w:rsid w:val="00891760"/>
    <w:pPr>
      <w:tabs>
        <w:tab w:val="center" w:pos="4680"/>
        <w:tab w:val="right" w:pos="9360"/>
      </w:tabs>
    </w:pPr>
  </w:style>
  <w:style w:type="character" w:customStyle="1" w:styleId="FooterChar">
    <w:name w:val="Footer Char"/>
    <w:basedOn w:val="DefaultParagraphFont"/>
    <w:link w:val="Footer"/>
    <w:uiPriority w:val="99"/>
    <w:rsid w:val="00891760"/>
  </w:style>
  <w:style w:type="character" w:styleId="Hyperlink">
    <w:name w:val="Hyperlink"/>
    <w:basedOn w:val="DefaultParagraphFont"/>
    <w:uiPriority w:val="99"/>
    <w:unhideWhenUsed/>
    <w:rsid w:val="00891760"/>
    <w:rPr>
      <w:color w:val="0563C1" w:themeColor="hyperlink"/>
      <w:u w:val="single"/>
    </w:rPr>
  </w:style>
  <w:style w:type="character" w:customStyle="1" w:styleId="apple-converted-space">
    <w:name w:val="apple-converted-space"/>
    <w:basedOn w:val="DefaultParagraphFont"/>
    <w:rsid w:val="00891760"/>
  </w:style>
  <w:style w:type="paragraph" w:styleId="NormalWeb">
    <w:name w:val="Normal (Web)"/>
    <w:basedOn w:val="Normal"/>
    <w:uiPriority w:val="99"/>
    <w:semiHidden/>
    <w:unhideWhenUsed/>
    <w:rsid w:val="00891760"/>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891760"/>
  </w:style>
  <w:style w:type="paragraph" w:customStyle="1" w:styleId="EndNoteBibliographyTitle">
    <w:name w:val="EndNote Bibliography Title"/>
    <w:basedOn w:val="Normal"/>
    <w:link w:val="EndNoteBibliographyTitleChar"/>
    <w:rsid w:val="00891760"/>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891760"/>
    <w:rPr>
      <w:rFonts w:ascii="Calibri" w:hAnsi="Calibri" w:cs="Calibri"/>
    </w:rPr>
  </w:style>
  <w:style w:type="paragraph" w:customStyle="1" w:styleId="EndNoteBibliography">
    <w:name w:val="EndNote Bibliography"/>
    <w:basedOn w:val="Normal"/>
    <w:link w:val="EndNoteBibliographyChar"/>
    <w:rsid w:val="00891760"/>
    <w:pPr>
      <w:jc w:val="both"/>
    </w:pPr>
    <w:rPr>
      <w:rFonts w:ascii="Calibri" w:hAnsi="Calibri" w:cs="Calibri"/>
    </w:rPr>
  </w:style>
  <w:style w:type="character" w:customStyle="1" w:styleId="EndNoteBibliographyChar">
    <w:name w:val="EndNote Bibliography Char"/>
    <w:basedOn w:val="DefaultParagraphFont"/>
    <w:link w:val="EndNoteBibliography"/>
    <w:rsid w:val="00891760"/>
    <w:rPr>
      <w:rFonts w:ascii="Calibri" w:hAnsi="Calibri" w:cs="Calibri"/>
    </w:rPr>
  </w:style>
  <w:style w:type="character" w:styleId="CommentReference">
    <w:name w:val="annotation reference"/>
    <w:basedOn w:val="DefaultParagraphFont"/>
    <w:uiPriority w:val="99"/>
    <w:semiHidden/>
    <w:unhideWhenUsed/>
    <w:rsid w:val="00891760"/>
    <w:rPr>
      <w:sz w:val="16"/>
      <w:szCs w:val="16"/>
    </w:rPr>
  </w:style>
  <w:style w:type="paragraph" w:styleId="CommentText">
    <w:name w:val="annotation text"/>
    <w:basedOn w:val="Normal"/>
    <w:link w:val="CommentTextChar"/>
    <w:uiPriority w:val="99"/>
    <w:semiHidden/>
    <w:unhideWhenUsed/>
    <w:rsid w:val="00891760"/>
    <w:rPr>
      <w:sz w:val="20"/>
      <w:szCs w:val="20"/>
    </w:rPr>
  </w:style>
  <w:style w:type="character" w:customStyle="1" w:styleId="CommentTextChar">
    <w:name w:val="Comment Text Char"/>
    <w:basedOn w:val="DefaultParagraphFont"/>
    <w:link w:val="CommentText"/>
    <w:uiPriority w:val="99"/>
    <w:semiHidden/>
    <w:rsid w:val="00891760"/>
    <w:rPr>
      <w:sz w:val="20"/>
      <w:szCs w:val="20"/>
    </w:rPr>
  </w:style>
  <w:style w:type="paragraph" w:styleId="CommentSubject">
    <w:name w:val="annotation subject"/>
    <w:basedOn w:val="CommentText"/>
    <w:next w:val="CommentText"/>
    <w:link w:val="CommentSubjectChar"/>
    <w:uiPriority w:val="99"/>
    <w:semiHidden/>
    <w:unhideWhenUsed/>
    <w:rsid w:val="00891760"/>
    <w:rPr>
      <w:b/>
      <w:bCs/>
    </w:rPr>
  </w:style>
  <w:style w:type="character" w:customStyle="1" w:styleId="CommentSubjectChar">
    <w:name w:val="Comment Subject Char"/>
    <w:basedOn w:val="CommentTextChar"/>
    <w:link w:val="CommentSubject"/>
    <w:uiPriority w:val="99"/>
    <w:semiHidden/>
    <w:rsid w:val="00891760"/>
    <w:rPr>
      <w:b/>
      <w:bCs/>
      <w:sz w:val="20"/>
      <w:szCs w:val="20"/>
    </w:rPr>
  </w:style>
  <w:style w:type="character" w:customStyle="1" w:styleId="Mention1">
    <w:name w:val="Mention1"/>
    <w:basedOn w:val="DefaultParagraphFont"/>
    <w:uiPriority w:val="99"/>
    <w:unhideWhenUsed/>
    <w:rsid w:val="00891760"/>
    <w:rPr>
      <w:color w:val="2B579A"/>
      <w:shd w:val="clear" w:color="auto" w:fill="E6E6E6"/>
    </w:rPr>
  </w:style>
  <w:style w:type="table" w:styleId="PlainTable2">
    <w:name w:val="Plain Table 2"/>
    <w:basedOn w:val="TableNormal"/>
    <w:uiPriority w:val="42"/>
    <w:rsid w:val="0089176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kciteavail">
    <w:name w:val="bk_cite_avail"/>
    <w:basedOn w:val="DefaultParagraphFont"/>
    <w:rsid w:val="00891760"/>
  </w:style>
  <w:style w:type="character" w:customStyle="1" w:styleId="id-label">
    <w:name w:val="id-label"/>
    <w:basedOn w:val="DefaultParagraphFont"/>
    <w:rsid w:val="00891760"/>
  </w:style>
  <w:style w:type="character" w:styleId="Strong">
    <w:name w:val="Strong"/>
    <w:basedOn w:val="DefaultParagraphFont"/>
    <w:uiPriority w:val="22"/>
    <w:qFormat/>
    <w:rsid w:val="008917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1297</Words>
  <Characters>7394</Characters>
  <Application>Microsoft Office Word</Application>
  <DocSecurity>0</DocSecurity>
  <Lines>61</Lines>
  <Paragraphs>17</Paragraphs>
  <ScaleCrop>false</ScaleCrop>
  <Company/>
  <LinksUpToDate>false</LinksUpToDate>
  <CharactersWithSpaces>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Maher</dc:creator>
  <cp:keywords/>
  <dc:description/>
  <cp:lastModifiedBy>Steven Maher</cp:lastModifiedBy>
  <cp:revision>6</cp:revision>
  <dcterms:created xsi:type="dcterms:W3CDTF">2021-01-29T15:47:00Z</dcterms:created>
  <dcterms:modified xsi:type="dcterms:W3CDTF">2021-01-29T16:40:00Z</dcterms:modified>
</cp:coreProperties>
</file>