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6202" w14:textId="77777777" w:rsidR="000B43DB" w:rsidRPr="001C7A4B" w:rsidRDefault="000B43DB" w:rsidP="000B43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A4B">
        <w:rPr>
          <w:rFonts w:ascii="Times New Roman" w:hAnsi="Times New Roman" w:cs="Times New Roman"/>
          <w:sz w:val="24"/>
          <w:szCs w:val="24"/>
          <w:lang w:val="en"/>
        </w:rPr>
        <w:t>Appendix</w:t>
      </w:r>
    </w:p>
    <w:p w14:paraId="2236A0F3" w14:textId="77777777" w:rsidR="000B43DB" w:rsidRPr="001C7A4B" w:rsidRDefault="000B43DB" w:rsidP="000B43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A4B">
        <w:rPr>
          <w:rFonts w:ascii="Times New Roman" w:hAnsi="Times New Roman" w:cs="Times New Roman"/>
          <w:sz w:val="24"/>
          <w:szCs w:val="24"/>
          <w:lang w:val="en"/>
        </w:rPr>
        <w:t>Predicting local community rates of anti-C19 vaccinations in Romania by historical regions</w:t>
      </w:r>
    </w:p>
    <w:p w14:paraId="24C942ED" w14:textId="77777777" w:rsidR="000B43DB" w:rsidRPr="001C7A4B" w:rsidRDefault="000B43DB" w:rsidP="000B43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A4B">
        <w:rPr>
          <w:rFonts w:ascii="Times New Roman" w:hAnsi="Times New Roman" w:cs="Times New Roman"/>
          <w:sz w:val="24"/>
          <w:szCs w:val="24"/>
        </w:rPr>
        <w:object w:dxaOrig="15318" w:dyaOrig="6939" w14:anchorId="63CBD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3pt;height:315pt" o:ole="" o:bordertopcolor="this" o:borderleftcolor="this" o:borderbottomcolor="this" o:borderrightcolor="this">
            <v:imagedata r:id="rId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724244456" r:id="rId5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B43DB" w:rsidRPr="001C7A4B" w14:paraId="5B6710DD" w14:textId="77777777" w:rsidTr="004B5CF4">
        <w:trPr>
          <w:trHeight w:val="1067"/>
        </w:trPr>
        <w:tc>
          <w:tcPr>
            <w:tcW w:w="13948" w:type="dxa"/>
          </w:tcPr>
          <w:p w14:paraId="58193DDC" w14:textId="77777777" w:rsidR="000B43DB" w:rsidRPr="001C7A4B" w:rsidRDefault="000B43DB" w:rsidP="004B5C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A4B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 xml:space="preserve">Data sources: National Institute for Public Health for COVID-19 and National Institute of Statistics for the other data. Own computations. Ordinary least square regressions in STATA, robust standard errors. Dependent variable – local community rates of anti-COVID-19 vaccinations cumulated up to February 05. 2022. No </w:t>
            </w:r>
            <w:proofErr w:type="spellStart"/>
            <w:r w:rsidRPr="001C7A4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colinearity</w:t>
            </w:r>
            <w:proofErr w:type="spellEnd"/>
            <w:r w:rsidRPr="001C7A4B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: VIF for predictors is not larger than 4. Shadow for regression coefficients that are significant for p=0.05 or less. The number of cases for </w:t>
            </w:r>
            <w:proofErr w:type="spellStart"/>
            <w:r w:rsidRPr="001C7A4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Bucuresti</w:t>
            </w:r>
            <w:proofErr w:type="spellEnd"/>
            <w:r w:rsidRPr="001C7A4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-Ilfov is lower than necessary, considering the number of predictors. This is the reason for not doing computations for this region.</w:t>
            </w:r>
          </w:p>
        </w:tc>
      </w:tr>
    </w:tbl>
    <w:p w14:paraId="1BFED65D" w14:textId="77777777" w:rsidR="000B43DB" w:rsidRPr="001C7A4B" w:rsidRDefault="000B43DB" w:rsidP="000B43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B43DB" w:rsidRPr="001C7A4B" w:rsidSect="00221CC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BCDD85E" w14:textId="77777777" w:rsidR="000406A5" w:rsidRDefault="000406A5"/>
    <w:sectPr w:rsidR="00040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DB"/>
    <w:rsid w:val="000406A5"/>
    <w:rsid w:val="000B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6D6FE"/>
  <w15:chartTrackingRefBased/>
  <w15:docId w15:val="{19689A94-5865-4C78-BC86-BD30171C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3DB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3D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2022-09-09T20:01:00Z</dcterms:created>
  <dcterms:modified xsi:type="dcterms:W3CDTF">2022-09-09T20:01:00Z</dcterms:modified>
</cp:coreProperties>
</file>