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07B" w:rsidRPr="006A361A" w:rsidRDefault="00CC607B" w:rsidP="00CC607B">
      <w:pPr>
        <w:pStyle w:val="Caption"/>
        <w:rPr>
          <w:rFonts w:ascii="Calibri" w:hAnsi="Calibri" w:cs="Calibri"/>
          <w:b w:val="0"/>
          <w:bCs/>
          <w:iCs w:val="0"/>
          <w:color w:val="auto"/>
          <w:lang w:eastAsia="es-ES"/>
        </w:rPr>
      </w:pPr>
      <w:r w:rsidRPr="003B2278">
        <w:rPr>
          <w:color w:val="4472C4" w:themeColor="accent5"/>
        </w:rPr>
        <w:t xml:space="preserve">Supplementary table </w:t>
      </w:r>
      <w:r w:rsidRPr="003B2278">
        <w:rPr>
          <w:color w:val="4472C4" w:themeColor="accent5"/>
        </w:rPr>
        <w:fldChar w:fldCharType="begin"/>
      </w:r>
      <w:r w:rsidRPr="003B2278">
        <w:rPr>
          <w:color w:val="4472C4" w:themeColor="accent5"/>
        </w:rPr>
        <w:instrText xml:space="preserve"> SEQ Supplementary_table \* ARABIC </w:instrText>
      </w:r>
      <w:r w:rsidRPr="003B2278">
        <w:rPr>
          <w:color w:val="4472C4" w:themeColor="accent5"/>
        </w:rPr>
        <w:fldChar w:fldCharType="separate"/>
      </w:r>
      <w:r w:rsidRPr="003B2278">
        <w:rPr>
          <w:noProof/>
          <w:color w:val="4472C4" w:themeColor="accent5"/>
        </w:rPr>
        <w:t>1</w:t>
      </w:r>
      <w:r w:rsidRPr="003B2278">
        <w:rPr>
          <w:color w:val="4472C4" w:themeColor="accent5"/>
        </w:rPr>
        <w:fldChar w:fldCharType="end"/>
      </w:r>
      <w:r w:rsidRPr="006A361A">
        <w:t>. Heart metabolite</w:t>
      </w:r>
      <w:r>
        <w:t>s</w:t>
      </w:r>
      <w:r w:rsidRPr="006A361A">
        <w:t xml:space="preserve"> </w:t>
      </w:r>
      <w:r>
        <w:t>content</w:t>
      </w:r>
      <w:r w:rsidRPr="006A361A">
        <w:t xml:space="preserve"> in mammals.</w:t>
      </w:r>
      <w:r w:rsidRPr="006A361A">
        <w:rPr>
          <w:b w:val="0"/>
          <w:bCs/>
        </w:rPr>
        <w:t xml:space="preserve"> Concentration values are reported in </w:t>
      </w:r>
      <w:r w:rsidRPr="006A361A">
        <w:rPr>
          <w:rFonts w:cstheme="minorHAnsi"/>
          <w:b w:val="0"/>
          <w:iCs w:val="0"/>
          <w:color w:val="auto"/>
        </w:rPr>
        <w:t>m</w:t>
      </w:r>
      <w:r w:rsidRPr="006A361A">
        <w:rPr>
          <w:b w:val="0"/>
          <w:iCs w:val="0"/>
          <w:color w:val="auto"/>
        </w:rPr>
        <w:t>M</w:t>
      </w:r>
      <w:r w:rsidRPr="006A361A">
        <w:rPr>
          <w:b w:val="0"/>
          <w:bCs/>
        </w:rPr>
        <w:t xml:space="preserve"> per g of heart tissue as mean ± SEM from 5 specimens.</w:t>
      </w:r>
      <w:r w:rsidRPr="006A361A">
        <w:rPr>
          <w:rFonts w:ascii="Calibri" w:hAnsi="Calibri" w:cs="Calibri"/>
          <w:b w:val="0"/>
          <w:bCs/>
          <w:iCs w:val="0"/>
          <w:color w:val="auto"/>
          <w:vertAlign w:val="superscript"/>
          <w:lang w:eastAsia="es-ES"/>
        </w:rPr>
        <w:t xml:space="preserve"> a</w:t>
      </w:r>
      <w:r w:rsidRPr="006A361A">
        <w:rPr>
          <w:rFonts w:ascii="Calibri" w:hAnsi="Calibri" w:cs="Calibri"/>
          <w:b w:val="0"/>
          <w:bCs/>
          <w:iCs w:val="0"/>
          <w:color w:val="auto"/>
          <w:lang w:eastAsia="es-ES"/>
        </w:rPr>
        <w:t>Concentration values are reported in MS Counts per</w:t>
      </w:r>
      <w:bookmarkStart w:id="0" w:name="_GoBack"/>
      <w:bookmarkEnd w:id="0"/>
      <w:r w:rsidRPr="006A361A">
        <w:rPr>
          <w:rFonts w:ascii="Calibri" w:hAnsi="Calibri" w:cs="Calibri"/>
          <w:b w:val="0"/>
          <w:bCs/>
          <w:iCs w:val="0"/>
          <w:color w:val="auto"/>
          <w:lang w:eastAsia="es-ES"/>
        </w:rPr>
        <w:t xml:space="preserve"> g of heart tissue.</w:t>
      </w:r>
      <w:r>
        <w:rPr>
          <w:rFonts w:ascii="Calibri" w:hAnsi="Calibri" w:cs="Calibri"/>
          <w:b w:val="0"/>
          <w:bCs/>
          <w:iCs w:val="0"/>
          <w:color w:val="auto"/>
          <w:lang w:eastAsia="es-ES"/>
        </w:rPr>
        <w:t xml:space="preserve"> Glutathione (GSH); </w:t>
      </w:r>
      <w:r w:rsidRPr="00175770">
        <w:rPr>
          <w:b w:val="0"/>
        </w:rPr>
        <w:t>pyridoxal 5’ phosphate</w:t>
      </w:r>
      <w:r>
        <w:rPr>
          <w:rFonts w:ascii="Calibri" w:hAnsi="Calibri" w:cs="Calibri"/>
          <w:b w:val="0"/>
          <w:bCs/>
          <w:iCs w:val="0"/>
          <w:color w:val="auto"/>
          <w:lang w:eastAsia="es-ES"/>
        </w:rPr>
        <w:t xml:space="preserve"> (PLP);</w:t>
      </w:r>
      <w:r w:rsidRPr="00175770">
        <w:rPr>
          <w:rFonts w:ascii="Calibri" w:hAnsi="Calibri" w:cs="Calibri"/>
          <w:b w:val="0"/>
          <w:bCs/>
          <w:iCs w:val="0"/>
          <w:color w:val="auto"/>
          <w:lang w:eastAsia="es-ES"/>
        </w:rPr>
        <w:t xml:space="preserve"> S-adenosylmethionine (SAM)</w:t>
      </w:r>
      <w:r>
        <w:rPr>
          <w:rFonts w:ascii="Calibri" w:hAnsi="Calibri" w:cs="Calibri"/>
          <w:b w:val="0"/>
          <w:bCs/>
          <w:iCs w:val="0"/>
          <w:color w:val="auto"/>
          <w:lang w:eastAsia="es-ES"/>
        </w:rPr>
        <w:t>;</w:t>
      </w:r>
      <w:r w:rsidRPr="00175770">
        <w:rPr>
          <w:rFonts w:ascii="Calibri" w:hAnsi="Calibri" w:cs="Calibri"/>
          <w:b w:val="0"/>
          <w:bCs/>
          <w:iCs w:val="0"/>
          <w:color w:val="auto"/>
          <w:lang w:eastAsia="es-ES"/>
        </w:rPr>
        <w:t xml:space="preserve"> S-adenosylhomocysteine (SAH)</w:t>
      </w:r>
      <w:r>
        <w:rPr>
          <w:rFonts w:ascii="Calibri" w:hAnsi="Calibri" w:cs="Calibri"/>
          <w:b w:val="0"/>
          <w:bCs/>
          <w:iCs w:val="0"/>
          <w:color w:val="auto"/>
          <w:lang w:eastAsia="es-ES"/>
        </w:rPr>
        <w:t>.</w:t>
      </w:r>
      <w:r w:rsidRPr="00175770">
        <w:rPr>
          <w:rFonts w:ascii="Calibri" w:hAnsi="Calibri" w:cs="Calibri"/>
          <w:b w:val="0"/>
          <w:bCs/>
          <w:iCs w:val="0"/>
          <w:color w:val="auto"/>
          <w:lang w:eastAsia="es-ES"/>
        </w:rPr>
        <w:t xml:space="preserve"> </w:t>
      </w:r>
      <w:r>
        <w:rPr>
          <w:rFonts w:ascii="Calibri" w:hAnsi="Calibri" w:cs="Calibri"/>
          <w:b w:val="0"/>
          <w:bCs/>
          <w:iCs w:val="0"/>
          <w:color w:val="auto"/>
          <w:lang w:eastAsia="es-ES"/>
        </w:rPr>
        <w:t xml:space="preserve"> </w:t>
      </w:r>
    </w:p>
    <w:tbl>
      <w:tblPr>
        <w:tblW w:w="4605"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left w:w="70" w:type="dxa"/>
          <w:right w:w="70" w:type="dxa"/>
        </w:tblCellMar>
        <w:tblLook w:val="04A0" w:firstRow="1" w:lastRow="0" w:firstColumn="1" w:lastColumn="0" w:noHBand="0" w:noVBand="1"/>
      </w:tblPr>
      <w:tblGrid>
        <w:gridCol w:w="2228"/>
        <w:gridCol w:w="1428"/>
        <w:gridCol w:w="1429"/>
        <w:gridCol w:w="1591"/>
        <w:gridCol w:w="1591"/>
        <w:gridCol w:w="1591"/>
        <w:gridCol w:w="1591"/>
        <w:gridCol w:w="1421"/>
      </w:tblGrid>
      <w:tr w:rsidR="00CC607B" w:rsidRPr="006A361A" w:rsidTr="00246B26">
        <w:trPr>
          <w:trHeight w:val="20"/>
        </w:trPr>
        <w:tc>
          <w:tcPr>
            <w:tcW w:w="866" w:type="pct"/>
            <w:tcBorders>
              <w:bottom w:val="single" w:sz="12" w:space="0" w:color="auto"/>
            </w:tcBorders>
            <w:shd w:val="clear" w:color="auto" w:fill="auto"/>
            <w:noWrap/>
            <w:hideMark/>
          </w:tcPr>
          <w:p w:rsidR="00CC607B" w:rsidRPr="006A361A" w:rsidRDefault="00CC607B" w:rsidP="00246B26">
            <w:pPr>
              <w:spacing w:line="240" w:lineRule="auto"/>
              <w:contextualSpacing/>
              <w:jc w:val="left"/>
              <w:rPr>
                <w:rFonts w:cstheme="minorHAnsi"/>
                <w:b/>
                <w:bCs/>
                <w:color w:val="000000" w:themeColor="text1"/>
                <w:sz w:val="16"/>
                <w:szCs w:val="16"/>
                <w:lang w:val="en-US" w:eastAsia="es-ES"/>
              </w:rPr>
            </w:pPr>
          </w:p>
        </w:tc>
        <w:tc>
          <w:tcPr>
            <w:tcW w:w="555" w:type="pct"/>
            <w:tcBorders>
              <w:bottom w:val="single" w:sz="12" w:space="0" w:color="auto"/>
            </w:tcBorders>
            <w:shd w:val="clear" w:color="auto" w:fill="auto"/>
            <w:noWrap/>
            <w:hideMark/>
          </w:tcPr>
          <w:p w:rsidR="00CC607B" w:rsidRPr="006A361A" w:rsidRDefault="00CC607B" w:rsidP="00246B26">
            <w:pPr>
              <w:spacing w:line="240" w:lineRule="auto"/>
              <w:contextualSpacing/>
              <w:jc w:val="left"/>
              <w:rPr>
                <w:rFonts w:cstheme="minorHAnsi"/>
                <w:b/>
                <w:bCs/>
                <w:color w:val="000000" w:themeColor="text1"/>
                <w:sz w:val="16"/>
                <w:szCs w:val="16"/>
                <w:lang w:val="en-US" w:eastAsia="es-ES"/>
              </w:rPr>
            </w:pPr>
            <w:r w:rsidRPr="006A361A">
              <w:rPr>
                <w:rFonts w:cstheme="minorHAnsi"/>
                <w:b/>
                <w:bCs/>
                <w:color w:val="000000" w:themeColor="text1"/>
                <w:sz w:val="16"/>
                <w:szCs w:val="16"/>
                <w:lang w:val="en-US" w:eastAsia="es-ES"/>
              </w:rPr>
              <w:t>Rat</w:t>
            </w:r>
          </w:p>
        </w:tc>
        <w:tc>
          <w:tcPr>
            <w:tcW w:w="555" w:type="pct"/>
            <w:tcBorders>
              <w:bottom w:val="single" w:sz="12" w:space="0" w:color="auto"/>
            </w:tcBorders>
            <w:shd w:val="clear" w:color="auto" w:fill="auto"/>
            <w:noWrap/>
            <w:hideMark/>
          </w:tcPr>
          <w:p w:rsidR="00CC607B" w:rsidRPr="006A361A" w:rsidRDefault="00CC607B" w:rsidP="00246B26">
            <w:pPr>
              <w:spacing w:line="240" w:lineRule="auto"/>
              <w:contextualSpacing/>
              <w:jc w:val="left"/>
              <w:rPr>
                <w:rFonts w:cstheme="minorHAnsi"/>
                <w:b/>
                <w:bCs/>
                <w:color w:val="000000" w:themeColor="text1"/>
                <w:sz w:val="16"/>
                <w:szCs w:val="16"/>
                <w:lang w:val="en-US" w:eastAsia="es-ES"/>
              </w:rPr>
            </w:pPr>
            <w:r w:rsidRPr="006A361A">
              <w:rPr>
                <w:rFonts w:cstheme="minorHAnsi"/>
                <w:b/>
                <w:bCs/>
                <w:color w:val="000000" w:themeColor="text1"/>
                <w:sz w:val="16"/>
                <w:szCs w:val="16"/>
                <w:lang w:val="en-US" w:eastAsia="es-ES"/>
              </w:rPr>
              <w:t>Mouse</w:t>
            </w:r>
          </w:p>
        </w:tc>
        <w:tc>
          <w:tcPr>
            <w:tcW w:w="618" w:type="pct"/>
            <w:tcBorders>
              <w:bottom w:val="single" w:sz="12" w:space="0" w:color="auto"/>
            </w:tcBorders>
          </w:tcPr>
          <w:p w:rsidR="00CC607B" w:rsidRPr="006A361A" w:rsidRDefault="00CC607B" w:rsidP="00246B26">
            <w:pPr>
              <w:spacing w:line="240" w:lineRule="auto"/>
              <w:contextualSpacing/>
              <w:jc w:val="left"/>
              <w:rPr>
                <w:rFonts w:cstheme="minorHAnsi"/>
                <w:b/>
                <w:bCs/>
                <w:color w:val="000000" w:themeColor="text1"/>
                <w:sz w:val="16"/>
                <w:szCs w:val="16"/>
                <w:lang w:val="en-US" w:eastAsia="es-ES"/>
              </w:rPr>
            </w:pPr>
            <w:r w:rsidRPr="006A361A">
              <w:rPr>
                <w:rFonts w:cstheme="minorHAnsi"/>
                <w:b/>
                <w:bCs/>
                <w:color w:val="000000" w:themeColor="text1"/>
                <w:sz w:val="16"/>
                <w:szCs w:val="16"/>
                <w:lang w:val="en-US" w:eastAsia="es-ES"/>
              </w:rPr>
              <w:t>Rabbit</w:t>
            </w:r>
          </w:p>
        </w:tc>
        <w:tc>
          <w:tcPr>
            <w:tcW w:w="618" w:type="pct"/>
            <w:tcBorders>
              <w:bottom w:val="single" w:sz="12" w:space="0" w:color="auto"/>
            </w:tcBorders>
            <w:shd w:val="clear" w:color="auto" w:fill="auto"/>
            <w:noWrap/>
          </w:tcPr>
          <w:p w:rsidR="00CC607B" w:rsidRPr="006A361A" w:rsidRDefault="00CC607B" w:rsidP="00246B26">
            <w:pPr>
              <w:spacing w:line="240" w:lineRule="auto"/>
              <w:contextualSpacing/>
              <w:jc w:val="left"/>
              <w:rPr>
                <w:rFonts w:cstheme="minorHAnsi"/>
                <w:b/>
                <w:bCs/>
                <w:color w:val="000000" w:themeColor="text1"/>
                <w:sz w:val="16"/>
                <w:szCs w:val="16"/>
                <w:lang w:val="en-US" w:eastAsia="es-ES"/>
              </w:rPr>
            </w:pPr>
            <w:r w:rsidRPr="006A361A">
              <w:rPr>
                <w:rFonts w:cstheme="minorHAnsi"/>
                <w:b/>
                <w:bCs/>
                <w:color w:val="000000" w:themeColor="text1"/>
                <w:sz w:val="16"/>
                <w:szCs w:val="16"/>
                <w:lang w:val="en-US" w:eastAsia="es-ES"/>
              </w:rPr>
              <w:t>Guinea pig</w:t>
            </w:r>
          </w:p>
        </w:tc>
        <w:tc>
          <w:tcPr>
            <w:tcW w:w="618" w:type="pct"/>
            <w:tcBorders>
              <w:bottom w:val="single" w:sz="12" w:space="0" w:color="auto"/>
            </w:tcBorders>
            <w:shd w:val="clear" w:color="auto" w:fill="auto"/>
            <w:noWrap/>
          </w:tcPr>
          <w:p w:rsidR="00CC607B" w:rsidRPr="006A361A" w:rsidRDefault="00CC607B" w:rsidP="00246B26">
            <w:pPr>
              <w:spacing w:line="240" w:lineRule="auto"/>
              <w:contextualSpacing/>
              <w:jc w:val="left"/>
              <w:rPr>
                <w:rFonts w:cstheme="minorHAnsi"/>
                <w:b/>
                <w:bCs/>
                <w:color w:val="000000" w:themeColor="text1"/>
                <w:sz w:val="16"/>
                <w:szCs w:val="16"/>
                <w:lang w:val="en-US" w:eastAsia="es-ES"/>
              </w:rPr>
            </w:pPr>
            <w:r w:rsidRPr="006A361A">
              <w:rPr>
                <w:rFonts w:cstheme="minorHAnsi"/>
                <w:b/>
                <w:bCs/>
                <w:color w:val="000000" w:themeColor="text1"/>
                <w:sz w:val="16"/>
                <w:szCs w:val="16"/>
                <w:lang w:val="en-US" w:eastAsia="es-ES"/>
              </w:rPr>
              <w:t>Cow</w:t>
            </w:r>
          </w:p>
        </w:tc>
        <w:tc>
          <w:tcPr>
            <w:tcW w:w="618" w:type="pct"/>
            <w:tcBorders>
              <w:bottom w:val="single" w:sz="12" w:space="0" w:color="auto"/>
            </w:tcBorders>
            <w:shd w:val="clear" w:color="auto" w:fill="auto"/>
            <w:noWrap/>
          </w:tcPr>
          <w:p w:rsidR="00CC607B" w:rsidRPr="006A361A" w:rsidRDefault="00CC607B" w:rsidP="00246B26">
            <w:pPr>
              <w:spacing w:line="240" w:lineRule="auto"/>
              <w:contextualSpacing/>
              <w:jc w:val="left"/>
              <w:rPr>
                <w:rFonts w:cstheme="minorHAnsi"/>
                <w:b/>
                <w:bCs/>
                <w:color w:val="000000" w:themeColor="text1"/>
                <w:sz w:val="16"/>
                <w:szCs w:val="16"/>
                <w:lang w:val="en-US" w:eastAsia="es-ES"/>
              </w:rPr>
            </w:pPr>
            <w:r w:rsidRPr="006A361A">
              <w:rPr>
                <w:rFonts w:cstheme="minorHAnsi"/>
                <w:b/>
                <w:bCs/>
                <w:color w:val="000000" w:themeColor="text1"/>
                <w:sz w:val="16"/>
                <w:szCs w:val="16"/>
                <w:lang w:val="en-US" w:eastAsia="es-ES"/>
              </w:rPr>
              <w:t>Pig</w:t>
            </w:r>
          </w:p>
        </w:tc>
        <w:tc>
          <w:tcPr>
            <w:tcW w:w="552" w:type="pct"/>
            <w:tcBorders>
              <w:bottom w:val="single" w:sz="12" w:space="0" w:color="auto"/>
            </w:tcBorders>
            <w:shd w:val="clear" w:color="auto" w:fill="auto"/>
            <w:noWrap/>
          </w:tcPr>
          <w:p w:rsidR="00CC607B" w:rsidRPr="006A361A" w:rsidRDefault="00CC607B" w:rsidP="00246B26">
            <w:pPr>
              <w:spacing w:line="240" w:lineRule="auto"/>
              <w:contextualSpacing/>
              <w:jc w:val="left"/>
              <w:rPr>
                <w:rFonts w:cstheme="minorHAnsi"/>
                <w:b/>
                <w:bCs/>
                <w:color w:val="000000" w:themeColor="text1"/>
                <w:sz w:val="16"/>
                <w:szCs w:val="16"/>
                <w:lang w:val="en-US" w:eastAsia="es-ES"/>
              </w:rPr>
            </w:pPr>
            <w:r w:rsidRPr="006A361A">
              <w:rPr>
                <w:rFonts w:cstheme="minorHAnsi"/>
                <w:b/>
                <w:bCs/>
                <w:color w:val="000000" w:themeColor="text1"/>
                <w:sz w:val="16"/>
                <w:szCs w:val="16"/>
                <w:lang w:val="en-US" w:eastAsia="es-ES"/>
              </w:rPr>
              <w:t>Horse</w:t>
            </w:r>
          </w:p>
        </w:tc>
      </w:tr>
      <w:tr w:rsidR="00CC607B" w:rsidRPr="006A361A" w:rsidTr="00246B26">
        <w:trPr>
          <w:trHeight w:val="20"/>
        </w:trPr>
        <w:tc>
          <w:tcPr>
            <w:tcW w:w="5000" w:type="pct"/>
            <w:gridSpan w:val="8"/>
            <w:tcBorders>
              <w:top w:val="single" w:sz="12" w:space="0" w:color="auto"/>
              <w:bottom w:val="single" w:sz="4" w:space="0" w:color="auto"/>
            </w:tcBorders>
            <w:shd w:val="clear" w:color="auto" w:fill="auto"/>
            <w:noWrap/>
          </w:tcPr>
          <w:p w:rsidR="00CC607B" w:rsidRPr="006A361A" w:rsidRDefault="00CC607B" w:rsidP="00246B26">
            <w:pPr>
              <w:spacing w:line="240" w:lineRule="auto"/>
              <w:contextualSpacing/>
              <w:jc w:val="left"/>
              <w:rPr>
                <w:rFonts w:cstheme="minorHAnsi"/>
                <w:b/>
                <w:bCs/>
                <w:color w:val="000000" w:themeColor="text1"/>
                <w:sz w:val="16"/>
                <w:szCs w:val="16"/>
                <w:lang w:val="en-US"/>
              </w:rPr>
            </w:pPr>
            <w:r w:rsidRPr="006A361A">
              <w:rPr>
                <w:rFonts w:cstheme="minorHAnsi"/>
                <w:b/>
                <w:bCs/>
                <w:color w:val="000000" w:themeColor="text1"/>
                <w:sz w:val="16"/>
                <w:szCs w:val="16"/>
                <w:lang w:val="en-US" w:eastAsia="es-ES"/>
              </w:rPr>
              <w:t>Methionine metabolism</w:t>
            </w:r>
          </w:p>
        </w:tc>
      </w:tr>
      <w:tr w:rsidR="00CC607B" w:rsidRPr="006A361A" w:rsidTr="00246B26">
        <w:trPr>
          <w:trHeight w:val="20"/>
        </w:trPr>
        <w:tc>
          <w:tcPr>
            <w:tcW w:w="866"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Betaine</w:t>
            </w:r>
            <w:r w:rsidRPr="006A361A">
              <w:rPr>
                <w:rFonts w:ascii="Calibri" w:hAnsi="Calibri" w:cs="Calibri"/>
                <w:bCs/>
                <w:sz w:val="16"/>
                <w:szCs w:val="16"/>
                <w:vertAlign w:val="superscript"/>
                <w:lang w:val="en-US" w:eastAsia="es-ES"/>
              </w:rPr>
              <w:t>a</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6016 ± 726</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3292 ± 847</w:t>
            </w:r>
          </w:p>
        </w:tc>
        <w:tc>
          <w:tcPr>
            <w:tcW w:w="618" w:type="pct"/>
            <w:tcBorders>
              <w:top w:val="single" w:sz="4" w:space="0" w:color="auto"/>
            </w:tcBorders>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3355 ± 650</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19814 ± 3683</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13995 ± 1173</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16845 ± 1817</w:t>
            </w:r>
          </w:p>
        </w:tc>
        <w:tc>
          <w:tcPr>
            <w:tcW w:w="552"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2103 ± 301</w:t>
            </w:r>
          </w:p>
        </w:tc>
      </w:tr>
      <w:tr w:rsidR="00CC607B" w:rsidRPr="006A361A" w:rsidTr="00246B26">
        <w:trPr>
          <w:trHeight w:val="20"/>
        </w:trPr>
        <w:tc>
          <w:tcPr>
            <w:tcW w:w="866"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Cystathionine</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0.12 ± 0.02</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0.10 ± 0.03</w:t>
            </w:r>
          </w:p>
        </w:tc>
        <w:tc>
          <w:tcPr>
            <w:tcW w:w="618" w:type="pct"/>
            <w:tcBorders>
              <w:top w:val="single" w:sz="4" w:space="0" w:color="auto"/>
            </w:tcBorders>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0.13 ± 0.03</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2.10 ± 0.72</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0.04 ± 0.01</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0.03 ± 0.01</w:t>
            </w:r>
          </w:p>
        </w:tc>
        <w:tc>
          <w:tcPr>
            <w:tcW w:w="552"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0.01 ± 0.00</w:t>
            </w:r>
          </w:p>
        </w:tc>
      </w:tr>
      <w:tr w:rsidR="00CC607B" w:rsidRPr="006A361A" w:rsidTr="00246B26">
        <w:trPr>
          <w:trHeight w:val="20"/>
        </w:trPr>
        <w:tc>
          <w:tcPr>
            <w:tcW w:w="866"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Cysteine</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0.16 ± 0.03</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0.14 ± 0.04</w:t>
            </w:r>
          </w:p>
        </w:tc>
        <w:tc>
          <w:tcPr>
            <w:tcW w:w="618" w:type="pct"/>
            <w:tcBorders>
              <w:top w:val="single" w:sz="4" w:space="0" w:color="auto"/>
            </w:tcBorders>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0.11 ± 0.02</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0.49 ± 0.13</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0.08 ± 0.02</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0.30 ± 0.06</w:t>
            </w:r>
          </w:p>
        </w:tc>
        <w:tc>
          <w:tcPr>
            <w:tcW w:w="552"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0.07 ± 0.02</w:t>
            </w:r>
          </w:p>
        </w:tc>
      </w:tr>
      <w:tr w:rsidR="00CC607B" w:rsidRPr="006A361A" w:rsidTr="00246B26">
        <w:trPr>
          <w:trHeight w:val="20"/>
        </w:trPr>
        <w:tc>
          <w:tcPr>
            <w:tcW w:w="866"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Pr>
                <w:rFonts w:cstheme="minorHAnsi"/>
                <w:color w:val="000000" w:themeColor="text1"/>
                <w:sz w:val="16"/>
                <w:szCs w:val="16"/>
                <w:lang w:val="en-US" w:eastAsia="es-ES"/>
              </w:rPr>
              <w:t>GSH</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1.45 ± 0.48</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2.34 ± 1.16</w:t>
            </w:r>
          </w:p>
        </w:tc>
        <w:tc>
          <w:tcPr>
            <w:tcW w:w="618" w:type="pct"/>
            <w:tcBorders>
              <w:top w:val="single" w:sz="4" w:space="0" w:color="auto"/>
            </w:tcBorders>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1.23 ± 0.30</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5.00 ± 1.19</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0.41 ± 0.04</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2.15 ± 0.43</w:t>
            </w:r>
          </w:p>
        </w:tc>
        <w:tc>
          <w:tcPr>
            <w:tcW w:w="552"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1.21 ± 0.43</w:t>
            </w:r>
          </w:p>
        </w:tc>
      </w:tr>
      <w:tr w:rsidR="00CC607B" w:rsidRPr="006A361A" w:rsidTr="00246B26">
        <w:trPr>
          <w:trHeight w:val="20"/>
        </w:trPr>
        <w:tc>
          <w:tcPr>
            <w:tcW w:w="866"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Homocysteine</w:t>
            </w:r>
            <w:r w:rsidRPr="006A361A">
              <w:rPr>
                <w:rFonts w:ascii="Calibri" w:hAnsi="Calibri" w:cs="Calibri"/>
                <w:bCs/>
                <w:sz w:val="16"/>
                <w:szCs w:val="16"/>
                <w:vertAlign w:val="superscript"/>
                <w:lang w:val="en-US" w:eastAsia="es-ES"/>
              </w:rPr>
              <w:t>a</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1.42 ± 0.33</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1.84 ± 0.64</w:t>
            </w:r>
          </w:p>
        </w:tc>
        <w:tc>
          <w:tcPr>
            <w:tcW w:w="618" w:type="pct"/>
            <w:tcBorders>
              <w:top w:val="single" w:sz="4" w:space="0" w:color="auto"/>
            </w:tcBorders>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1.35 ± 0.41</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22.5 ± 7.89</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0.66 ± 0.13</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0.67 ± 0.13</w:t>
            </w:r>
          </w:p>
        </w:tc>
        <w:tc>
          <w:tcPr>
            <w:tcW w:w="552"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0.45 ± 0.11</w:t>
            </w:r>
          </w:p>
        </w:tc>
      </w:tr>
      <w:tr w:rsidR="00CC607B" w:rsidRPr="006A361A" w:rsidTr="00246B26">
        <w:trPr>
          <w:trHeight w:val="20"/>
        </w:trPr>
        <w:tc>
          <w:tcPr>
            <w:tcW w:w="866"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Methionine</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1.08 ± 0.24</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0.91 ± 0.20</w:t>
            </w:r>
          </w:p>
        </w:tc>
        <w:tc>
          <w:tcPr>
            <w:tcW w:w="618" w:type="pct"/>
            <w:tcBorders>
              <w:top w:val="single" w:sz="4" w:space="0" w:color="auto"/>
            </w:tcBorders>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0.40 ± 0.02</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0.65 ± 0.14</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0.38 ± 0.03</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0.47 ± 0.08</w:t>
            </w:r>
          </w:p>
        </w:tc>
        <w:tc>
          <w:tcPr>
            <w:tcW w:w="552"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0.22 ± 0.01</w:t>
            </w:r>
          </w:p>
        </w:tc>
      </w:tr>
      <w:tr w:rsidR="00CC607B" w:rsidRPr="006A361A" w:rsidTr="00246B26">
        <w:trPr>
          <w:trHeight w:val="20"/>
        </w:trPr>
        <w:tc>
          <w:tcPr>
            <w:tcW w:w="866"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Pyridoxal</w:t>
            </w:r>
            <w:r w:rsidRPr="006A361A">
              <w:rPr>
                <w:rFonts w:ascii="Calibri" w:hAnsi="Calibri" w:cs="Calibri"/>
                <w:bCs/>
                <w:sz w:val="16"/>
                <w:szCs w:val="16"/>
                <w:vertAlign w:val="superscript"/>
                <w:lang w:val="en-US" w:eastAsia="es-ES"/>
              </w:rPr>
              <w:t>a</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62.7 ± 11.6</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66.0 ± 14.0</w:t>
            </w:r>
          </w:p>
        </w:tc>
        <w:tc>
          <w:tcPr>
            <w:tcW w:w="618" w:type="pct"/>
            <w:tcBorders>
              <w:top w:val="single" w:sz="4" w:space="0" w:color="auto"/>
            </w:tcBorders>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30.2 ± 2.40</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67.0 ± 6.20</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26.5 ± 2.00</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29.1 ± 2.30</w:t>
            </w:r>
          </w:p>
        </w:tc>
        <w:tc>
          <w:tcPr>
            <w:tcW w:w="552"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30.1 ± 2.20</w:t>
            </w:r>
          </w:p>
        </w:tc>
      </w:tr>
      <w:tr w:rsidR="00CC607B" w:rsidRPr="006A361A" w:rsidTr="00246B26">
        <w:trPr>
          <w:trHeight w:val="20"/>
        </w:trPr>
        <w:tc>
          <w:tcPr>
            <w:tcW w:w="866"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PLP</w:t>
            </w:r>
            <w:r w:rsidRPr="006A361A">
              <w:rPr>
                <w:rFonts w:ascii="Calibri" w:hAnsi="Calibri" w:cs="Calibri"/>
                <w:bCs/>
                <w:sz w:val="16"/>
                <w:szCs w:val="16"/>
                <w:vertAlign w:val="superscript"/>
                <w:lang w:val="en-US" w:eastAsia="es-ES"/>
              </w:rPr>
              <w:t>a</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24.7 ± 5.10</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44.9 ± 11.6</w:t>
            </w:r>
          </w:p>
        </w:tc>
        <w:tc>
          <w:tcPr>
            <w:tcW w:w="618" w:type="pct"/>
            <w:tcBorders>
              <w:top w:val="single" w:sz="4" w:space="0" w:color="auto"/>
            </w:tcBorders>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13.0 ± 3.10</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28.3 ± 5.30</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7.20 ± 1.40</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9.90 ± 3.00</w:t>
            </w:r>
          </w:p>
        </w:tc>
        <w:tc>
          <w:tcPr>
            <w:tcW w:w="552"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2.80 ± 0.40</w:t>
            </w:r>
          </w:p>
        </w:tc>
      </w:tr>
      <w:tr w:rsidR="00CC607B" w:rsidRPr="006A361A" w:rsidTr="00246B26">
        <w:trPr>
          <w:trHeight w:val="20"/>
        </w:trPr>
        <w:tc>
          <w:tcPr>
            <w:tcW w:w="866"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Pyridoxamine</w:t>
            </w:r>
            <w:r w:rsidRPr="006A361A">
              <w:rPr>
                <w:rFonts w:ascii="Calibri" w:hAnsi="Calibri" w:cs="Calibri"/>
                <w:bCs/>
                <w:sz w:val="16"/>
                <w:szCs w:val="16"/>
                <w:vertAlign w:val="superscript"/>
                <w:lang w:val="en-US" w:eastAsia="es-ES"/>
              </w:rPr>
              <w:t>a</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7.50 ± 2.30</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12.3 ± 4.60</w:t>
            </w:r>
          </w:p>
        </w:tc>
        <w:tc>
          <w:tcPr>
            <w:tcW w:w="618" w:type="pct"/>
            <w:tcBorders>
              <w:top w:val="single" w:sz="4" w:space="0" w:color="auto"/>
            </w:tcBorders>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5.7 ± 0.8</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6.10 ± 1.70</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8.70 ± 0.90</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8.20 ± 1.30</w:t>
            </w:r>
          </w:p>
        </w:tc>
        <w:tc>
          <w:tcPr>
            <w:tcW w:w="552"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7.90 ± 1.00</w:t>
            </w:r>
          </w:p>
        </w:tc>
      </w:tr>
      <w:tr w:rsidR="00CC607B" w:rsidRPr="006A361A" w:rsidTr="00246B26">
        <w:trPr>
          <w:trHeight w:val="20"/>
        </w:trPr>
        <w:tc>
          <w:tcPr>
            <w:tcW w:w="866"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 xml:space="preserve">SAH </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0.08 ± 0.01</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0.02 ± 0.00</w:t>
            </w:r>
          </w:p>
        </w:tc>
        <w:tc>
          <w:tcPr>
            <w:tcW w:w="618" w:type="pct"/>
            <w:tcBorders>
              <w:top w:val="single" w:sz="4" w:space="0" w:color="auto"/>
            </w:tcBorders>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0.08 ± 0.02</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0.15 ± 0.02</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0.11 ± 0.01</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0.16 ± 0.02</w:t>
            </w:r>
          </w:p>
        </w:tc>
        <w:tc>
          <w:tcPr>
            <w:tcW w:w="552"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0.08 ± 0.01</w:t>
            </w:r>
          </w:p>
        </w:tc>
      </w:tr>
      <w:tr w:rsidR="00CC607B" w:rsidRPr="006A361A" w:rsidTr="00246B26">
        <w:trPr>
          <w:trHeight w:val="20"/>
        </w:trPr>
        <w:tc>
          <w:tcPr>
            <w:tcW w:w="866"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SAM</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1.98 ± 0.26</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2.03 ± 0.65</w:t>
            </w:r>
          </w:p>
        </w:tc>
        <w:tc>
          <w:tcPr>
            <w:tcW w:w="618" w:type="pct"/>
            <w:tcBorders>
              <w:top w:val="single" w:sz="4" w:space="0" w:color="auto"/>
            </w:tcBorders>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0.32 ± 0.08</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1.87 ± 0.30</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0.33 ± 0.04</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0.74 ± 0.10</w:t>
            </w:r>
          </w:p>
        </w:tc>
        <w:tc>
          <w:tcPr>
            <w:tcW w:w="552"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0.26 ± 0.07</w:t>
            </w:r>
          </w:p>
        </w:tc>
      </w:tr>
      <w:tr w:rsidR="00CC607B" w:rsidRPr="006A361A" w:rsidTr="00246B26">
        <w:trPr>
          <w:trHeight w:val="20"/>
        </w:trPr>
        <w:tc>
          <w:tcPr>
            <w:tcW w:w="866" w:type="pct"/>
            <w:tcBorders>
              <w:top w:val="single" w:sz="4" w:space="0" w:color="auto"/>
              <w:bottom w:val="single" w:sz="12" w:space="0" w:color="FFFFFF" w:themeColor="background1"/>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Spermidine</w:t>
            </w:r>
            <w:r w:rsidRPr="006A361A">
              <w:rPr>
                <w:rFonts w:ascii="Calibri" w:hAnsi="Calibri" w:cs="Calibri"/>
                <w:bCs/>
                <w:sz w:val="16"/>
                <w:szCs w:val="16"/>
                <w:vertAlign w:val="superscript"/>
                <w:lang w:val="en-US" w:eastAsia="es-ES"/>
              </w:rPr>
              <w:t>a</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134 ± 34.9</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232 ± 93.0</w:t>
            </w:r>
          </w:p>
        </w:tc>
        <w:tc>
          <w:tcPr>
            <w:tcW w:w="618" w:type="pct"/>
            <w:tcBorders>
              <w:top w:val="single" w:sz="4" w:space="0" w:color="auto"/>
            </w:tcBorders>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67.2 ± 15.4</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98.8 ± 33.8</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8.40 ± 1.20</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21.9 ± 2.90</w:t>
            </w:r>
          </w:p>
        </w:tc>
        <w:tc>
          <w:tcPr>
            <w:tcW w:w="552"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15.3 ± 3.60</w:t>
            </w:r>
          </w:p>
        </w:tc>
      </w:tr>
      <w:tr w:rsidR="00CC607B" w:rsidRPr="006A361A" w:rsidTr="00246B26">
        <w:trPr>
          <w:trHeight w:val="20"/>
        </w:trPr>
        <w:tc>
          <w:tcPr>
            <w:tcW w:w="866" w:type="pct"/>
            <w:tcBorders>
              <w:top w:val="single" w:sz="12" w:space="0" w:color="FFFFFF" w:themeColor="background1"/>
              <w:bottom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Taurine</w:t>
            </w:r>
          </w:p>
        </w:tc>
        <w:tc>
          <w:tcPr>
            <w:tcW w:w="555" w:type="pct"/>
            <w:tcBorders>
              <w:top w:val="single" w:sz="4" w:space="0" w:color="auto"/>
              <w:bottom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362 ± 53.5</w:t>
            </w:r>
          </w:p>
        </w:tc>
        <w:tc>
          <w:tcPr>
            <w:tcW w:w="555" w:type="pct"/>
            <w:tcBorders>
              <w:top w:val="single" w:sz="4" w:space="0" w:color="auto"/>
              <w:bottom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413 ± 132</w:t>
            </w:r>
          </w:p>
        </w:tc>
        <w:tc>
          <w:tcPr>
            <w:tcW w:w="618" w:type="pct"/>
            <w:tcBorders>
              <w:top w:val="single" w:sz="4" w:space="0" w:color="auto"/>
              <w:bottom w:val="single" w:sz="4" w:space="0" w:color="auto"/>
            </w:tcBorders>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28.0 ± 11.1</w:t>
            </w:r>
          </w:p>
        </w:tc>
        <w:tc>
          <w:tcPr>
            <w:tcW w:w="618" w:type="pct"/>
            <w:tcBorders>
              <w:top w:val="single" w:sz="4" w:space="0" w:color="auto"/>
              <w:bottom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79.8 ± 23.2</w:t>
            </w:r>
          </w:p>
        </w:tc>
        <w:tc>
          <w:tcPr>
            <w:tcW w:w="618" w:type="pct"/>
            <w:tcBorders>
              <w:top w:val="single" w:sz="4" w:space="0" w:color="auto"/>
              <w:bottom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8.32 ± 1.49</w:t>
            </w:r>
          </w:p>
        </w:tc>
        <w:tc>
          <w:tcPr>
            <w:tcW w:w="618" w:type="pct"/>
            <w:tcBorders>
              <w:top w:val="single" w:sz="4" w:space="0" w:color="auto"/>
              <w:bottom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11.58 ± 2.42</w:t>
            </w:r>
          </w:p>
        </w:tc>
        <w:tc>
          <w:tcPr>
            <w:tcW w:w="552" w:type="pct"/>
            <w:tcBorders>
              <w:top w:val="single" w:sz="4" w:space="0" w:color="auto"/>
              <w:bottom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rPr>
            </w:pPr>
            <w:r w:rsidRPr="006A361A">
              <w:rPr>
                <w:rFonts w:cstheme="minorHAnsi"/>
                <w:color w:val="000000" w:themeColor="text1"/>
                <w:sz w:val="16"/>
                <w:szCs w:val="16"/>
                <w:lang w:val="en-US"/>
              </w:rPr>
              <w:t>14.3 ± 2.54</w:t>
            </w:r>
          </w:p>
        </w:tc>
      </w:tr>
      <w:tr w:rsidR="00CC607B" w:rsidRPr="006A361A" w:rsidTr="00246B26">
        <w:trPr>
          <w:trHeight w:val="20"/>
        </w:trPr>
        <w:tc>
          <w:tcPr>
            <w:tcW w:w="5000" w:type="pct"/>
            <w:gridSpan w:val="8"/>
            <w:tcBorders>
              <w:top w:val="single" w:sz="4" w:space="0" w:color="auto"/>
              <w:bottom w:val="single" w:sz="4" w:space="0" w:color="auto"/>
            </w:tcBorders>
            <w:shd w:val="clear" w:color="auto" w:fill="auto"/>
            <w:noWrap/>
          </w:tcPr>
          <w:p w:rsidR="00CC607B" w:rsidRPr="006A361A" w:rsidRDefault="00CC607B" w:rsidP="00246B26">
            <w:pPr>
              <w:spacing w:line="240" w:lineRule="auto"/>
              <w:contextualSpacing/>
              <w:jc w:val="left"/>
              <w:rPr>
                <w:rFonts w:cstheme="minorHAnsi"/>
                <w:b/>
                <w:bCs/>
                <w:color w:val="000000" w:themeColor="text1"/>
                <w:sz w:val="16"/>
                <w:szCs w:val="16"/>
                <w:lang w:val="en-US"/>
              </w:rPr>
            </w:pPr>
            <w:r w:rsidRPr="006A361A">
              <w:rPr>
                <w:rFonts w:cstheme="minorHAnsi"/>
                <w:b/>
                <w:bCs/>
                <w:color w:val="000000" w:themeColor="text1"/>
                <w:sz w:val="16"/>
                <w:szCs w:val="16"/>
                <w:lang w:val="en-US" w:eastAsia="es-ES"/>
              </w:rPr>
              <w:t>Amino acids</w:t>
            </w:r>
          </w:p>
        </w:tc>
      </w:tr>
      <w:tr w:rsidR="00CC607B" w:rsidRPr="006A361A" w:rsidTr="00246B26">
        <w:trPr>
          <w:trHeight w:val="20"/>
        </w:trPr>
        <w:tc>
          <w:tcPr>
            <w:tcW w:w="866" w:type="pct"/>
            <w:tcBorders>
              <w:top w:val="single" w:sz="4" w:space="0" w:color="auto"/>
            </w:tcBorders>
            <w:shd w:val="clear" w:color="auto" w:fill="auto"/>
            <w:noWrap/>
            <w:hideMark/>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Alanine</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1.54 ± 0.12</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2.16 ± 0.62</w:t>
            </w:r>
          </w:p>
        </w:tc>
        <w:tc>
          <w:tcPr>
            <w:tcW w:w="618" w:type="pct"/>
            <w:tcBorders>
              <w:top w:val="single" w:sz="4" w:space="0" w:color="auto"/>
            </w:tcBorders>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1.07 ± 0.23</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2.95 ± 0.47</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5.58 ± 1.42</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5.17 ± 1.31</w:t>
            </w:r>
          </w:p>
        </w:tc>
        <w:tc>
          <w:tcPr>
            <w:tcW w:w="552"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5.05 ± 0.68</w:t>
            </w:r>
          </w:p>
        </w:tc>
      </w:tr>
      <w:tr w:rsidR="00CC607B" w:rsidRPr="006A361A" w:rsidTr="00246B26">
        <w:trPr>
          <w:trHeight w:val="20"/>
        </w:trPr>
        <w:tc>
          <w:tcPr>
            <w:tcW w:w="866" w:type="pct"/>
            <w:shd w:val="clear" w:color="auto" w:fill="auto"/>
            <w:noWrap/>
            <w:hideMark/>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Arginine</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1.67 ± 0.29</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1.21 ± 0.30</w:t>
            </w:r>
          </w:p>
        </w:tc>
        <w:tc>
          <w:tcPr>
            <w:tcW w:w="618" w:type="pct"/>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0.54 ± 0.09</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1.38 ± 0.22</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0.87 ± 0.08</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1.01 ± 0.12</w:t>
            </w:r>
          </w:p>
        </w:tc>
        <w:tc>
          <w:tcPr>
            <w:tcW w:w="552"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0.57 ± 0.04</w:t>
            </w:r>
          </w:p>
        </w:tc>
      </w:tr>
      <w:tr w:rsidR="00CC607B" w:rsidRPr="006A361A" w:rsidTr="00246B26">
        <w:trPr>
          <w:trHeight w:val="20"/>
        </w:trPr>
        <w:tc>
          <w:tcPr>
            <w:tcW w:w="866" w:type="pct"/>
            <w:shd w:val="clear" w:color="auto" w:fill="auto"/>
            <w:noWrap/>
            <w:hideMark/>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Asparagine</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0.33 ± 0.06</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0.14 ± 0.06</w:t>
            </w:r>
          </w:p>
        </w:tc>
        <w:tc>
          <w:tcPr>
            <w:tcW w:w="618" w:type="pct"/>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0.09 ± 0.02</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ND</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0.06 ± 0.00</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0.07 ± 0.01</w:t>
            </w:r>
          </w:p>
        </w:tc>
        <w:tc>
          <w:tcPr>
            <w:tcW w:w="552"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0.03 ± 0.00</w:t>
            </w:r>
          </w:p>
        </w:tc>
      </w:tr>
      <w:tr w:rsidR="00CC607B" w:rsidRPr="006A361A" w:rsidTr="00246B26">
        <w:trPr>
          <w:trHeight w:val="20"/>
        </w:trPr>
        <w:tc>
          <w:tcPr>
            <w:tcW w:w="866" w:type="pct"/>
            <w:shd w:val="clear" w:color="auto" w:fill="auto"/>
            <w:noWrap/>
            <w:hideMark/>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Aspartate</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10.4 ± 2.38</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14.3 ± 4.79</w:t>
            </w:r>
          </w:p>
        </w:tc>
        <w:tc>
          <w:tcPr>
            <w:tcW w:w="618" w:type="pct"/>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2.20 ± 0.25</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12.4 ± 3.23</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2.05 ± 0.25</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2.69 ± 0.37</w:t>
            </w:r>
          </w:p>
        </w:tc>
        <w:tc>
          <w:tcPr>
            <w:tcW w:w="552"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2.71 ± 0.63</w:t>
            </w:r>
          </w:p>
        </w:tc>
      </w:tr>
      <w:tr w:rsidR="00CC607B" w:rsidRPr="006A361A" w:rsidTr="00246B26">
        <w:trPr>
          <w:trHeight w:val="20"/>
        </w:trPr>
        <w:tc>
          <w:tcPr>
            <w:tcW w:w="866" w:type="pct"/>
            <w:shd w:val="clear" w:color="auto" w:fill="auto"/>
            <w:noWrap/>
            <w:hideMark/>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Glutamate</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4.29 ± 0.67</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3.66 ± 0.71</w:t>
            </w:r>
          </w:p>
        </w:tc>
        <w:tc>
          <w:tcPr>
            <w:tcW w:w="618" w:type="pct"/>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2.24 ± 0.26</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4.44 ± 0.42</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0.92 ± 0.08</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0.65 ± 0.10</w:t>
            </w:r>
          </w:p>
        </w:tc>
        <w:tc>
          <w:tcPr>
            <w:tcW w:w="552"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1.44 ± 0.19</w:t>
            </w:r>
          </w:p>
        </w:tc>
      </w:tr>
      <w:tr w:rsidR="00CC607B" w:rsidRPr="006A361A" w:rsidTr="00246B26">
        <w:trPr>
          <w:trHeight w:val="20"/>
        </w:trPr>
        <w:tc>
          <w:tcPr>
            <w:tcW w:w="866" w:type="pct"/>
            <w:shd w:val="clear" w:color="auto" w:fill="auto"/>
            <w:noWrap/>
            <w:hideMark/>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Glycine</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2.33 ± 0.47</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4.82 ± 2.32</w:t>
            </w:r>
          </w:p>
        </w:tc>
        <w:tc>
          <w:tcPr>
            <w:tcW w:w="618" w:type="pct"/>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1.26 ± 0.15</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4.20 ± 1.14</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1.12 ± 0.09</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2.36 ± 0.72</w:t>
            </w:r>
          </w:p>
        </w:tc>
        <w:tc>
          <w:tcPr>
            <w:tcW w:w="552"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1.35 ± 0.17</w:t>
            </w:r>
          </w:p>
        </w:tc>
      </w:tr>
      <w:tr w:rsidR="00CC607B" w:rsidRPr="006A361A" w:rsidTr="00246B26">
        <w:trPr>
          <w:trHeight w:val="20"/>
        </w:trPr>
        <w:tc>
          <w:tcPr>
            <w:tcW w:w="866" w:type="pct"/>
            <w:shd w:val="clear" w:color="auto" w:fill="auto"/>
            <w:noWrap/>
            <w:hideMark/>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Histidine</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0.70 ± 0.11</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1.37 ± 0.50</w:t>
            </w:r>
          </w:p>
        </w:tc>
        <w:tc>
          <w:tcPr>
            <w:tcW w:w="618" w:type="pct"/>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0.76 ± 0.11</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1.90 ± 0.30</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0.47 ± 0.05</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0.50 ± 0.17</w:t>
            </w:r>
          </w:p>
        </w:tc>
        <w:tc>
          <w:tcPr>
            <w:tcW w:w="552"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0.35 ± 0.03</w:t>
            </w:r>
          </w:p>
        </w:tc>
      </w:tr>
      <w:tr w:rsidR="00CC607B" w:rsidRPr="006A361A" w:rsidTr="00246B26">
        <w:trPr>
          <w:trHeight w:val="20"/>
        </w:trPr>
        <w:tc>
          <w:tcPr>
            <w:tcW w:w="866" w:type="pct"/>
            <w:shd w:val="clear" w:color="auto" w:fill="auto"/>
            <w:noWrap/>
            <w:hideMark/>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Isoleucine</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44.5 ± 12.7</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35.9 ± 9.77</w:t>
            </w:r>
          </w:p>
        </w:tc>
        <w:tc>
          <w:tcPr>
            <w:tcW w:w="618" w:type="pct"/>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7.81 ± 1.27</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22.3 ± 2.06</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13.7 ± 1.35</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49.0 ± 10.8</w:t>
            </w:r>
          </w:p>
        </w:tc>
        <w:tc>
          <w:tcPr>
            <w:tcW w:w="552"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14.8 ± 1.33</w:t>
            </w:r>
          </w:p>
        </w:tc>
      </w:tr>
      <w:tr w:rsidR="00CC607B" w:rsidRPr="006A361A" w:rsidTr="00246B26">
        <w:trPr>
          <w:trHeight w:val="20"/>
        </w:trPr>
        <w:tc>
          <w:tcPr>
            <w:tcW w:w="866" w:type="pct"/>
            <w:shd w:val="clear" w:color="auto" w:fill="auto"/>
            <w:noWrap/>
            <w:hideMark/>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Leucine</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4.40 ± 0.54</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4.79 ± 1.42</w:t>
            </w:r>
          </w:p>
        </w:tc>
        <w:tc>
          <w:tcPr>
            <w:tcW w:w="618" w:type="pct"/>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2.12 ± 0.25</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4.92 ± 0.82</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2.98 ± 0.2</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2.12 ± 0.35</w:t>
            </w:r>
          </w:p>
        </w:tc>
        <w:tc>
          <w:tcPr>
            <w:tcW w:w="552"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3.12 ± 0.21</w:t>
            </w:r>
          </w:p>
        </w:tc>
      </w:tr>
      <w:tr w:rsidR="00CC607B" w:rsidRPr="006A361A" w:rsidTr="00246B26">
        <w:trPr>
          <w:trHeight w:val="20"/>
        </w:trPr>
        <w:tc>
          <w:tcPr>
            <w:tcW w:w="866" w:type="pct"/>
            <w:shd w:val="clear" w:color="auto" w:fill="auto"/>
            <w:noWrap/>
            <w:hideMark/>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Phenylalanine</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0.73 ± 0.12</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1.18 ± 0.26</w:t>
            </w:r>
          </w:p>
        </w:tc>
        <w:tc>
          <w:tcPr>
            <w:tcW w:w="618" w:type="pct"/>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0.29 ± 0.02</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0.65 ± 0.13</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0.23 ± 0.02</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0.67 ± 0.16</w:t>
            </w:r>
          </w:p>
        </w:tc>
        <w:tc>
          <w:tcPr>
            <w:tcW w:w="552"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0.40 ± 0.04</w:t>
            </w:r>
          </w:p>
        </w:tc>
      </w:tr>
      <w:tr w:rsidR="00CC607B" w:rsidRPr="006A361A" w:rsidTr="00246B26">
        <w:trPr>
          <w:trHeight w:val="20"/>
        </w:trPr>
        <w:tc>
          <w:tcPr>
            <w:tcW w:w="866" w:type="pct"/>
            <w:shd w:val="clear" w:color="auto" w:fill="auto"/>
            <w:noWrap/>
            <w:hideMark/>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Proline</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5.77 ± 1.10</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3.57 ± 1.06</w:t>
            </w:r>
          </w:p>
        </w:tc>
        <w:tc>
          <w:tcPr>
            <w:tcW w:w="618" w:type="pct"/>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2.81 ± 0.39</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9.25 ± 1.64</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2.28 ± 0.19</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4.21 ± 1.22</w:t>
            </w:r>
          </w:p>
        </w:tc>
        <w:tc>
          <w:tcPr>
            <w:tcW w:w="552"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0.51 ± 0.10</w:t>
            </w:r>
          </w:p>
        </w:tc>
      </w:tr>
      <w:tr w:rsidR="00CC607B" w:rsidRPr="006A361A" w:rsidTr="00246B26">
        <w:trPr>
          <w:trHeight w:val="20"/>
        </w:trPr>
        <w:tc>
          <w:tcPr>
            <w:tcW w:w="866" w:type="pct"/>
            <w:shd w:val="clear" w:color="auto" w:fill="auto"/>
            <w:noWrap/>
            <w:hideMark/>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Serine</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1.60 ± 0.20</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0.61 ± 0.09</w:t>
            </w:r>
          </w:p>
        </w:tc>
        <w:tc>
          <w:tcPr>
            <w:tcW w:w="618" w:type="pct"/>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0.37 ± 0.07</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1.72 ± 0.46</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0.85 ± 0.09</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0.62 ± 0.08</w:t>
            </w:r>
          </w:p>
        </w:tc>
        <w:tc>
          <w:tcPr>
            <w:tcW w:w="552"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1.39 ± 0.27</w:t>
            </w:r>
          </w:p>
        </w:tc>
      </w:tr>
      <w:tr w:rsidR="00CC607B" w:rsidRPr="006A361A" w:rsidTr="00246B26">
        <w:trPr>
          <w:trHeight w:val="20"/>
        </w:trPr>
        <w:tc>
          <w:tcPr>
            <w:tcW w:w="866" w:type="pct"/>
            <w:shd w:val="clear" w:color="auto" w:fill="auto"/>
            <w:noWrap/>
            <w:hideMark/>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Threonine</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3.92 ± 0.63</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3.50 ± 0.79</w:t>
            </w:r>
          </w:p>
        </w:tc>
        <w:tc>
          <w:tcPr>
            <w:tcW w:w="618" w:type="pct"/>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0.75 ± 0.12</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3.07 ± 0.81</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0.52 ± 0.03</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1.11 ± 0.25</w:t>
            </w:r>
          </w:p>
        </w:tc>
        <w:tc>
          <w:tcPr>
            <w:tcW w:w="552"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0.69 ± 0.09</w:t>
            </w:r>
          </w:p>
        </w:tc>
      </w:tr>
      <w:tr w:rsidR="00CC607B" w:rsidRPr="006A361A" w:rsidTr="00246B26">
        <w:trPr>
          <w:trHeight w:val="20"/>
        </w:trPr>
        <w:tc>
          <w:tcPr>
            <w:tcW w:w="866" w:type="pct"/>
            <w:shd w:val="clear" w:color="auto" w:fill="auto"/>
            <w:noWrap/>
            <w:hideMark/>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Tryptophan</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0.41 ± 0.09</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0.31 ± 0.07</w:t>
            </w:r>
          </w:p>
        </w:tc>
        <w:tc>
          <w:tcPr>
            <w:tcW w:w="618" w:type="pct"/>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0.04 ± 0.01</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0.36 ± 0.04</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0.10 ± 0.01</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0.22 ± 0.03</w:t>
            </w:r>
          </w:p>
        </w:tc>
        <w:tc>
          <w:tcPr>
            <w:tcW w:w="552"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0.13 ± 0.01</w:t>
            </w:r>
          </w:p>
        </w:tc>
      </w:tr>
      <w:tr w:rsidR="00CC607B" w:rsidRPr="006A361A" w:rsidTr="00246B26">
        <w:trPr>
          <w:trHeight w:val="20"/>
        </w:trPr>
        <w:tc>
          <w:tcPr>
            <w:tcW w:w="866" w:type="pct"/>
            <w:shd w:val="clear" w:color="auto" w:fill="auto"/>
            <w:noWrap/>
            <w:hideMark/>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Tyrosine</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1.15 ± 0.29</w:t>
            </w:r>
          </w:p>
        </w:tc>
        <w:tc>
          <w:tcPr>
            <w:tcW w:w="555"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1.83 ± 0.47</w:t>
            </w:r>
          </w:p>
        </w:tc>
        <w:tc>
          <w:tcPr>
            <w:tcW w:w="618" w:type="pct"/>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0.31 ± 0.03</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0.67 ± 0.22</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0.23 ± 0.04</w:t>
            </w:r>
          </w:p>
        </w:tc>
        <w:tc>
          <w:tcPr>
            <w:tcW w:w="618"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0.44 ± 0.13</w:t>
            </w:r>
          </w:p>
        </w:tc>
        <w:tc>
          <w:tcPr>
            <w:tcW w:w="552" w:type="pct"/>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0.17 ± 0.03</w:t>
            </w:r>
          </w:p>
        </w:tc>
      </w:tr>
      <w:tr w:rsidR="00CC607B" w:rsidRPr="006A361A" w:rsidTr="00246B26">
        <w:trPr>
          <w:trHeight w:val="20"/>
        </w:trPr>
        <w:tc>
          <w:tcPr>
            <w:tcW w:w="866" w:type="pct"/>
            <w:tcBorders>
              <w:bottom w:val="single" w:sz="4" w:space="0" w:color="auto"/>
            </w:tcBorders>
            <w:shd w:val="clear" w:color="auto" w:fill="auto"/>
            <w:noWrap/>
            <w:hideMark/>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Valine</w:t>
            </w:r>
          </w:p>
        </w:tc>
        <w:tc>
          <w:tcPr>
            <w:tcW w:w="555" w:type="pct"/>
            <w:tcBorders>
              <w:bottom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2.42 ± 0.61</w:t>
            </w:r>
          </w:p>
        </w:tc>
        <w:tc>
          <w:tcPr>
            <w:tcW w:w="555" w:type="pct"/>
            <w:tcBorders>
              <w:bottom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2.66 ± 0.60</w:t>
            </w:r>
          </w:p>
        </w:tc>
        <w:tc>
          <w:tcPr>
            <w:tcW w:w="618" w:type="pct"/>
            <w:tcBorders>
              <w:bottom w:val="single" w:sz="4" w:space="0" w:color="auto"/>
            </w:tcBorders>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0.82 ± 0.10</w:t>
            </w:r>
          </w:p>
        </w:tc>
        <w:tc>
          <w:tcPr>
            <w:tcW w:w="618" w:type="pct"/>
            <w:tcBorders>
              <w:bottom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2.20 ± 0.25</w:t>
            </w:r>
          </w:p>
        </w:tc>
        <w:tc>
          <w:tcPr>
            <w:tcW w:w="618" w:type="pct"/>
            <w:tcBorders>
              <w:bottom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1.04 ± 0.11</w:t>
            </w:r>
          </w:p>
        </w:tc>
        <w:tc>
          <w:tcPr>
            <w:tcW w:w="618" w:type="pct"/>
            <w:tcBorders>
              <w:bottom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2.63 ± 0.59</w:t>
            </w:r>
          </w:p>
        </w:tc>
        <w:tc>
          <w:tcPr>
            <w:tcW w:w="552" w:type="pct"/>
            <w:tcBorders>
              <w:bottom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0.98 ± 0.10</w:t>
            </w:r>
          </w:p>
        </w:tc>
      </w:tr>
      <w:tr w:rsidR="00CC607B" w:rsidRPr="006A361A" w:rsidTr="00246B26">
        <w:trPr>
          <w:trHeight w:val="20"/>
        </w:trPr>
        <w:tc>
          <w:tcPr>
            <w:tcW w:w="5000" w:type="pct"/>
            <w:gridSpan w:val="8"/>
            <w:tcBorders>
              <w:top w:val="single" w:sz="4" w:space="0" w:color="auto"/>
              <w:bottom w:val="single" w:sz="4" w:space="0" w:color="auto"/>
            </w:tcBorders>
            <w:shd w:val="clear" w:color="auto" w:fill="auto"/>
            <w:noWrap/>
          </w:tcPr>
          <w:p w:rsidR="00CC607B" w:rsidRPr="006A361A" w:rsidRDefault="00CC607B" w:rsidP="00246B26">
            <w:pPr>
              <w:spacing w:line="240" w:lineRule="auto"/>
              <w:contextualSpacing/>
              <w:jc w:val="left"/>
              <w:rPr>
                <w:rFonts w:cstheme="minorHAnsi"/>
                <w:b/>
                <w:bCs/>
                <w:color w:val="000000" w:themeColor="text1"/>
                <w:sz w:val="16"/>
                <w:szCs w:val="16"/>
                <w:lang w:val="en-US"/>
              </w:rPr>
            </w:pPr>
            <w:r w:rsidRPr="006A361A">
              <w:rPr>
                <w:rFonts w:cstheme="minorHAnsi"/>
                <w:b/>
                <w:bCs/>
                <w:color w:val="000000" w:themeColor="text1"/>
                <w:sz w:val="16"/>
                <w:szCs w:val="16"/>
                <w:lang w:val="en-US" w:eastAsia="es-ES"/>
              </w:rPr>
              <w:t>Lipid and protein intermediates</w:t>
            </w:r>
          </w:p>
        </w:tc>
      </w:tr>
      <w:tr w:rsidR="00CC607B" w:rsidRPr="006A361A" w:rsidTr="00246B26">
        <w:trPr>
          <w:trHeight w:val="20"/>
        </w:trPr>
        <w:tc>
          <w:tcPr>
            <w:tcW w:w="866" w:type="pct"/>
            <w:tcBorders>
              <w:top w:val="single" w:sz="4" w:space="0" w:color="auto"/>
            </w:tcBorders>
            <w:shd w:val="clear" w:color="auto" w:fill="auto"/>
            <w:noWrap/>
            <w:hideMark/>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eastAsia="es-ES"/>
              </w:rPr>
              <w:t xml:space="preserve">Carnitine </w:t>
            </w:r>
            <w:r w:rsidRPr="006A361A">
              <w:rPr>
                <w:rFonts w:ascii="Calibri" w:hAnsi="Calibri" w:cs="Calibri"/>
                <w:bCs/>
                <w:sz w:val="16"/>
                <w:szCs w:val="16"/>
                <w:vertAlign w:val="superscript"/>
                <w:lang w:val="en-US" w:eastAsia="es-ES"/>
              </w:rPr>
              <w:t>a</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5418 ± 425</w:t>
            </w:r>
          </w:p>
        </w:tc>
        <w:tc>
          <w:tcPr>
            <w:tcW w:w="555"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3402 ± 872</w:t>
            </w:r>
          </w:p>
        </w:tc>
        <w:tc>
          <w:tcPr>
            <w:tcW w:w="618" w:type="pct"/>
            <w:tcBorders>
              <w:top w:val="single" w:sz="4" w:space="0" w:color="auto"/>
            </w:tcBorders>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2298 ± 207</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4589 ± 780</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3405 ± 327</w:t>
            </w:r>
          </w:p>
        </w:tc>
        <w:tc>
          <w:tcPr>
            <w:tcW w:w="618"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811 ± 211</w:t>
            </w:r>
          </w:p>
        </w:tc>
        <w:tc>
          <w:tcPr>
            <w:tcW w:w="552" w:type="pct"/>
            <w:tcBorders>
              <w:top w:val="single" w:sz="4"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3594 ± 482</w:t>
            </w:r>
          </w:p>
        </w:tc>
      </w:tr>
      <w:tr w:rsidR="00CC607B" w:rsidRPr="006A361A" w:rsidTr="00246B26">
        <w:trPr>
          <w:trHeight w:val="20"/>
        </w:trPr>
        <w:tc>
          <w:tcPr>
            <w:tcW w:w="866" w:type="pct"/>
            <w:tcBorders>
              <w:bottom w:val="single" w:sz="12" w:space="0" w:color="auto"/>
            </w:tcBorders>
            <w:shd w:val="clear" w:color="auto" w:fill="auto"/>
            <w:noWrap/>
            <w:hideMark/>
          </w:tcPr>
          <w:p w:rsidR="00CC607B" w:rsidRPr="00E907EB" w:rsidRDefault="00CC607B" w:rsidP="00246B26">
            <w:pPr>
              <w:spacing w:line="240" w:lineRule="auto"/>
              <w:contextualSpacing/>
              <w:jc w:val="left"/>
              <w:rPr>
                <w:rFonts w:cstheme="minorHAnsi"/>
                <w:color w:val="000000" w:themeColor="text1"/>
                <w:sz w:val="16"/>
                <w:szCs w:val="16"/>
                <w:highlight w:val="yellow"/>
                <w:lang w:val="en-US" w:eastAsia="es-ES"/>
              </w:rPr>
            </w:pPr>
            <w:r w:rsidRPr="006A361A">
              <w:rPr>
                <w:rFonts w:cstheme="minorHAnsi"/>
                <w:color w:val="000000" w:themeColor="text1"/>
                <w:sz w:val="16"/>
                <w:szCs w:val="16"/>
                <w:lang w:val="en-US" w:eastAsia="es-ES"/>
              </w:rPr>
              <w:lastRenderedPageBreak/>
              <w:t xml:space="preserve">Choline </w:t>
            </w:r>
            <w:r w:rsidRPr="006A361A">
              <w:rPr>
                <w:rFonts w:ascii="Calibri" w:hAnsi="Calibri" w:cs="Calibri"/>
                <w:bCs/>
                <w:sz w:val="16"/>
                <w:szCs w:val="16"/>
                <w:vertAlign w:val="superscript"/>
                <w:lang w:val="en-US" w:eastAsia="es-ES"/>
              </w:rPr>
              <w:t>a</w:t>
            </w:r>
          </w:p>
        </w:tc>
        <w:tc>
          <w:tcPr>
            <w:tcW w:w="555" w:type="pct"/>
            <w:tcBorders>
              <w:bottom w:val="single" w:sz="12" w:space="0" w:color="auto"/>
            </w:tcBorders>
            <w:shd w:val="clear" w:color="auto" w:fill="auto"/>
            <w:noWrap/>
          </w:tcPr>
          <w:p w:rsidR="00CC607B" w:rsidRPr="00E907EB" w:rsidRDefault="00CC607B" w:rsidP="00246B26">
            <w:pPr>
              <w:spacing w:line="240" w:lineRule="auto"/>
              <w:contextualSpacing/>
              <w:jc w:val="left"/>
              <w:rPr>
                <w:rFonts w:cstheme="minorHAnsi"/>
                <w:color w:val="000000" w:themeColor="text1"/>
                <w:sz w:val="16"/>
                <w:szCs w:val="16"/>
                <w:highlight w:val="yellow"/>
                <w:lang w:val="en-US" w:eastAsia="es-ES"/>
              </w:rPr>
            </w:pPr>
            <w:r w:rsidRPr="006A361A">
              <w:rPr>
                <w:rFonts w:cstheme="minorHAnsi"/>
                <w:color w:val="000000" w:themeColor="text1"/>
                <w:sz w:val="16"/>
                <w:szCs w:val="16"/>
                <w:lang w:val="en-US"/>
              </w:rPr>
              <w:t>1981 ± 721</w:t>
            </w:r>
          </w:p>
        </w:tc>
        <w:tc>
          <w:tcPr>
            <w:tcW w:w="555" w:type="pct"/>
            <w:tcBorders>
              <w:bottom w:val="single" w:sz="12" w:space="0" w:color="auto"/>
            </w:tcBorders>
            <w:shd w:val="clear" w:color="auto" w:fill="auto"/>
            <w:noWrap/>
          </w:tcPr>
          <w:p w:rsidR="00CC607B" w:rsidRPr="00E907EB" w:rsidRDefault="00CC607B" w:rsidP="00246B26">
            <w:pPr>
              <w:spacing w:line="240" w:lineRule="auto"/>
              <w:contextualSpacing/>
              <w:jc w:val="left"/>
              <w:rPr>
                <w:rFonts w:cstheme="minorHAnsi"/>
                <w:color w:val="000000" w:themeColor="text1"/>
                <w:sz w:val="16"/>
                <w:szCs w:val="16"/>
                <w:highlight w:val="yellow"/>
                <w:lang w:val="en-US" w:eastAsia="es-ES"/>
              </w:rPr>
            </w:pPr>
            <w:r w:rsidRPr="006A361A">
              <w:rPr>
                <w:rFonts w:cstheme="minorHAnsi"/>
                <w:color w:val="000000" w:themeColor="text1"/>
                <w:sz w:val="16"/>
                <w:szCs w:val="16"/>
                <w:lang w:val="en-US"/>
              </w:rPr>
              <w:t>2585 ± 964</w:t>
            </w:r>
          </w:p>
        </w:tc>
        <w:tc>
          <w:tcPr>
            <w:tcW w:w="618" w:type="pct"/>
            <w:tcBorders>
              <w:bottom w:val="single" w:sz="12" w:space="0" w:color="auto"/>
            </w:tcBorders>
          </w:tcPr>
          <w:p w:rsidR="00CC607B" w:rsidRPr="00E907EB" w:rsidRDefault="00CC607B" w:rsidP="00246B26">
            <w:pPr>
              <w:spacing w:line="240" w:lineRule="auto"/>
              <w:contextualSpacing/>
              <w:jc w:val="left"/>
              <w:rPr>
                <w:rFonts w:cstheme="minorHAnsi"/>
                <w:color w:val="000000" w:themeColor="text1"/>
                <w:sz w:val="16"/>
                <w:szCs w:val="16"/>
                <w:highlight w:val="yellow"/>
                <w:lang w:val="en-US" w:eastAsia="es-ES"/>
              </w:rPr>
            </w:pPr>
            <w:r w:rsidRPr="006A361A">
              <w:rPr>
                <w:rFonts w:cstheme="minorHAnsi"/>
                <w:color w:val="000000" w:themeColor="text1"/>
                <w:sz w:val="16"/>
                <w:szCs w:val="16"/>
                <w:lang w:val="en-US"/>
              </w:rPr>
              <w:t>879.9 ± 130</w:t>
            </w:r>
          </w:p>
        </w:tc>
        <w:tc>
          <w:tcPr>
            <w:tcW w:w="618" w:type="pct"/>
            <w:tcBorders>
              <w:bottom w:val="single" w:sz="12" w:space="0" w:color="auto"/>
            </w:tcBorders>
            <w:shd w:val="clear" w:color="auto" w:fill="auto"/>
            <w:noWrap/>
          </w:tcPr>
          <w:p w:rsidR="00CC607B" w:rsidRPr="00E907EB" w:rsidRDefault="00CC607B" w:rsidP="00246B26">
            <w:pPr>
              <w:spacing w:line="240" w:lineRule="auto"/>
              <w:contextualSpacing/>
              <w:jc w:val="left"/>
              <w:rPr>
                <w:rFonts w:cstheme="minorHAnsi"/>
                <w:color w:val="000000" w:themeColor="text1"/>
                <w:sz w:val="16"/>
                <w:szCs w:val="16"/>
                <w:highlight w:val="yellow"/>
                <w:lang w:val="en-US" w:eastAsia="es-ES"/>
              </w:rPr>
            </w:pPr>
            <w:r w:rsidRPr="006A361A">
              <w:rPr>
                <w:rFonts w:cstheme="minorHAnsi"/>
                <w:color w:val="000000" w:themeColor="text1"/>
                <w:sz w:val="16"/>
                <w:szCs w:val="16"/>
                <w:lang w:val="en-US"/>
              </w:rPr>
              <w:t>3707 ± 735</w:t>
            </w:r>
          </w:p>
        </w:tc>
        <w:tc>
          <w:tcPr>
            <w:tcW w:w="618" w:type="pct"/>
            <w:tcBorders>
              <w:bottom w:val="single" w:sz="12" w:space="0" w:color="auto"/>
            </w:tcBorders>
            <w:shd w:val="clear" w:color="auto" w:fill="auto"/>
            <w:noWrap/>
          </w:tcPr>
          <w:p w:rsidR="00CC607B" w:rsidRPr="00E907EB" w:rsidRDefault="00CC607B" w:rsidP="00246B26">
            <w:pPr>
              <w:spacing w:line="240" w:lineRule="auto"/>
              <w:contextualSpacing/>
              <w:jc w:val="left"/>
              <w:rPr>
                <w:rFonts w:cstheme="minorHAnsi"/>
                <w:color w:val="000000" w:themeColor="text1"/>
                <w:sz w:val="16"/>
                <w:szCs w:val="16"/>
                <w:highlight w:val="yellow"/>
                <w:lang w:val="en-US" w:eastAsia="es-ES"/>
              </w:rPr>
            </w:pPr>
            <w:r w:rsidRPr="006A361A">
              <w:rPr>
                <w:rFonts w:cstheme="minorHAnsi"/>
                <w:color w:val="000000" w:themeColor="text1"/>
                <w:sz w:val="16"/>
                <w:szCs w:val="16"/>
                <w:lang w:val="en-US"/>
              </w:rPr>
              <w:t>528 ± 71.3</w:t>
            </w:r>
          </w:p>
        </w:tc>
        <w:tc>
          <w:tcPr>
            <w:tcW w:w="618" w:type="pct"/>
            <w:tcBorders>
              <w:bottom w:val="single" w:sz="12" w:space="0" w:color="auto"/>
            </w:tcBorders>
            <w:shd w:val="clear" w:color="auto" w:fill="auto"/>
            <w:noWrap/>
          </w:tcPr>
          <w:p w:rsidR="00CC607B" w:rsidRPr="00E907EB" w:rsidRDefault="00CC607B" w:rsidP="00246B26">
            <w:pPr>
              <w:spacing w:line="240" w:lineRule="auto"/>
              <w:contextualSpacing/>
              <w:jc w:val="left"/>
              <w:rPr>
                <w:rFonts w:cstheme="minorHAnsi"/>
                <w:color w:val="000000" w:themeColor="text1"/>
                <w:sz w:val="16"/>
                <w:szCs w:val="16"/>
                <w:highlight w:val="yellow"/>
                <w:lang w:val="en-US" w:eastAsia="es-ES"/>
              </w:rPr>
            </w:pPr>
            <w:r w:rsidRPr="006A361A">
              <w:rPr>
                <w:rFonts w:cstheme="minorHAnsi"/>
                <w:color w:val="000000" w:themeColor="text1"/>
                <w:sz w:val="16"/>
                <w:szCs w:val="16"/>
                <w:lang w:val="en-US"/>
              </w:rPr>
              <w:t>2280 ± 848</w:t>
            </w:r>
          </w:p>
        </w:tc>
        <w:tc>
          <w:tcPr>
            <w:tcW w:w="552" w:type="pct"/>
            <w:tcBorders>
              <w:bottom w:val="single" w:sz="12" w:space="0" w:color="auto"/>
            </w:tcBorders>
            <w:shd w:val="clear" w:color="auto" w:fill="auto"/>
            <w:noWrap/>
          </w:tcPr>
          <w:p w:rsidR="00CC607B" w:rsidRPr="006A361A" w:rsidRDefault="00CC607B" w:rsidP="00246B26">
            <w:pPr>
              <w:spacing w:line="240" w:lineRule="auto"/>
              <w:contextualSpacing/>
              <w:jc w:val="left"/>
              <w:rPr>
                <w:rFonts w:cstheme="minorHAnsi"/>
                <w:color w:val="000000" w:themeColor="text1"/>
                <w:sz w:val="16"/>
                <w:szCs w:val="16"/>
                <w:lang w:val="en-US" w:eastAsia="es-ES"/>
              </w:rPr>
            </w:pPr>
            <w:r w:rsidRPr="006A361A">
              <w:rPr>
                <w:rFonts w:cstheme="minorHAnsi"/>
                <w:color w:val="000000" w:themeColor="text1"/>
                <w:sz w:val="16"/>
                <w:szCs w:val="16"/>
                <w:lang w:val="en-US"/>
              </w:rPr>
              <w:t>474 ± 47.9</w:t>
            </w:r>
          </w:p>
        </w:tc>
      </w:tr>
    </w:tbl>
    <w:p w:rsidR="00CC607B" w:rsidRPr="006A361A" w:rsidRDefault="00CC607B" w:rsidP="00CC607B">
      <w:pPr>
        <w:rPr>
          <w:lang w:val="en-US" w:eastAsia="es-ES"/>
        </w:rPr>
      </w:pPr>
    </w:p>
    <w:p w:rsidR="00CC607B" w:rsidRPr="006A361A" w:rsidRDefault="00CC607B" w:rsidP="00CC607B">
      <w:pPr>
        <w:rPr>
          <w:lang w:val="en-US" w:eastAsia="es-ES"/>
        </w:rPr>
      </w:pPr>
    </w:p>
    <w:p w:rsidR="00CC607B" w:rsidRPr="006A361A" w:rsidRDefault="00CC607B" w:rsidP="00CC607B">
      <w:pPr>
        <w:rPr>
          <w:lang w:val="en-US"/>
        </w:rPr>
      </w:pPr>
    </w:p>
    <w:p w:rsidR="00CC607B" w:rsidRPr="006A361A" w:rsidRDefault="00CC607B" w:rsidP="00CC607B">
      <w:pPr>
        <w:rPr>
          <w:lang w:val="en-US"/>
        </w:rPr>
        <w:sectPr w:rsidR="00CC607B" w:rsidRPr="006A361A" w:rsidSect="007A5CCB">
          <w:pgSz w:w="16838" w:h="11906" w:orient="landscape"/>
          <w:pgMar w:top="1701" w:right="1417" w:bottom="1701" w:left="1417" w:header="708" w:footer="708" w:gutter="0"/>
          <w:cols w:space="708"/>
          <w:docGrid w:linePitch="360"/>
        </w:sectPr>
      </w:pPr>
    </w:p>
    <w:p w:rsidR="00CC607B" w:rsidRPr="006A361A" w:rsidRDefault="00CC607B" w:rsidP="00CC607B">
      <w:pPr>
        <w:pStyle w:val="Caption"/>
        <w:rPr>
          <w:color w:val="auto"/>
        </w:rPr>
      </w:pPr>
      <w:r w:rsidRPr="003B2278">
        <w:rPr>
          <w:color w:val="4472C4" w:themeColor="accent5"/>
        </w:rPr>
        <w:lastRenderedPageBreak/>
        <w:t xml:space="preserve">Supplementary table </w:t>
      </w:r>
      <w:r w:rsidRPr="003B2278">
        <w:rPr>
          <w:color w:val="4472C4" w:themeColor="accent5"/>
        </w:rPr>
        <w:fldChar w:fldCharType="begin"/>
      </w:r>
      <w:r w:rsidRPr="003B2278">
        <w:rPr>
          <w:color w:val="4472C4" w:themeColor="accent5"/>
        </w:rPr>
        <w:instrText xml:space="preserve"> SEQ Supplementary_table \* ARABIC </w:instrText>
      </w:r>
      <w:r w:rsidRPr="003B2278">
        <w:rPr>
          <w:color w:val="4472C4" w:themeColor="accent5"/>
        </w:rPr>
        <w:fldChar w:fldCharType="separate"/>
      </w:r>
      <w:r w:rsidRPr="003B2278">
        <w:rPr>
          <w:noProof/>
          <w:color w:val="4472C4" w:themeColor="accent5"/>
        </w:rPr>
        <w:t>2</w:t>
      </w:r>
      <w:r w:rsidRPr="003B2278">
        <w:rPr>
          <w:color w:val="4472C4" w:themeColor="accent5"/>
        </w:rPr>
        <w:fldChar w:fldCharType="end"/>
      </w:r>
      <w:r w:rsidRPr="006A361A">
        <w:rPr>
          <w:color w:val="auto"/>
        </w:rPr>
        <w:t xml:space="preserve">. Heart metabolite correlation with animal longevity. </w:t>
      </w:r>
      <w:r w:rsidRPr="006A361A">
        <w:rPr>
          <w:b w:val="0"/>
          <w:bCs/>
          <w:color w:val="auto"/>
        </w:rPr>
        <w:t>Pearson r values are reported. Pagels λ value measures phylogenetic signal for each individual metabolite. Phylogenetic generalized least squares (PGLS) regression between heart metabolites and longevity corrects for phylogenetic relationships. Minimum signification level was set at p&lt;0.05. All metabolites were log-transformed to accomplish the assumptions of normality.</w:t>
      </w:r>
      <w:r w:rsidRPr="00175770">
        <w:rPr>
          <w:rFonts w:ascii="Calibri" w:hAnsi="Calibri" w:cs="Calibri"/>
          <w:b w:val="0"/>
          <w:bCs/>
          <w:iCs w:val="0"/>
          <w:color w:val="auto"/>
          <w:lang w:eastAsia="es-ES"/>
        </w:rPr>
        <w:t xml:space="preserve"> </w:t>
      </w:r>
      <w:r>
        <w:rPr>
          <w:rFonts w:ascii="Calibri" w:hAnsi="Calibri" w:cs="Calibri"/>
          <w:b w:val="0"/>
          <w:bCs/>
          <w:iCs w:val="0"/>
          <w:color w:val="auto"/>
          <w:lang w:eastAsia="es-ES"/>
        </w:rPr>
        <w:t xml:space="preserve">Glutathione (GSH); </w:t>
      </w:r>
      <w:r w:rsidRPr="00175770">
        <w:rPr>
          <w:b w:val="0"/>
        </w:rPr>
        <w:t>pyridoxal 5’ phosphate</w:t>
      </w:r>
      <w:r>
        <w:rPr>
          <w:rFonts w:ascii="Calibri" w:hAnsi="Calibri" w:cs="Calibri"/>
          <w:b w:val="0"/>
          <w:bCs/>
          <w:iCs w:val="0"/>
          <w:color w:val="auto"/>
          <w:lang w:eastAsia="es-ES"/>
        </w:rPr>
        <w:t xml:space="preserve"> (PLP);</w:t>
      </w:r>
      <w:r w:rsidRPr="00175770">
        <w:rPr>
          <w:rFonts w:ascii="Calibri" w:hAnsi="Calibri" w:cs="Calibri"/>
          <w:b w:val="0"/>
          <w:bCs/>
          <w:iCs w:val="0"/>
          <w:color w:val="auto"/>
          <w:lang w:eastAsia="es-ES"/>
        </w:rPr>
        <w:t xml:space="preserve"> S-adenosylmethionine (SAM)</w:t>
      </w:r>
      <w:r>
        <w:rPr>
          <w:rFonts w:ascii="Calibri" w:hAnsi="Calibri" w:cs="Calibri"/>
          <w:b w:val="0"/>
          <w:bCs/>
          <w:iCs w:val="0"/>
          <w:color w:val="auto"/>
          <w:lang w:eastAsia="es-ES"/>
        </w:rPr>
        <w:t>;</w:t>
      </w:r>
      <w:r w:rsidRPr="00175770">
        <w:rPr>
          <w:rFonts w:ascii="Calibri" w:hAnsi="Calibri" w:cs="Calibri"/>
          <w:b w:val="0"/>
          <w:bCs/>
          <w:iCs w:val="0"/>
          <w:color w:val="auto"/>
          <w:lang w:eastAsia="es-ES"/>
        </w:rPr>
        <w:t xml:space="preserve"> S-adenosylhomocysteine (SAH)</w:t>
      </w:r>
      <w:r>
        <w:rPr>
          <w:rFonts w:ascii="Calibri" w:hAnsi="Calibri" w:cs="Calibri"/>
          <w:b w:val="0"/>
          <w:bCs/>
          <w:iCs w:val="0"/>
          <w:color w:val="auto"/>
          <w:lang w:eastAsia="es-ES"/>
        </w:rPr>
        <w:t>.</w:t>
      </w:r>
      <w:r w:rsidRPr="00175770">
        <w:rPr>
          <w:rFonts w:ascii="Calibri" w:hAnsi="Calibri" w:cs="Calibri"/>
          <w:b w:val="0"/>
          <w:bCs/>
          <w:iCs w:val="0"/>
          <w:color w:val="auto"/>
          <w:lang w:eastAsia="es-ES"/>
        </w:rPr>
        <w:t xml:space="preserve"> </w:t>
      </w:r>
      <w:r>
        <w:rPr>
          <w:rFonts w:ascii="Calibri" w:hAnsi="Calibri" w:cs="Calibri"/>
          <w:b w:val="0"/>
          <w:bCs/>
          <w:iCs w:val="0"/>
          <w:color w:val="auto"/>
          <w:lang w:eastAsia="es-ES"/>
        </w:rPr>
        <w:t xml:space="preserve"> </w:t>
      </w:r>
    </w:p>
    <w:tbl>
      <w:tblPr>
        <w:tblW w:w="0" w:type="auto"/>
        <w:tblCellMar>
          <w:left w:w="70" w:type="dxa"/>
          <w:right w:w="70" w:type="dxa"/>
        </w:tblCellMar>
        <w:tblLook w:val="04A0" w:firstRow="1" w:lastRow="0" w:firstColumn="1" w:lastColumn="0" w:noHBand="0" w:noVBand="1"/>
      </w:tblPr>
      <w:tblGrid>
        <w:gridCol w:w="1306"/>
        <w:gridCol w:w="786"/>
        <w:gridCol w:w="696"/>
        <w:gridCol w:w="146"/>
        <w:gridCol w:w="394"/>
        <w:gridCol w:w="596"/>
      </w:tblGrid>
      <w:tr w:rsidR="00CC607B" w:rsidRPr="006A361A" w:rsidTr="00246B26">
        <w:trPr>
          <w:trHeight w:val="288"/>
        </w:trPr>
        <w:tc>
          <w:tcPr>
            <w:tcW w:w="0" w:type="auto"/>
            <w:tcBorders>
              <w:top w:val="nil"/>
              <w:left w:val="nil"/>
              <w:bottom w:val="nil"/>
              <w:right w:val="nil"/>
            </w:tcBorders>
            <w:shd w:val="clear" w:color="auto" w:fill="auto"/>
            <w:noWrap/>
            <w:vAlign w:val="center"/>
            <w:hideMark/>
          </w:tcPr>
          <w:p w:rsidR="00CC607B" w:rsidRPr="006A361A" w:rsidRDefault="00CC607B" w:rsidP="00246B26">
            <w:pPr>
              <w:spacing w:line="240" w:lineRule="auto"/>
              <w:jc w:val="left"/>
              <w:rPr>
                <w:rFonts w:cstheme="minorHAnsi"/>
                <w:sz w:val="20"/>
                <w:szCs w:val="20"/>
                <w:lang w:val="en-US" w:eastAsia="es-ES"/>
              </w:rPr>
            </w:pPr>
          </w:p>
        </w:tc>
        <w:tc>
          <w:tcPr>
            <w:tcW w:w="0" w:type="auto"/>
            <w:gridSpan w:val="2"/>
            <w:tcBorders>
              <w:top w:val="nil"/>
              <w:left w:val="nil"/>
              <w:bottom w:val="single" w:sz="12" w:space="0" w:color="auto"/>
              <w:right w:val="nil"/>
            </w:tcBorders>
            <w:vAlign w:val="center"/>
          </w:tcPr>
          <w:p w:rsidR="00CC607B" w:rsidRPr="006A361A" w:rsidRDefault="00CC607B" w:rsidP="00246B26">
            <w:pPr>
              <w:spacing w:line="240" w:lineRule="auto"/>
              <w:jc w:val="left"/>
              <w:rPr>
                <w:rFonts w:cstheme="minorHAnsi"/>
                <w:b/>
                <w:bCs/>
                <w:sz w:val="20"/>
                <w:szCs w:val="20"/>
                <w:lang w:val="en-US"/>
              </w:rPr>
            </w:pPr>
            <w:r w:rsidRPr="006A361A">
              <w:rPr>
                <w:rFonts w:cstheme="minorHAnsi"/>
                <w:b/>
                <w:bCs/>
                <w:sz w:val="20"/>
                <w:szCs w:val="20"/>
                <w:lang w:val="en-US"/>
              </w:rPr>
              <w:t>Pearson</w:t>
            </w:r>
          </w:p>
        </w:tc>
        <w:tc>
          <w:tcPr>
            <w:tcW w:w="0" w:type="auto"/>
            <w:tcBorders>
              <w:top w:val="nil"/>
              <w:left w:val="nil"/>
              <w:bottom w:val="single" w:sz="12" w:space="0" w:color="auto"/>
              <w:right w:val="nil"/>
            </w:tcBorders>
            <w:vAlign w:val="center"/>
          </w:tcPr>
          <w:p w:rsidR="00CC607B" w:rsidRPr="006A361A" w:rsidRDefault="00CC607B" w:rsidP="00246B26">
            <w:pPr>
              <w:spacing w:line="240" w:lineRule="auto"/>
              <w:jc w:val="left"/>
              <w:rPr>
                <w:rFonts w:cstheme="minorHAnsi"/>
                <w:b/>
                <w:bCs/>
                <w:sz w:val="20"/>
                <w:szCs w:val="20"/>
                <w:lang w:val="en-US"/>
              </w:rPr>
            </w:pPr>
          </w:p>
        </w:tc>
        <w:tc>
          <w:tcPr>
            <w:tcW w:w="0" w:type="auto"/>
            <w:gridSpan w:val="2"/>
            <w:tcBorders>
              <w:top w:val="nil"/>
              <w:left w:val="nil"/>
              <w:bottom w:val="single" w:sz="12" w:space="0" w:color="auto"/>
              <w:right w:val="nil"/>
            </w:tcBorders>
            <w:vAlign w:val="center"/>
          </w:tcPr>
          <w:p w:rsidR="00CC607B" w:rsidRPr="006A361A" w:rsidRDefault="00CC607B" w:rsidP="00246B26">
            <w:pPr>
              <w:spacing w:line="240" w:lineRule="auto"/>
              <w:jc w:val="left"/>
              <w:rPr>
                <w:rFonts w:cstheme="minorHAnsi"/>
                <w:b/>
                <w:bCs/>
                <w:sz w:val="20"/>
                <w:szCs w:val="20"/>
                <w:lang w:val="en-US" w:eastAsia="es-ES"/>
              </w:rPr>
            </w:pPr>
            <w:r w:rsidRPr="006A361A">
              <w:rPr>
                <w:rFonts w:cstheme="minorHAnsi"/>
                <w:b/>
                <w:bCs/>
                <w:sz w:val="20"/>
                <w:szCs w:val="20"/>
                <w:lang w:val="en-US" w:eastAsia="es-ES"/>
              </w:rPr>
              <w:t>PGLS</w:t>
            </w:r>
          </w:p>
        </w:tc>
      </w:tr>
      <w:tr w:rsidR="00CC607B" w:rsidRPr="006A361A" w:rsidTr="00246B26">
        <w:trPr>
          <w:trHeight w:val="288"/>
        </w:trPr>
        <w:tc>
          <w:tcPr>
            <w:tcW w:w="0" w:type="auto"/>
            <w:tcBorders>
              <w:top w:val="nil"/>
              <w:left w:val="nil"/>
              <w:bottom w:val="single" w:sz="4" w:space="0" w:color="auto"/>
              <w:right w:val="nil"/>
            </w:tcBorders>
            <w:shd w:val="clear" w:color="auto" w:fill="auto"/>
            <w:noWrap/>
            <w:vAlign w:val="center"/>
          </w:tcPr>
          <w:p w:rsidR="00CC607B" w:rsidRPr="006A361A" w:rsidRDefault="00CC607B" w:rsidP="00246B26">
            <w:pPr>
              <w:spacing w:line="240" w:lineRule="auto"/>
              <w:jc w:val="left"/>
              <w:rPr>
                <w:rFonts w:cstheme="minorHAnsi"/>
                <w:sz w:val="20"/>
                <w:szCs w:val="20"/>
                <w:lang w:val="en-US" w:eastAsia="es-ES"/>
              </w:rPr>
            </w:pPr>
          </w:p>
        </w:tc>
        <w:tc>
          <w:tcPr>
            <w:tcW w:w="0" w:type="auto"/>
            <w:tcBorders>
              <w:top w:val="single" w:sz="12" w:space="0" w:color="auto"/>
              <w:left w:val="nil"/>
              <w:bottom w:val="single" w:sz="4" w:space="0" w:color="auto"/>
              <w:right w:val="nil"/>
            </w:tcBorders>
            <w:vAlign w:val="center"/>
          </w:tcPr>
          <w:p w:rsidR="00CC607B" w:rsidRPr="006A361A" w:rsidRDefault="00CC607B" w:rsidP="00246B26">
            <w:pPr>
              <w:spacing w:line="240" w:lineRule="auto"/>
              <w:jc w:val="left"/>
              <w:rPr>
                <w:rFonts w:cstheme="minorHAnsi"/>
                <w:b/>
                <w:bCs/>
                <w:sz w:val="20"/>
                <w:szCs w:val="20"/>
                <w:lang w:val="en-US" w:eastAsia="es-ES"/>
              </w:rPr>
            </w:pPr>
            <w:r w:rsidRPr="006A361A">
              <w:rPr>
                <w:rFonts w:cstheme="minorHAnsi"/>
                <w:b/>
                <w:bCs/>
                <w:i/>
                <w:iCs/>
                <w:sz w:val="20"/>
                <w:szCs w:val="20"/>
                <w:lang w:val="en-US" w:eastAsia="es-ES"/>
              </w:rPr>
              <w:t>r</w:t>
            </w:r>
            <w:r w:rsidRPr="006A361A">
              <w:rPr>
                <w:rFonts w:cstheme="minorHAnsi"/>
                <w:b/>
                <w:bCs/>
                <w:sz w:val="20"/>
                <w:szCs w:val="20"/>
                <w:lang w:val="en-US" w:eastAsia="es-ES"/>
              </w:rPr>
              <w:t xml:space="preserve"> values</w:t>
            </w:r>
          </w:p>
        </w:tc>
        <w:tc>
          <w:tcPr>
            <w:tcW w:w="0" w:type="auto"/>
            <w:tcBorders>
              <w:top w:val="single" w:sz="12" w:space="0" w:color="auto"/>
              <w:left w:val="nil"/>
              <w:bottom w:val="single" w:sz="4" w:space="0" w:color="auto"/>
              <w:right w:val="nil"/>
            </w:tcBorders>
            <w:vAlign w:val="center"/>
          </w:tcPr>
          <w:p w:rsidR="00CC607B" w:rsidRPr="006A361A" w:rsidRDefault="00CC607B" w:rsidP="00246B26">
            <w:pPr>
              <w:spacing w:line="240" w:lineRule="auto"/>
              <w:jc w:val="left"/>
              <w:rPr>
                <w:rFonts w:cstheme="minorHAnsi"/>
                <w:b/>
                <w:bCs/>
                <w:sz w:val="20"/>
                <w:szCs w:val="20"/>
                <w:lang w:val="en-US" w:eastAsia="es-ES"/>
              </w:rPr>
            </w:pPr>
            <w:r w:rsidRPr="006A361A">
              <w:rPr>
                <w:rFonts w:cstheme="minorHAnsi"/>
                <w:b/>
                <w:bCs/>
                <w:sz w:val="20"/>
                <w:szCs w:val="20"/>
                <w:lang w:val="en-US" w:eastAsia="es-ES"/>
              </w:rPr>
              <w:t>Sig.</w:t>
            </w:r>
          </w:p>
        </w:tc>
        <w:tc>
          <w:tcPr>
            <w:tcW w:w="0" w:type="auto"/>
            <w:tcBorders>
              <w:top w:val="single" w:sz="12" w:space="0" w:color="auto"/>
              <w:left w:val="nil"/>
              <w:bottom w:val="single" w:sz="4" w:space="0" w:color="auto"/>
              <w:right w:val="nil"/>
            </w:tcBorders>
            <w:vAlign w:val="center"/>
          </w:tcPr>
          <w:p w:rsidR="00CC607B" w:rsidRPr="006A361A" w:rsidRDefault="00CC607B" w:rsidP="00246B26">
            <w:pPr>
              <w:spacing w:line="240" w:lineRule="auto"/>
              <w:jc w:val="left"/>
              <w:rPr>
                <w:rFonts w:cstheme="minorHAnsi"/>
                <w:b/>
                <w:bCs/>
                <w:sz w:val="20"/>
                <w:szCs w:val="20"/>
                <w:lang w:val="en-US" w:eastAsia="es-ES"/>
              </w:rPr>
            </w:pPr>
          </w:p>
        </w:tc>
        <w:tc>
          <w:tcPr>
            <w:tcW w:w="0" w:type="auto"/>
            <w:tcBorders>
              <w:top w:val="single" w:sz="12" w:space="0" w:color="auto"/>
              <w:left w:val="nil"/>
              <w:bottom w:val="single" w:sz="4" w:space="0" w:color="auto"/>
              <w:right w:val="nil"/>
            </w:tcBorders>
            <w:vAlign w:val="center"/>
          </w:tcPr>
          <w:p w:rsidR="00CC607B" w:rsidRPr="006A361A" w:rsidRDefault="00CC607B" w:rsidP="00246B26">
            <w:pPr>
              <w:spacing w:line="240" w:lineRule="auto"/>
              <w:jc w:val="left"/>
              <w:rPr>
                <w:rFonts w:cstheme="minorHAnsi"/>
                <w:b/>
                <w:bCs/>
                <w:sz w:val="20"/>
                <w:szCs w:val="20"/>
                <w:lang w:val="en-US" w:eastAsia="es-ES"/>
              </w:rPr>
            </w:pPr>
            <w:r w:rsidRPr="006A361A">
              <w:rPr>
                <w:rFonts w:cstheme="minorHAnsi"/>
                <w:b/>
                <w:bCs/>
                <w:sz w:val="20"/>
                <w:szCs w:val="20"/>
                <w:lang w:val="en-US"/>
              </w:rPr>
              <w:t>λ</w:t>
            </w:r>
          </w:p>
        </w:tc>
        <w:tc>
          <w:tcPr>
            <w:tcW w:w="0" w:type="auto"/>
            <w:tcBorders>
              <w:top w:val="single" w:sz="12" w:space="0" w:color="auto"/>
              <w:left w:val="nil"/>
              <w:bottom w:val="single" w:sz="4" w:space="0" w:color="auto"/>
              <w:right w:val="nil"/>
            </w:tcBorders>
            <w:vAlign w:val="center"/>
          </w:tcPr>
          <w:p w:rsidR="00CC607B" w:rsidRPr="006A361A" w:rsidRDefault="00CC607B" w:rsidP="00246B26">
            <w:pPr>
              <w:spacing w:line="240" w:lineRule="auto"/>
              <w:jc w:val="left"/>
              <w:rPr>
                <w:rFonts w:cstheme="minorHAnsi"/>
                <w:b/>
                <w:bCs/>
                <w:sz w:val="20"/>
                <w:szCs w:val="20"/>
                <w:lang w:val="en-US" w:eastAsia="es-ES"/>
              </w:rPr>
            </w:pPr>
            <w:r w:rsidRPr="006A361A">
              <w:rPr>
                <w:rFonts w:cstheme="minorHAnsi"/>
                <w:b/>
                <w:bCs/>
                <w:sz w:val="20"/>
                <w:szCs w:val="20"/>
                <w:lang w:val="en-US" w:eastAsia="es-ES"/>
              </w:rPr>
              <w:t>Sig.</w:t>
            </w:r>
          </w:p>
        </w:tc>
      </w:tr>
      <w:tr w:rsidR="00CC607B" w:rsidRPr="006A361A" w:rsidTr="00246B26">
        <w:trPr>
          <w:trHeight w:val="288"/>
        </w:trPr>
        <w:tc>
          <w:tcPr>
            <w:tcW w:w="0" w:type="auto"/>
            <w:gridSpan w:val="6"/>
            <w:tcBorders>
              <w:top w:val="single" w:sz="4" w:space="0" w:color="auto"/>
              <w:left w:val="nil"/>
              <w:bottom w:val="single" w:sz="4" w:space="0" w:color="auto"/>
              <w:right w:val="nil"/>
            </w:tcBorders>
            <w:shd w:val="clear" w:color="auto" w:fill="auto"/>
            <w:noWrap/>
            <w:vAlign w:val="center"/>
          </w:tcPr>
          <w:p w:rsidR="00CC607B" w:rsidRPr="006A361A" w:rsidRDefault="00CC607B" w:rsidP="00246B26">
            <w:pPr>
              <w:spacing w:line="240" w:lineRule="auto"/>
              <w:jc w:val="left"/>
              <w:rPr>
                <w:rFonts w:cstheme="minorHAnsi"/>
                <w:b/>
                <w:bCs/>
                <w:sz w:val="20"/>
                <w:szCs w:val="20"/>
                <w:lang w:val="en-US" w:eastAsia="es-ES"/>
              </w:rPr>
            </w:pPr>
            <w:r w:rsidRPr="006A361A">
              <w:rPr>
                <w:rFonts w:cstheme="minorHAnsi"/>
                <w:b/>
                <w:bCs/>
                <w:sz w:val="20"/>
                <w:szCs w:val="20"/>
                <w:lang w:val="en-US" w:eastAsia="es-ES"/>
              </w:rPr>
              <w:t>Methionine metabolism</w:t>
            </w:r>
          </w:p>
        </w:tc>
      </w:tr>
      <w:tr w:rsidR="00CC607B" w:rsidRPr="006A361A" w:rsidTr="00246B26">
        <w:trPr>
          <w:trHeight w:val="288"/>
        </w:trPr>
        <w:tc>
          <w:tcPr>
            <w:tcW w:w="0" w:type="auto"/>
            <w:tcBorders>
              <w:top w:val="single" w:sz="4" w:space="0" w:color="auto"/>
              <w:left w:val="nil"/>
              <w:bottom w:val="nil"/>
              <w:right w:val="nil"/>
            </w:tcBorders>
            <w:shd w:val="clear" w:color="auto" w:fill="auto"/>
            <w:noWrap/>
            <w:vAlign w:val="center"/>
            <w:hideMark/>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Betaine</w:t>
            </w:r>
          </w:p>
        </w:tc>
        <w:tc>
          <w:tcPr>
            <w:tcW w:w="0" w:type="auto"/>
            <w:tcBorders>
              <w:top w:val="single" w:sz="4" w:space="0" w:color="auto"/>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0.06</w:t>
            </w:r>
          </w:p>
        </w:tc>
        <w:tc>
          <w:tcPr>
            <w:tcW w:w="0" w:type="auto"/>
            <w:tcBorders>
              <w:top w:val="single" w:sz="4" w:space="0" w:color="auto"/>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0.69</w:t>
            </w:r>
          </w:p>
        </w:tc>
        <w:tc>
          <w:tcPr>
            <w:tcW w:w="0" w:type="auto"/>
            <w:tcBorders>
              <w:top w:val="single" w:sz="4" w:space="0" w:color="auto"/>
              <w:left w:val="nil"/>
              <w:bottom w:val="nil"/>
              <w:right w:val="nil"/>
            </w:tcBorders>
            <w:vAlign w:val="center"/>
          </w:tcPr>
          <w:p w:rsidR="00CC607B" w:rsidRPr="00D52A7F" w:rsidRDefault="00CC607B" w:rsidP="00246B26">
            <w:pPr>
              <w:spacing w:line="240" w:lineRule="auto"/>
              <w:jc w:val="left"/>
              <w:rPr>
                <w:rFonts w:cstheme="minorHAnsi"/>
                <w:sz w:val="20"/>
                <w:szCs w:val="20"/>
                <w:lang w:val="en-US"/>
              </w:rPr>
            </w:pPr>
          </w:p>
        </w:tc>
        <w:tc>
          <w:tcPr>
            <w:tcW w:w="0" w:type="auto"/>
            <w:tcBorders>
              <w:top w:val="single" w:sz="4" w:space="0" w:color="auto"/>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0</w:t>
            </w:r>
          </w:p>
        </w:tc>
        <w:tc>
          <w:tcPr>
            <w:tcW w:w="0" w:type="auto"/>
            <w:tcBorders>
              <w:top w:val="single" w:sz="4" w:space="0" w:color="auto"/>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0.834</w:t>
            </w:r>
          </w:p>
        </w:tc>
      </w:tr>
      <w:tr w:rsidR="00CC607B" w:rsidRPr="006A361A" w:rsidTr="00246B26">
        <w:trPr>
          <w:trHeight w:val="288"/>
        </w:trPr>
        <w:tc>
          <w:tcPr>
            <w:tcW w:w="0" w:type="auto"/>
            <w:tcBorders>
              <w:top w:val="nil"/>
              <w:left w:val="nil"/>
              <w:bottom w:val="nil"/>
              <w:right w:val="nil"/>
            </w:tcBorders>
            <w:shd w:val="clear" w:color="auto" w:fill="auto"/>
            <w:noWrap/>
            <w:vAlign w:val="center"/>
            <w:hideMark/>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Cystathionine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-0.54</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&lt;0.001</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0.7</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0.070</w:t>
            </w:r>
          </w:p>
        </w:tc>
      </w:tr>
      <w:tr w:rsidR="00CC607B" w:rsidRPr="006A361A" w:rsidTr="00246B26">
        <w:trPr>
          <w:trHeight w:val="288"/>
        </w:trPr>
        <w:tc>
          <w:tcPr>
            <w:tcW w:w="0" w:type="auto"/>
            <w:tcBorders>
              <w:top w:val="nil"/>
              <w:left w:val="nil"/>
              <w:bottom w:val="nil"/>
              <w:right w:val="nil"/>
            </w:tcBorders>
            <w:shd w:val="clear" w:color="auto" w:fill="auto"/>
            <w:noWrap/>
            <w:vAlign w:val="center"/>
            <w:hideMark/>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Cysteine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-0.19</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0.214</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1</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0.667</w:t>
            </w:r>
          </w:p>
        </w:tc>
      </w:tr>
      <w:tr w:rsidR="00CC607B" w:rsidRPr="006A361A" w:rsidTr="00246B26">
        <w:trPr>
          <w:trHeight w:val="288"/>
        </w:trPr>
        <w:tc>
          <w:tcPr>
            <w:tcW w:w="0" w:type="auto"/>
            <w:tcBorders>
              <w:top w:val="nil"/>
              <w:left w:val="nil"/>
              <w:bottom w:val="nil"/>
              <w:right w:val="nil"/>
            </w:tcBorders>
            <w:shd w:val="clear" w:color="auto" w:fill="auto"/>
            <w:noWrap/>
            <w:vAlign w:val="center"/>
            <w:hideMark/>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GSH</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-0.2</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0.196</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0.7</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0.590</w:t>
            </w:r>
          </w:p>
        </w:tc>
      </w:tr>
      <w:tr w:rsidR="00CC607B" w:rsidRPr="006A361A" w:rsidTr="00246B26">
        <w:trPr>
          <w:trHeight w:val="288"/>
        </w:trPr>
        <w:tc>
          <w:tcPr>
            <w:tcW w:w="0" w:type="auto"/>
            <w:tcBorders>
              <w:top w:val="nil"/>
              <w:left w:val="nil"/>
              <w:bottom w:val="nil"/>
              <w:right w:val="nil"/>
            </w:tcBorders>
            <w:shd w:val="clear" w:color="auto" w:fill="auto"/>
            <w:noWrap/>
            <w:vAlign w:val="center"/>
            <w:hideMark/>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Homocysteine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-0.28</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0.131</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1</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0.391</w:t>
            </w:r>
          </w:p>
        </w:tc>
      </w:tr>
      <w:tr w:rsidR="00CC607B" w:rsidRPr="006A361A" w:rsidTr="00246B26">
        <w:trPr>
          <w:trHeight w:val="288"/>
        </w:trPr>
        <w:tc>
          <w:tcPr>
            <w:tcW w:w="0" w:type="auto"/>
            <w:tcBorders>
              <w:top w:val="nil"/>
              <w:left w:val="nil"/>
              <w:bottom w:val="nil"/>
              <w:right w:val="nil"/>
            </w:tcBorders>
            <w:shd w:val="clear" w:color="auto" w:fill="auto"/>
            <w:noWrap/>
            <w:vAlign w:val="center"/>
            <w:hideMark/>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Methionine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-0.75</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&lt;0.001</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0.5</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0.008</w:t>
            </w:r>
          </w:p>
        </w:tc>
      </w:tr>
      <w:tr w:rsidR="00CC607B" w:rsidRPr="006A361A" w:rsidTr="00246B26">
        <w:trPr>
          <w:trHeight w:val="288"/>
        </w:trPr>
        <w:tc>
          <w:tcPr>
            <w:tcW w:w="0" w:type="auto"/>
            <w:tcBorders>
              <w:top w:val="nil"/>
              <w:left w:val="nil"/>
              <w:bottom w:val="nil"/>
              <w:right w:val="nil"/>
            </w:tcBorders>
            <w:shd w:val="clear" w:color="auto" w:fill="auto"/>
            <w:noWrap/>
            <w:vAlign w:val="center"/>
            <w:hideMark/>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Pyridoxal</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-0.56</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&lt;0.001</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1</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0.371</w:t>
            </w:r>
          </w:p>
        </w:tc>
      </w:tr>
      <w:tr w:rsidR="00CC607B" w:rsidRPr="006A361A" w:rsidTr="00246B26">
        <w:trPr>
          <w:trHeight w:val="288"/>
        </w:trPr>
        <w:tc>
          <w:tcPr>
            <w:tcW w:w="0" w:type="auto"/>
            <w:tcBorders>
              <w:top w:val="nil"/>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PLP</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-0.8</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&lt;0.001</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rPr>
            </w:pPr>
            <w:r w:rsidRPr="00D52A7F">
              <w:rPr>
                <w:rFonts w:cstheme="minorHAnsi"/>
                <w:sz w:val="20"/>
                <w:szCs w:val="20"/>
                <w:lang w:val="en-US"/>
              </w:rPr>
              <w:t>1</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rPr>
            </w:pPr>
            <w:r w:rsidRPr="00D52A7F">
              <w:rPr>
                <w:rFonts w:cstheme="minorHAnsi"/>
                <w:sz w:val="20"/>
                <w:szCs w:val="20"/>
                <w:lang w:val="en-US"/>
              </w:rPr>
              <w:t>0.001</w:t>
            </w:r>
          </w:p>
        </w:tc>
      </w:tr>
      <w:tr w:rsidR="00CC607B" w:rsidRPr="006A361A" w:rsidTr="00246B26">
        <w:trPr>
          <w:trHeight w:val="288"/>
        </w:trPr>
        <w:tc>
          <w:tcPr>
            <w:tcW w:w="0" w:type="auto"/>
            <w:tcBorders>
              <w:top w:val="nil"/>
              <w:left w:val="nil"/>
              <w:bottom w:val="nil"/>
              <w:right w:val="nil"/>
            </w:tcBorders>
            <w:shd w:val="clear" w:color="auto" w:fill="auto"/>
            <w:noWrap/>
            <w:vAlign w:val="center"/>
            <w:hideMark/>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Pyridoxamine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0.13</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0.382</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1</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0.724</w:t>
            </w:r>
          </w:p>
        </w:tc>
      </w:tr>
      <w:tr w:rsidR="00CC607B" w:rsidRPr="006A361A" w:rsidTr="00246B26">
        <w:trPr>
          <w:trHeight w:val="288"/>
        </w:trPr>
        <w:tc>
          <w:tcPr>
            <w:tcW w:w="0" w:type="auto"/>
            <w:tcBorders>
              <w:top w:val="nil"/>
              <w:left w:val="nil"/>
              <w:bottom w:val="nil"/>
              <w:right w:val="nil"/>
            </w:tcBorders>
            <w:shd w:val="clear" w:color="auto" w:fill="auto"/>
            <w:noWrap/>
            <w:vAlign w:val="center"/>
            <w:hideMark/>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SAH</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0.37</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0.014</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1</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0.754</w:t>
            </w:r>
          </w:p>
        </w:tc>
      </w:tr>
      <w:tr w:rsidR="00CC607B" w:rsidRPr="006A361A" w:rsidTr="00246B26">
        <w:trPr>
          <w:trHeight w:val="288"/>
        </w:trPr>
        <w:tc>
          <w:tcPr>
            <w:tcW w:w="0" w:type="auto"/>
            <w:tcBorders>
              <w:top w:val="nil"/>
              <w:left w:val="nil"/>
              <w:bottom w:val="nil"/>
              <w:right w:val="nil"/>
            </w:tcBorders>
            <w:shd w:val="clear" w:color="auto" w:fill="auto"/>
            <w:noWrap/>
            <w:vAlign w:val="center"/>
            <w:hideMark/>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SAM</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-0.55</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&lt;0.001</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1</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0.089</w:t>
            </w:r>
          </w:p>
        </w:tc>
      </w:tr>
      <w:tr w:rsidR="00CC607B" w:rsidRPr="006A361A" w:rsidTr="00246B26">
        <w:trPr>
          <w:trHeight w:val="288"/>
        </w:trPr>
        <w:tc>
          <w:tcPr>
            <w:tcW w:w="0" w:type="auto"/>
            <w:tcBorders>
              <w:top w:val="nil"/>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Spermidine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-0.67</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&lt;0.001</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rPr>
            </w:pPr>
            <w:r w:rsidRPr="00D52A7F">
              <w:rPr>
                <w:rFonts w:cstheme="minorHAnsi"/>
                <w:sz w:val="20"/>
                <w:szCs w:val="20"/>
                <w:lang w:val="en-US"/>
              </w:rPr>
              <w:t>1</w:t>
            </w:r>
          </w:p>
        </w:tc>
        <w:tc>
          <w:tcPr>
            <w:tcW w:w="0" w:type="auto"/>
            <w:tcBorders>
              <w:top w:val="nil"/>
              <w:left w:val="nil"/>
              <w:bottom w:val="nil"/>
              <w:right w:val="nil"/>
            </w:tcBorders>
            <w:vAlign w:val="center"/>
          </w:tcPr>
          <w:p w:rsidR="00CC607B" w:rsidRPr="00D52A7F" w:rsidRDefault="00CC607B" w:rsidP="00246B26">
            <w:pPr>
              <w:spacing w:line="240" w:lineRule="auto"/>
              <w:jc w:val="left"/>
              <w:rPr>
                <w:rFonts w:cstheme="minorHAnsi"/>
                <w:sz w:val="20"/>
                <w:szCs w:val="20"/>
                <w:lang w:val="en-US"/>
              </w:rPr>
            </w:pPr>
            <w:r w:rsidRPr="00D52A7F">
              <w:rPr>
                <w:rFonts w:cstheme="minorHAnsi"/>
                <w:sz w:val="20"/>
                <w:szCs w:val="20"/>
                <w:lang w:val="en-US"/>
              </w:rPr>
              <w:t>0.287</w:t>
            </w:r>
          </w:p>
        </w:tc>
      </w:tr>
      <w:tr w:rsidR="00CC607B" w:rsidRPr="006A361A" w:rsidTr="00246B26">
        <w:trPr>
          <w:trHeight w:val="288"/>
        </w:trPr>
        <w:tc>
          <w:tcPr>
            <w:tcW w:w="0" w:type="auto"/>
            <w:tcBorders>
              <w:top w:val="nil"/>
              <w:left w:val="nil"/>
              <w:bottom w:val="single" w:sz="4" w:space="0" w:color="auto"/>
              <w:right w:val="nil"/>
            </w:tcBorders>
            <w:shd w:val="clear" w:color="auto" w:fill="auto"/>
            <w:noWrap/>
            <w:vAlign w:val="center"/>
            <w:hideMark/>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Taurine</w:t>
            </w:r>
          </w:p>
        </w:tc>
        <w:tc>
          <w:tcPr>
            <w:tcW w:w="0" w:type="auto"/>
            <w:tcBorders>
              <w:top w:val="nil"/>
              <w:left w:val="nil"/>
              <w:bottom w:val="single" w:sz="4" w:space="0" w:color="auto"/>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-0.78</w:t>
            </w:r>
          </w:p>
        </w:tc>
        <w:tc>
          <w:tcPr>
            <w:tcW w:w="0" w:type="auto"/>
            <w:tcBorders>
              <w:top w:val="nil"/>
              <w:left w:val="nil"/>
              <w:bottom w:val="single" w:sz="4" w:space="0" w:color="auto"/>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&lt;0.001</w:t>
            </w:r>
          </w:p>
        </w:tc>
        <w:tc>
          <w:tcPr>
            <w:tcW w:w="0" w:type="auto"/>
            <w:tcBorders>
              <w:top w:val="nil"/>
              <w:left w:val="nil"/>
              <w:bottom w:val="single" w:sz="4" w:space="0" w:color="auto"/>
              <w:right w:val="nil"/>
            </w:tcBorders>
            <w:vAlign w:val="center"/>
          </w:tcPr>
          <w:p w:rsidR="00CC607B" w:rsidRPr="00D52A7F" w:rsidRDefault="00CC607B" w:rsidP="00246B26">
            <w:pPr>
              <w:spacing w:line="240" w:lineRule="auto"/>
              <w:jc w:val="left"/>
              <w:rPr>
                <w:rFonts w:cstheme="minorHAnsi"/>
                <w:sz w:val="20"/>
                <w:szCs w:val="20"/>
                <w:lang w:val="en-US"/>
              </w:rPr>
            </w:pPr>
          </w:p>
        </w:tc>
        <w:tc>
          <w:tcPr>
            <w:tcW w:w="0" w:type="auto"/>
            <w:tcBorders>
              <w:top w:val="nil"/>
              <w:left w:val="nil"/>
              <w:bottom w:val="single" w:sz="4" w:space="0" w:color="auto"/>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1</w:t>
            </w:r>
          </w:p>
        </w:tc>
        <w:tc>
          <w:tcPr>
            <w:tcW w:w="0" w:type="auto"/>
            <w:tcBorders>
              <w:top w:val="nil"/>
              <w:left w:val="nil"/>
              <w:bottom w:val="single" w:sz="4" w:space="0" w:color="auto"/>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0.262</w:t>
            </w:r>
          </w:p>
        </w:tc>
      </w:tr>
      <w:tr w:rsidR="00CC607B" w:rsidRPr="006A361A" w:rsidTr="00246B26">
        <w:trPr>
          <w:trHeight w:val="288"/>
        </w:trPr>
        <w:tc>
          <w:tcPr>
            <w:tcW w:w="0" w:type="auto"/>
            <w:gridSpan w:val="6"/>
            <w:tcBorders>
              <w:top w:val="single" w:sz="4" w:space="0" w:color="auto"/>
              <w:left w:val="nil"/>
              <w:bottom w:val="single" w:sz="4" w:space="0" w:color="auto"/>
            </w:tcBorders>
            <w:shd w:val="clear" w:color="auto" w:fill="auto"/>
            <w:noWrap/>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b/>
                <w:bCs/>
                <w:sz w:val="20"/>
                <w:szCs w:val="20"/>
                <w:lang w:val="en-US" w:eastAsia="es-ES"/>
              </w:rPr>
              <w:t>Amino acids</w:t>
            </w:r>
          </w:p>
        </w:tc>
      </w:tr>
      <w:tr w:rsidR="00CC607B" w:rsidRPr="006A361A" w:rsidTr="00246B26">
        <w:trPr>
          <w:trHeight w:val="288"/>
        </w:trPr>
        <w:tc>
          <w:tcPr>
            <w:tcW w:w="0" w:type="auto"/>
            <w:tcBorders>
              <w:top w:val="single" w:sz="4" w:space="0" w:color="auto"/>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Alanine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0.34</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0.025</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0.0</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0.501</w:t>
            </w:r>
          </w:p>
        </w:tc>
      </w:tr>
      <w:tr w:rsidR="00CC607B" w:rsidRPr="006A361A" w:rsidTr="00246B26">
        <w:trPr>
          <w:trHeight w:val="288"/>
        </w:trPr>
        <w:tc>
          <w:tcPr>
            <w:tcW w:w="0" w:type="auto"/>
            <w:tcBorders>
              <w:top w:val="nil"/>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Arginine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-0.36</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0.014</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0.8</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0.217</w:t>
            </w:r>
          </w:p>
        </w:tc>
      </w:tr>
      <w:tr w:rsidR="00CC607B" w:rsidRPr="006A361A" w:rsidTr="00246B26">
        <w:trPr>
          <w:trHeight w:val="288"/>
        </w:trPr>
        <w:tc>
          <w:tcPr>
            <w:tcW w:w="0" w:type="auto"/>
            <w:tcBorders>
              <w:top w:val="nil"/>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Asparagine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-0.54</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&lt;0.001</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0.0</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0.434</w:t>
            </w:r>
          </w:p>
        </w:tc>
      </w:tr>
      <w:tr w:rsidR="00CC607B" w:rsidRPr="006A361A" w:rsidTr="00246B26">
        <w:trPr>
          <w:trHeight w:val="288"/>
        </w:trPr>
        <w:tc>
          <w:tcPr>
            <w:tcW w:w="0" w:type="auto"/>
            <w:tcBorders>
              <w:top w:val="nil"/>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Aspartate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-0.6</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&lt;0.001</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1.2</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0.336</w:t>
            </w:r>
          </w:p>
        </w:tc>
      </w:tr>
      <w:tr w:rsidR="00CC607B" w:rsidRPr="006A361A" w:rsidTr="00246B26">
        <w:trPr>
          <w:trHeight w:val="288"/>
        </w:trPr>
        <w:tc>
          <w:tcPr>
            <w:tcW w:w="0" w:type="auto"/>
            <w:tcBorders>
              <w:top w:val="nil"/>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Glutamate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-0.66</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&lt;0.001</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1.1</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0.492</w:t>
            </w:r>
          </w:p>
        </w:tc>
      </w:tr>
      <w:tr w:rsidR="00CC607B" w:rsidRPr="006A361A" w:rsidTr="00246B26">
        <w:trPr>
          <w:trHeight w:val="288"/>
        </w:trPr>
        <w:tc>
          <w:tcPr>
            <w:tcW w:w="0" w:type="auto"/>
            <w:tcBorders>
              <w:top w:val="nil"/>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Glycine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-0.38</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0.01</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1.2</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0.556</w:t>
            </w:r>
          </w:p>
        </w:tc>
      </w:tr>
      <w:tr w:rsidR="00CC607B" w:rsidRPr="006A361A" w:rsidTr="00246B26">
        <w:trPr>
          <w:trHeight w:val="288"/>
        </w:trPr>
        <w:tc>
          <w:tcPr>
            <w:tcW w:w="0" w:type="auto"/>
            <w:tcBorders>
              <w:top w:val="nil"/>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Histidine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-0.58</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&lt;0.001</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1.2</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0.177</w:t>
            </w:r>
          </w:p>
        </w:tc>
      </w:tr>
      <w:tr w:rsidR="00CC607B" w:rsidRPr="006A361A" w:rsidTr="00246B26">
        <w:trPr>
          <w:trHeight w:val="288"/>
        </w:trPr>
        <w:tc>
          <w:tcPr>
            <w:tcW w:w="0" w:type="auto"/>
            <w:tcBorders>
              <w:top w:val="nil"/>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Isoleucine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-0.37</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0.012</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1.2</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0.674</w:t>
            </w:r>
          </w:p>
        </w:tc>
      </w:tr>
      <w:tr w:rsidR="00CC607B" w:rsidRPr="006A361A" w:rsidTr="00246B26">
        <w:trPr>
          <w:trHeight w:val="288"/>
        </w:trPr>
        <w:tc>
          <w:tcPr>
            <w:tcW w:w="0" w:type="auto"/>
            <w:tcBorders>
              <w:top w:val="nil"/>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Leucine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-0.3</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0.045</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1.2</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0.640</w:t>
            </w:r>
          </w:p>
        </w:tc>
      </w:tr>
      <w:tr w:rsidR="00CC607B" w:rsidRPr="006A361A" w:rsidTr="00246B26">
        <w:trPr>
          <w:trHeight w:val="288"/>
        </w:trPr>
        <w:tc>
          <w:tcPr>
            <w:tcW w:w="0" w:type="auto"/>
            <w:tcBorders>
              <w:top w:val="nil"/>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Phenylalanine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-0.48</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0.001</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0.7</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0.481</w:t>
            </w:r>
          </w:p>
        </w:tc>
      </w:tr>
      <w:tr w:rsidR="00CC607B" w:rsidRPr="006A361A" w:rsidTr="00246B26">
        <w:trPr>
          <w:trHeight w:val="288"/>
        </w:trPr>
        <w:tc>
          <w:tcPr>
            <w:tcW w:w="0" w:type="auto"/>
            <w:tcBorders>
              <w:top w:val="nil"/>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Proline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-0.65</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&lt;0.001</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0.5</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0.019</w:t>
            </w:r>
          </w:p>
        </w:tc>
      </w:tr>
      <w:tr w:rsidR="00CC607B" w:rsidRPr="006A361A" w:rsidTr="00246B26">
        <w:trPr>
          <w:trHeight w:val="288"/>
        </w:trPr>
        <w:tc>
          <w:tcPr>
            <w:tcW w:w="0" w:type="auto"/>
            <w:tcBorders>
              <w:top w:val="nil"/>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Serine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-0.07</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0.648</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1.0</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0.639</w:t>
            </w:r>
          </w:p>
        </w:tc>
      </w:tr>
      <w:tr w:rsidR="00CC607B" w:rsidRPr="006A361A" w:rsidTr="00246B26">
        <w:trPr>
          <w:trHeight w:val="288"/>
        </w:trPr>
        <w:tc>
          <w:tcPr>
            <w:tcW w:w="0" w:type="auto"/>
            <w:tcBorders>
              <w:top w:val="nil"/>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Threonine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-0.71</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&lt;0.001</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1.2</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0.265</w:t>
            </w:r>
          </w:p>
        </w:tc>
      </w:tr>
      <w:tr w:rsidR="00CC607B" w:rsidRPr="006A361A" w:rsidTr="00246B26">
        <w:trPr>
          <w:trHeight w:val="288"/>
        </w:trPr>
        <w:tc>
          <w:tcPr>
            <w:tcW w:w="0" w:type="auto"/>
            <w:tcBorders>
              <w:top w:val="nil"/>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Tryptophan</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-0.42</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0.005</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1.2</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0.803</w:t>
            </w:r>
          </w:p>
        </w:tc>
      </w:tr>
      <w:tr w:rsidR="00CC607B" w:rsidRPr="006A361A" w:rsidTr="00246B26">
        <w:trPr>
          <w:trHeight w:val="288"/>
        </w:trPr>
        <w:tc>
          <w:tcPr>
            <w:tcW w:w="0" w:type="auto"/>
            <w:tcBorders>
              <w:top w:val="nil"/>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Tyrosine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-0.73</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&lt;0.001</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1.2</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0.041</w:t>
            </w:r>
          </w:p>
        </w:tc>
      </w:tr>
      <w:tr w:rsidR="00CC607B" w:rsidRPr="006A361A" w:rsidTr="00246B26">
        <w:trPr>
          <w:trHeight w:val="288"/>
        </w:trPr>
        <w:tc>
          <w:tcPr>
            <w:tcW w:w="0" w:type="auto"/>
            <w:tcBorders>
              <w:top w:val="nil"/>
              <w:left w:val="nil"/>
              <w:bottom w:val="nil"/>
              <w:right w:val="nil"/>
            </w:tcBorders>
            <w:shd w:val="clear" w:color="auto" w:fill="auto"/>
            <w:noWrap/>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eastAsia="es-ES"/>
              </w:rPr>
              <w:t>Valine</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-0.43</w:t>
            </w:r>
          </w:p>
        </w:tc>
        <w:tc>
          <w:tcPr>
            <w:tcW w:w="0" w:type="auto"/>
            <w:tcBorders>
              <w:top w:val="nil"/>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0.003</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1.3</w:t>
            </w:r>
          </w:p>
        </w:tc>
        <w:tc>
          <w:tcPr>
            <w:tcW w:w="0" w:type="auto"/>
            <w:tcBorders>
              <w:top w:val="nil"/>
              <w:left w:val="nil"/>
              <w:bottom w:val="nil"/>
              <w:right w:val="nil"/>
            </w:tcBorders>
            <w:vAlign w:val="center"/>
          </w:tcPr>
          <w:p w:rsidR="00CC607B" w:rsidRPr="006A361A" w:rsidRDefault="00CC607B" w:rsidP="00246B26">
            <w:pPr>
              <w:spacing w:line="240" w:lineRule="auto"/>
              <w:jc w:val="left"/>
              <w:rPr>
                <w:rFonts w:cstheme="minorHAnsi"/>
                <w:sz w:val="20"/>
                <w:szCs w:val="20"/>
                <w:lang w:val="en-US"/>
              </w:rPr>
            </w:pPr>
            <w:r w:rsidRPr="006A361A">
              <w:rPr>
                <w:rFonts w:cstheme="minorHAnsi"/>
                <w:sz w:val="20"/>
                <w:szCs w:val="20"/>
                <w:lang w:val="en-US"/>
              </w:rPr>
              <w:t>0.401</w:t>
            </w:r>
          </w:p>
        </w:tc>
      </w:tr>
      <w:tr w:rsidR="00CC607B" w:rsidRPr="006A361A" w:rsidTr="00246B26">
        <w:trPr>
          <w:trHeight w:val="288"/>
        </w:trPr>
        <w:tc>
          <w:tcPr>
            <w:tcW w:w="0" w:type="auto"/>
            <w:gridSpan w:val="6"/>
            <w:tcBorders>
              <w:top w:val="single" w:sz="4" w:space="0" w:color="auto"/>
              <w:left w:val="nil"/>
              <w:bottom w:val="single" w:sz="4" w:space="0" w:color="auto"/>
              <w:right w:val="nil"/>
            </w:tcBorders>
            <w:shd w:val="clear" w:color="auto" w:fill="auto"/>
            <w:noWrap/>
            <w:vAlign w:val="center"/>
            <w:hideMark/>
          </w:tcPr>
          <w:p w:rsidR="00CC607B" w:rsidRPr="006A361A" w:rsidRDefault="00CC607B" w:rsidP="00246B26">
            <w:pPr>
              <w:spacing w:line="240" w:lineRule="auto"/>
              <w:jc w:val="left"/>
              <w:rPr>
                <w:rFonts w:cstheme="minorHAnsi"/>
                <w:sz w:val="20"/>
                <w:szCs w:val="20"/>
                <w:lang w:val="en-US" w:eastAsia="es-ES"/>
              </w:rPr>
            </w:pPr>
            <w:r w:rsidRPr="006A361A">
              <w:rPr>
                <w:rFonts w:cstheme="minorHAnsi"/>
                <w:b/>
                <w:bCs/>
                <w:sz w:val="20"/>
                <w:szCs w:val="20"/>
                <w:lang w:val="en-US" w:eastAsia="es-ES"/>
              </w:rPr>
              <w:t>Lipid and protein intermediates</w:t>
            </w:r>
          </w:p>
        </w:tc>
      </w:tr>
      <w:tr w:rsidR="00CC607B" w:rsidRPr="006A361A" w:rsidTr="00246B26">
        <w:trPr>
          <w:trHeight w:val="288"/>
        </w:trPr>
        <w:tc>
          <w:tcPr>
            <w:tcW w:w="0" w:type="auto"/>
            <w:tcBorders>
              <w:top w:val="single" w:sz="4" w:space="0" w:color="auto"/>
              <w:left w:val="nil"/>
              <w:bottom w:val="nil"/>
              <w:right w:val="nil"/>
            </w:tcBorders>
            <w:shd w:val="clear" w:color="auto" w:fill="auto"/>
            <w:noWrap/>
            <w:vAlign w:val="center"/>
            <w:hideMark/>
          </w:tcPr>
          <w:p w:rsidR="00CC607B" w:rsidRPr="006A361A" w:rsidRDefault="00CC607B" w:rsidP="00246B26">
            <w:pPr>
              <w:spacing w:line="240" w:lineRule="auto"/>
              <w:jc w:val="left"/>
              <w:rPr>
                <w:rFonts w:cstheme="minorHAnsi"/>
                <w:sz w:val="20"/>
                <w:szCs w:val="20"/>
                <w:lang w:val="en-US" w:eastAsia="es-ES"/>
              </w:rPr>
            </w:pPr>
            <w:r w:rsidRPr="006A361A">
              <w:rPr>
                <w:rFonts w:cstheme="minorHAnsi"/>
                <w:sz w:val="20"/>
                <w:szCs w:val="20"/>
                <w:lang w:val="en-US" w:eastAsia="es-ES"/>
              </w:rPr>
              <w:t>Carnitine</w:t>
            </w:r>
          </w:p>
        </w:tc>
        <w:tc>
          <w:tcPr>
            <w:tcW w:w="0" w:type="auto"/>
            <w:tcBorders>
              <w:top w:val="single" w:sz="4" w:space="0" w:color="auto"/>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-0.28</w:t>
            </w:r>
          </w:p>
        </w:tc>
        <w:tc>
          <w:tcPr>
            <w:tcW w:w="0" w:type="auto"/>
            <w:tcBorders>
              <w:top w:val="single" w:sz="4" w:space="0" w:color="auto"/>
              <w:left w:val="nil"/>
              <w:bottom w:val="nil"/>
              <w:right w:val="nil"/>
            </w:tcBorders>
          </w:tcPr>
          <w:p w:rsidR="00CC607B" w:rsidRPr="00D52A7F" w:rsidRDefault="00CC607B" w:rsidP="00246B26">
            <w:pPr>
              <w:spacing w:line="240" w:lineRule="auto"/>
              <w:jc w:val="left"/>
              <w:rPr>
                <w:rFonts w:cstheme="minorHAnsi"/>
                <w:sz w:val="20"/>
                <w:szCs w:val="20"/>
                <w:lang w:val="en-US"/>
              </w:rPr>
            </w:pPr>
            <w:r w:rsidRPr="00D52A7F">
              <w:rPr>
                <w:sz w:val="20"/>
                <w:szCs w:val="20"/>
              </w:rPr>
              <w:t>0.06</w:t>
            </w:r>
          </w:p>
        </w:tc>
        <w:tc>
          <w:tcPr>
            <w:tcW w:w="0" w:type="auto"/>
            <w:tcBorders>
              <w:top w:val="single" w:sz="4" w:space="0" w:color="auto"/>
              <w:left w:val="nil"/>
              <w:bottom w:val="nil"/>
              <w:right w:val="nil"/>
            </w:tcBorders>
            <w:vAlign w:val="center"/>
          </w:tcPr>
          <w:p w:rsidR="00CC607B" w:rsidRPr="00D52A7F" w:rsidRDefault="00CC607B" w:rsidP="00246B26">
            <w:pPr>
              <w:spacing w:line="240" w:lineRule="auto"/>
              <w:jc w:val="left"/>
              <w:rPr>
                <w:rFonts w:cstheme="minorHAnsi"/>
                <w:sz w:val="20"/>
                <w:szCs w:val="20"/>
                <w:lang w:val="en-US"/>
              </w:rPr>
            </w:pPr>
          </w:p>
        </w:tc>
        <w:tc>
          <w:tcPr>
            <w:tcW w:w="0" w:type="auto"/>
            <w:tcBorders>
              <w:top w:val="single" w:sz="4" w:space="0" w:color="auto"/>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1</w:t>
            </w:r>
          </w:p>
        </w:tc>
        <w:tc>
          <w:tcPr>
            <w:tcW w:w="0" w:type="auto"/>
            <w:tcBorders>
              <w:top w:val="single" w:sz="4" w:space="0" w:color="auto"/>
              <w:left w:val="nil"/>
              <w:bottom w:val="nil"/>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0.825</w:t>
            </w:r>
          </w:p>
        </w:tc>
      </w:tr>
      <w:tr w:rsidR="00CC607B" w:rsidRPr="006A361A" w:rsidTr="00246B26">
        <w:trPr>
          <w:trHeight w:val="288"/>
        </w:trPr>
        <w:tc>
          <w:tcPr>
            <w:tcW w:w="0" w:type="auto"/>
            <w:tcBorders>
              <w:top w:val="nil"/>
              <w:left w:val="nil"/>
              <w:bottom w:val="single" w:sz="12" w:space="0" w:color="auto"/>
              <w:right w:val="nil"/>
            </w:tcBorders>
            <w:shd w:val="clear" w:color="auto" w:fill="auto"/>
            <w:noWrap/>
            <w:vAlign w:val="center"/>
            <w:hideMark/>
          </w:tcPr>
          <w:p w:rsidR="00CC607B" w:rsidRPr="00E01827" w:rsidRDefault="00CC607B" w:rsidP="00246B26">
            <w:pPr>
              <w:spacing w:line="240" w:lineRule="auto"/>
              <w:jc w:val="left"/>
              <w:rPr>
                <w:rFonts w:cstheme="minorHAnsi"/>
                <w:sz w:val="20"/>
                <w:szCs w:val="20"/>
                <w:highlight w:val="yellow"/>
                <w:lang w:val="en-US" w:eastAsia="es-ES"/>
              </w:rPr>
            </w:pPr>
            <w:r w:rsidRPr="006A361A">
              <w:rPr>
                <w:rFonts w:cstheme="minorHAnsi"/>
                <w:sz w:val="20"/>
                <w:szCs w:val="20"/>
                <w:lang w:val="en-US" w:eastAsia="es-ES"/>
              </w:rPr>
              <w:t>Choline</w:t>
            </w:r>
          </w:p>
        </w:tc>
        <w:tc>
          <w:tcPr>
            <w:tcW w:w="0" w:type="auto"/>
            <w:tcBorders>
              <w:top w:val="nil"/>
              <w:left w:val="nil"/>
              <w:bottom w:val="single" w:sz="12" w:space="0" w:color="auto"/>
              <w:right w:val="nil"/>
            </w:tcBorders>
          </w:tcPr>
          <w:p w:rsidR="00CC607B" w:rsidRPr="00D52A7F" w:rsidRDefault="00CC607B" w:rsidP="00246B26">
            <w:pPr>
              <w:spacing w:line="240" w:lineRule="auto"/>
              <w:jc w:val="left"/>
              <w:rPr>
                <w:rFonts w:cstheme="minorHAnsi"/>
                <w:sz w:val="20"/>
                <w:szCs w:val="20"/>
                <w:highlight w:val="yellow"/>
                <w:lang w:val="en-US"/>
              </w:rPr>
            </w:pPr>
            <w:r w:rsidRPr="00D52A7F">
              <w:rPr>
                <w:sz w:val="20"/>
                <w:szCs w:val="20"/>
              </w:rPr>
              <w:t>-0.51</w:t>
            </w:r>
          </w:p>
        </w:tc>
        <w:tc>
          <w:tcPr>
            <w:tcW w:w="0" w:type="auto"/>
            <w:tcBorders>
              <w:top w:val="nil"/>
              <w:left w:val="nil"/>
              <w:bottom w:val="single" w:sz="12" w:space="0" w:color="auto"/>
              <w:right w:val="nil"/>
            </w:tcBorders>
          </w:tcPr>
          <w:p w:rsidR="00CC607B" w:rsidRPr="00D52A7F" w:rsidRDefault="00CC607B" w:rsidP="00246B26">
            <w:pPr>
              <w:spacing w:line="240" w:lineRule="auto"/>
              <w:jc w:val="left"/>
              <w:rPr>
                <w:rFonts w:cstheme="minorHAnsi"/>
                <w:sz w:val="20"/>
                <w:szCs w:val="20"/>
                <w:highlight w:val="yellow"/>
                <w:lang w:val="en-US"/>
              </w:rPr>
            </w:pPr>
            <w:r w:rsidRPr="00D52A7F">
              <w:rPr>
                <w:sz w:val="20"/>
                <w:szCs w:val="20"/>
              </w:rPr>
              <w:t>&lt;0.001</w:t>
            </w:r>
          </w:p>
        </w:tc>
        <w:tc>
          <w:tcPr>
            <w:tcW w:w="0" w:type="auto"/>
            <w:tcBorders>
              <w:top w:val="nil"/>
              <w:left w:val="nil"/>
              <w:bottom w:val="single" w:sz="12" w:space="0" w:color="auto"/>
              <w:right w:val="nil"/>
            </w:tcBorders>
            <w:vAlign w:val="center"/>
          </w:tcPr>
          <w:p w:rsidR="00CC607B" w:rsidRPr="00D52A7F" w:rsidRDefault="00CC607B" w:rsidP="00246B26">
            <w:pPr>
              <w:spacing w:line="240" w:lineRule="auto"/>
              <w:jc w:val="left"/>
              <w:rPr>
                <w:rFonts w:cstheme="minorHAnsi"/>
                <w:sz w:val="20"/>
                <w:szCs w:val="20"/>
                <w:highlight w:val="yellow"/>
                <w:lang w:val="en-US"/>
              </w:rPr>
            </w:pPr>
          </w:p>
        </w:tc>
        <w:tc>
          <w:tcPr>
            <w:tcW w:w="0" w:type="auto"/>
            <w:tcBorders>
              <w:top w:val="nil"/>
              <w:left w:val="nil"/>
              <w:bottom w:val="single" w:sz="12" w:space="0" w:color="auto"/>
              <w:right w:val="nil"/>
            </w:tcBorders>
            <w:vAlign w:val="center"/>
          </w:tcPr>
          <w:p w:rsidR="00CC607B" w:rsidRPr="00D52A7F" w:rsidRDefault="00CC607B" w:rsidP="00246B26">
            <w:pPr>
              <w:spacing w:line="240" w:lineRule="auto"/>
              <w:jc w:val="left"/>
              <w:rPr>
                <w:rFonts w:cstheme="minorHAnsi"/>
                <w:sz w:val="20"/>
                <w:szCs w:val="20"/>
                <w:highlight w:val="yellow"/>
                <w:lang w:val="en-US" w:eastAsia="es-ES"/>
              </w:rPr>
            </w:pPr>
            <w:r w:rsidRPr="00D52A7F">
              <w:rPr>
                <w:rFonts w:cstheme="minorHAnsi"/>
                <w:sz w:val="20"/>
                <w:szCs w:val="20"/>
                <w:lang w:val="en-US"/>
              </w:rPr>
              <w:t>1</w:t>
            </w:r>
          </w:p>
        </w:tc>
        <w:tc>
          <w:tcPr>
            <w:tcW w:w="0" w:type="auto"/>
            <w:tcBorders>
              <w:top w:val="nil"/>
              <w:left w:val="nil"/>
              <w:bottom w:val="single" w:sz="12" w:space="0" w:color="auto"/>
              <w:right w:val="nil"/>
            </w:tcBorders>
            <w:vAlign w:val="center"/>
          </w:tcPr>
          <w:p w:rsidR="00CC607B" w:rsidRPr="00D52A7F" w:rsidRDefault="00CC607B" w:rsidP="00246B26">
            <w:pPr>
              <w:spacing w:line="240" w:lineRule="auto"/>
              <w:jc w:val="left"/>
              <w:rPr>
                <w:rFonts w:cstheme="minorHAnsi"/>
                <w:sz w:val="20"/>
                <w:szCs w:val="20"/>
                <w:lang w:val="en-US" w:eastAsia="es-ES"/>
              </w:rPr>
            </w:pPr>
            <w:r w:rsidRPr="00D52A7F">
              <w:rPr>
                <w:rFonts w:cstheme="minorHAnsi"/>
                <w:sz w:val="20"/>
                <w:szCs w:val="20"/>
                <w:lang w:val="en-US"/>
              </w:rPr>
              <w:t>0.221</w:t>
            </w:r>
          </w:p>
        </w:tc>
      </w:tr>
    </w:tbl>
    <w:p w:rsidR="00CC607B" w:rsidRPr="006A361A" w:rsidRDefault="00CC607B" w:rsidP="00CC607B">
      <w:pPr>
        <w:rPr>
          <w:lang w:val="en-US"/>
        </w:rPr>
        <w:sectPr w:rsidR="00CC607B" w:rsidRPr="006A361A" w:rsidSect="00613200">
          <w:pgSz w:w="11906" w:h="16838"/>
          <w:pgMar w:top="1417" w:right="1701" w:bottom="1417" w:left="1701" w:header="708" w:footer="708" w:gutter="0"/>
          <w:cols w:space="708"/>
          <w:docGrid w:linePitch="360"/>
        </w:sectPr>
      </w:pPr>
    </w:p>
    <w:p w:rsidR="00CC607B" w:rsidRPr="006A361A" w:rsidRDefault="00CC607B" w:rsidP="00CC607B">
      <w:pPr>
        <w:pStyle w:val="Caption"/>
      </w:pPr>
      <w:r w:rsidRPr="003B2278">
        <w:rPr>
          <w:color w:val="4472C4" w:themeColor="accent5"/>
        </w:rPr>
        <w:lastRenderedPageBreak/>
        <w:t>Supplementary table 3</w:t>
      </w:r>
      <w:r w:rsidRPr="006A361A">
        <w:t xml:space="preserve">. Analytical traits of the metabolites measured in animal heart. </w:t>
      </w:r>
      <w:r w:rsidRPr="006A361A">
        <w:rPr>
          <w:b w:val="0"/>
          <w:bCs/>
        </w:rPr>
        <w:t>Precursor ion (Precursor) and product ion (Product)</w:t>
      </w:r>
      <w:r w:rsidRPr="006A361A">
        <w:t xml:space="preserve"> </w:t>
      </w:r>
      <w:r w:rsidRPr="006A361A">
        <w:rPr>
          <w:b w:val="0"/>
          <w:bCs/>
        </w:rPr>
        <w:t>are given as m/z</w:t>
      </w:r>
      <w:r w:rsidRPr="006A361A">
        <w:rPr>
          <w:color w:val="auto"/>
        </w:rPr>
        <w:t xml:space="preserve">. </w:t>
      </w:r>
      <w:r w:rsidRPr="006A361A">
        <w:rPr>
          <w:b w:val="0"/>
          <w:bCs/>
          <w:color w:val="auto"/>
        </w:rPr>
        <w:t>Fragmentor (Frag)</w:t>
      </w:r>
      <w:r w:rsidRPr="006A361A">
        <w:rPr>
          <w:b w:val="0"/>
          <w:bCs/>
        </w:rPr>
        <w:t>, collision energy (CE) and cell acceleration voltage (CAV) are given as voltage; retention time (RT) and retention time window (</w:t>
      </w:r>
      <w:r w:rsidRPr="006A361A">
        <w:rPr>
          <w:rFonts w:cstheme="minorHAnsi"/>
          <w:b w:val="0"/>
          <w:bCs/>
        </w:rPr>
        <w:t>Δ</w:t>
      </w:r>
      <w:r w:rsidRPr="006A361A">
        <w:rPr>
          <w:b w:val="0"/>
          <w:bCs/>
        </w:rPr>
        <w:t>RT) in minutes. Met</w:t>
      </w:r>
      <w:r>
        <w:rPr>
          <w:b w:val="0"/>
          <w:bCs/>
        </w:rPr>
        <w:t>hod 1 (see material and methods</w:t>
      </w:r>
      <w:r w:rsidRPr="006A361A">
        <w:rPr>
          <w:b w:val="0"/>
          <w:bCs/>
        </w:rPr>
        <w:t xml:space="preserve"> </w:t>
      </w:r>
      <w:r>
        <w:rPr>
          <w:b w:val="0"/>
          <w:bCs/>
        </w:rPr>
        <w:fldChar w:fldCharType="begin" w:fldLock="1"/>
      </w:r>
      <w:r>
        <w:rPr>
          <w:b w:val="0"/>
          <w:bCs/>
        </w:rPr>
        <w:instrText>ADDIN CSL_CITATION {"citationItems":[{"id":"ITEM-1","itemData":{"DOI":"10.3389/fnmol.2016.00138","ISSN":"1662-5099","PMID":"28008307","abstract":"Brain neurons offer diverse responses to stresses and detrimental factors during development and aging, and as a result of both neurodegenerative and neuropsychiatric disorders. This multiplicity of responses can be ascribed to the great diversity among neuronal populations. Here we have determined the metabolomic profile of three healthy adult human brain regions-entorhinal cortex, hippocampus, and frontal cortex-using mass spectrometry-based technologies. Our results show the existence of a lessened energy demand, mitochondrial stress, and lower one-carbon metabolism (particularly restricted to the methionine cycle) specifically in frontal cortex. These findings, along with the better antioxidant capacity and lower mTOR signaling also seen in frontal cortex, suggest that this brain region is especially resistant to stress compared to the entorhinal cortex and hippocampus, which are more vulnerable regions. Globally, our results show the presence of specific metabolomics adaptations in three mature, healthy human brain regions, confirming the existence of cross-regional differences in cell vulnerability in the human cerebral cortex.","author":[{"dropping-particle":"","family":"Cabré","given":"Rosanna","non-dropping-particle":"","parse-names":false,"suffix":""},{"dropping-particle":"","family":"Jové","given":"Mariona","non-dropping-particle":"","parse-names":false,"suffix":""},{"dropping-particle":"","family":"Naudí","given":"Alba","non-dropping-particle":"","parse-names":false,"suffix":""},{"dropping-particle":"","family":"Ayala","given":"Victoria","non-dropping-particle":"","parse-names":false,"suffix":""},{"dropping-particle":"","family":"Piñol-Ripoll","given":"Gerard","non-dropping-particle":"","parse-names":false,"suffix":""},{"dropping-particle":"","family":"Gil-Villar","given":"Maria P","non-dropping-particle":"","parse-names":false,"suffix":""},{"dropping-particle":"","family":"Dominguez-Gonzalez","given":"Mayelin","non-dropping-particle":"","parse-names":false,"suffix":""},{"dropping-particle":"","family":"Obis","given":"Èlia","non-dropping-particle":"","parse-names":false,"suffix":""},{"dropping-particle":"","family":"Berdun","given":"Rebeca","non-dropping-particle":"","parse-names":false,"suffix":""},{"dropping-particle":"","family":"Mota-Martorell","given":"Natalia","non-dropping-particle":"","parse-names":false,"suffix":""},{"dropping-particle":"","family":"Portero-Otín","given":"Manuel","non-dropping-particle":"","parse-names":false,"suffix":""},{"dropping-particle":"","family":"Ferrer","given":"Isidre","non-dropping-particle":"","parse-names":false,"suffix":""},{"dropping-particle":"","family":"Pamplona","given":"Reinald","non-dropping-particle":"","parse-names":false,"suffix":""}],"container-title":"Frontiers in molecular neuroscience","id":"ITEM-1","issued":{"date-parts":[["2016"]]},"page":"138","publisher":"Frontiers Media SA","title":"Specific metabolomics adaptations define a differential regional vulnerability in the adult human cerebral cortex","type":"article-journal","volume":"9"},"uris":["http://www.mendeley.com/documents/?uuid=91393b7d-a9d3-438c-8713-80f3e5e1722c"]}],"mendeley":{"formattedCitation":"[65]","plainTextFormattedCitation":"[65]","previouslyFormattedCitation":"[65]"},"properties":{"noteIndex":0},"schema":"https://github.com/citation-style-language/schema/raw/master/csl-citation.json"}</w:instrText>
      </w:r>
      <w:r>
        <w:rPr>
          <w:b w:val="0"/>
          <w:bCs/>
        </w:rPr>
        <w:fldChar w:fldCharType="separate"/>
      </w:r>
      <w:r w:rsidRPr="008A6849">
        <w:rPr>
          <w:b w:val="0"/>
          <w:bCs/>
          <w:noProof/>
        </w:rPr>
        <w:t>[65]</w:t>
      </w:r>
      <w:r>
        <w:rPr>
          <w:b w:val="0"/>
          <w:bCs/>
        </w:rPr>
        <w:fldChar w:fldCharType="end"/>
      </w:r>
      <w:r w:rsidRPr="006A361A">
        <w:rPr>
          <w:b w:val="0"/>
          <w:bCs/>
        </w:rPr>
        <w:fldChar w:fldCharType="begin" w:fldLock="1"/>
      </w:r>
      <w:r>
        <w:rPr>
          <w:b w:val="0"/>
          <w:bCs/>
        </w:rPr>
        <w:instrText>ADDIN CSL_CITATION {"citationItems":[{"id":"ITEM-1","itemData":{"DOI":"10.3389/fnmol.2016.00138","ISSN":"1662-5099","PMID":"28008307","abstract":"Brain neurons offer diverse responses to stresses and detrimental factors during development and aging, and as a result of both neurodegenerative and neuropsychiatric disorders. This multiplicity of responses can be ascribed to the great diversity among neuronal populations. Here we have determined the metabolomic profile of three healthy adult human brain regions-entorhinal cortex, hippocampus, and frontal cortex-using mass spectrometry-based technologies. Our results show the existence of a lessened energy demand, mitochondrial stress, and lower one-carbon metabolism (particularly restricted to the methionine cycle) specifically in frontal cortex. These findings, along with the better antioxidant capacity and lower mTOR signaling also seen in frontal cortex, suggest that this brain region is especially resistant to stress compared to the entorhinal cortex and hippocampus, which are more vulnerable regions. Globally, our results show the presence of specific metabolomics adaptations in three mature, healthy human brain regions, confirming the existence of cross-regional differences in cell vulnerability in the human cerebral cortex.","author":[{"dropping-particle":"","family":"Cabré","given":"Rosanna","non-dropping-particle":"","parse-names":false,"suffix":""},{"dropping-particle":"","family":"Jové","given":"Mariona","non-dropping-particle":"","parse-names":false,"suffix":""},{"dropping-particle":"","family":"Naudí","given":"Alba","non-dropping-particle":"","parse-names":false,"suffix":""},{"dropping-particle":"","family":"Ayala","given":"Victoria","non-dropping-particle":"","parse-names":false,"suffix":""},{"dropping-particle":"","family":"Piñol-Ripoll","given":"Gerard","non-dropping-particle":"","parse-names":false,"suffix":""},{"dropping-particle":"","family":"Gil-Villar","given":"Maria P","non-dropping-particle":"","parse-names":false,"suffix":""},{"dropping-particle":"","family":"Dominguez-Gonzalez","given":"Mayelin","non-dropping-particle":"","parse-names":false,"suffix":""},{"dropping-particle":"","family":"Obis","given":"Èlia","non-dropping-particle":"","parse-names":false,"suffix":""},{"dropping-particle":"","family":"Berdun","given":"Rebeca","non-dropping-particle":"","parse-names":false,"suffix":""},{"dropping-particle":"","family":"Mota-Martorell","given":"Natalia","non-dropping-particle":"","parse-names":false,"suffix":""},{"dropping-particle":"","family":"Portero-Otín","given":"Manuel","non-dropping-particle":"","parse-names":false,"suffix":""},{"dropping-particle":"","family":"Ferrer","given":"Isidre","non-dropping-particle":"","parse-names":false,"suffix":""},{"dropping-particle":"","family":"Pamplona","given":"Reinald","non-dropping-particle":"","parse-names":false,"suffix":""}],"container-title":"Frontiers in molecular neuroscience","id":"ITEM-1","issued":{"date-parts":[["2016"]]},"page":"138","publisher":"Frontiers Media SA","title":"Specific metabolomics adaptations define a differential regional vulnerability in the adult human cerebral cortex","type":"article-journal","volume":"9"},"uris":["http://www.mendeley.com/documents/?uuid=91393b7d-a9d3-438c-8713-80f3e5e1722c"]}],"mendeley":{"formattedCitation":"[65]","manualFormatting":")","plainTextFormattedCitation":"[65]","previouslyFormattedCitation":"[65]"},"properties":{"noteIndex":0},"schema":"https://github.com/citation-style-language/schema/raw/master/csl-citation.json"}</w:instrText>
      </w:r>
      <w:r w:rsidRPr="006A361A">
        <w:rPr>
          <w:b w:val="0"/>
          <w:bCs/>
        </w:rPr>
        <w:fldChar w:fldCharType="separate"/>
      </w:r>
      <w:r w:rsidRPr="006A361A">
        <w:rPr>
          <w:b w:val="0"/>
          <w:bCs/>
          <w:noProof/>
        </w:rPr>
        <w:t>)</w:t>
      </w:r>
      <w:r w:rsidRPr="006A361A">
        <w:rPr>
          <w:b w:val="0"/>
          <w:bCs/>
        </w:rPr>
        <w:fldChar w:fldCharType="end"/>
      </w:r>
      <w:r w:rsidRPr="006A361A">
        <w:rPr>
          <w:b w:val="0"/>
          <w:bCs/>
        </w:rPr>
        <w:t xml:space="preserve">; Method 2 (see material and methods, </w:t>
      </w:r>
      <w:r>
        <w:rPr>
          <w:b w:val="0"/>
          <w:bCs/>
        </w:rPr>
        <w:fldChar w:fldCharType="begin" w:fldLock="1"/>
      </w:r>
      <w:r>
        <w:rPr>
          <w:b w:val="0"/>
          <w:bCs/>
        </w:rPr>
        <w:instrText>ADDIN CSL_CITATION {"citationItems":[{"id":"ITEM-1","itemData":{"DOI":"10.1007/s00216-017-0272-3","ISSN":"1618-2650","PMID":"28271225","abstract":"We developed and evaluated a candidate serum reference material to help improve clinical routine measurement, and to provide traceability of the measurement results. D8-Homocystine, dithiothreitol, and acetonitrile were used as an internal standard, the reducing agent, and the protein precipitating agent, respectively. A triple quadrupole mass spectrometer with an electrospray ionization source was used for monitoring the transitions (m/z 140.0 → 94.0, 136.0 → 90.0) in multiple-reaction-monitoring mode. We used a calibration model relying on bracketing and gravimetric measurements to give SI-traceability and higher accuracy to serum value assignments. The method was evaluated for accuracy using NIST Standard Reference Material SRM1955. The results of the three concentrations (1, 2, and 3) of total homocysteine in human serum samples were determined by an isotope-dilution liquid chromatography-tandem mass spectrometry method; tHcy 1 is 28.8 ± 1.1 μmol/L, tHcy 2 is 17.93 ± 0.57 μmol/L, and tHcy 3 is 14.38 ± 0.46 μmol/L. Graphical abstract The workflow diagram.","author":[{"dropping-particle":"","family":"Liu","given":"Yu","non-dropping-particle":"","parse-names":false,"suffix":""},{"dropping-particle":"","family":"Song","given":"Dewei","non-dropping-particle":"","parse-names":false,"suffix":""},{"dropping-particle":"","family":"Xu","given":"Bei","non-dropping-particle":"","parse-names":false,"suffix":""},{"dropping-particle":"","family":"Li","given":"Hongmei","non-dropping-particle":"","parse-names":false,"suffix":""},{"dropping-particle":"","family":"Dai","given":"Xinhua","non-dropping-particle":"","parse-names":false,"suffix":""},{"dropping-particle":"","family":"Chen","given":"Baorong","non-dropping-particle":"","parse-names":false,"suffix":""}],"container-title":"Analytical and bioanalytical chemistry","id":"ITEM-1","issue":"13","issued":{"date-parts":[["2017","5"]]},"page":"3329-3335","title":"Development of a matrix-based candidate reference material of total homocysteine in human serum.","type":"article-journal","volume":"409"},"uris":["http://www.mendeley.com/documents/?uuid=516521ce-39ba-494d-968a-c2f3f536e0ad"]}],"mendeley":{"formattedCitation":"[66]","plainTextFormattedCitation":"[66]","previouslyFormattedCitation":"[66]"},"properties":{"noteIndex":0},"schema":"https://github.com/citation-style-language/schema/raw/master/csl-citation.json"}</w:instrText>
      </w:r>
      <w:r>
        <w:rPr>
          <w:b w:val="0"/>
          <w:bCs/>
        </w:rPr>
        <w:fldChar w:fldCharType="separate"/>
      </w:r>
      <w:r w:rsidRPr="008A6849">
        <w:rPr>
          <w:b w:val="0"/>
          <w:bCs/>
          <w:noProof/>
        </w:rPr>
        <w:t>[66]</w:t>
      </w:r>
      <w:r>
        <w:rPr>
          <w:b w:val="0"/>
          <w:bCs/>
        </w:rPr>
        <w:fldChar w:fldCharType="end"/>
      </w:r>
      <w:r w:rsidRPr="006A361A">
        <w:rPr>
          <w:b w:val="0"/>
          <w:bCs/>
        </w:rPr>
        <w:fldChar w:fldCharType="begin" w:fldLock="1"/>
      </w:r>
      <w:r>
        <w:rPr>
          <w:b w:val="0"/>
          <w:bCs/>
        </w:rPr>
        <w:instrText>ADDIN CSL_CITATION {"citationItems":[{"id":"ITEM-1","itemData":{"DOI":"10.1007/s00216-017-0272-3","ISSN":"1618-2650","PMID":"28271225","abstract":"We developed and evaluated a candidate serum reference material to help improve clinical routine measurement, and to provide traceability of the measurement results. D8-Homocystine, dithiothreitol, and acetonitrile were used as an internal standard, the reducing agent, and the protein precipitating agent, respectively. A triple quadrupole mass spectrometer with an electrospray ionization source was used for monitoring the transitions (m/z 140.0 → 94.0, 136.0 → 90.0) in multiple-reaction-monitoring mode. We used a calibration model relying on bracketing and gravimetric measurements to give SI-traceability and higher accuracy to serum value assignments. The method was evaluated for accuracy using NIST Standard Reference Material SRM1955. The results of the three concentrations (1, 2, and 3) of total homocysteine in human serum samples were determined by an isotope-dilution liquid chromatography-tandem mass spectrometry method; tHcy 1 is 28.8 ± 1.1 μmol/L, tHcy 2 is 17.93 ± 0.57 μmol/L, and tHcy 3 is 14.38 ± 0.46 μmol/L. Graphical abstract The workflow diagram.","author":[{"dropping-particle":"","family":"Liu","given":"Yu","non-dropping-particle":"","parse-names":false,"suffix":""},{"dropping-particle":"","family":"Song","given":"Dewei","non-dropping-particle":"","parse-names":false,"suffix":""},{"dropping-particle":"","family":"Xu","given":"Bei","non-dropping-particle":"","parse-names":false,"suffix":""},{"dropping-particle":"","family":"Li","given":"Hongmei","non-dropping-particle":"","parse-names":false,"suffix":""},{"dropping-particle":"","family":"Dai","given":"Xinhua","non-dropping-particle":"","parse-names":false,"suffix":""},{"dropping-particle":"","family":"Chen","given":"Baorong","non-dropping-particle":"","parse-names":false,"suffix":""}],"container-title":"Analytical and bioanalytical chemistry","id":"ITEM-1","issue":"13","issued":{"date-parts":[["2017","5"]]},"page":"3329-3335","title":"Development of a matrix-based candidate reference material of total homocysteine in human serum.","type":"article-journal","volume":"409"},"uris":["http://www.mendeley.com/documents/?uuid=516521ce-39ba-494d-968a-c2f3f536e0ad"]}],"mendeley":{"formattedCitation":"[66]","manualFormatting":")","plainTextFormattedCitation":"[66]","previouslyFormattedCitation":"[66]"},"properties":{"noteIndex":0},"schema":"https://github.com/citation-style-language/schema/raw/master/csl-citation.json"}</w:instrText>
      </w:r>
      <w:r w:rsidRPr="006A361A">
        <w:rPr>
          <w:b w:val="0"/>
          <w:bCs/>
        </w:rPr>
        <w:fldChar w:fldCharType="separate"/>
      </w:r>
      <w:r w:rsidRPr="006A361A">
        <w:rPr>
          <w:b w:val="0"/>
          <w:bCs/>
          <w:noProof/>
        </w:rPr>
        <w:t>)</w:t>
      </w:r>
      <w:r w:rsidRPr="006A361A">
        <w:rPr>
          <w:b w:val="0"/>
          <w:bCs/>
        </w:rPr>
        <w:fldChar w:fldCharType="end"/>
      </w:r>
      <w:r w:rsidRPr="006A361A">
        <w:rPr>
          <w:b w:val="0"/>
          <w:bCs/>
        </w:rPr>
        <w:t>. ND=Not detected metabolite.</w:t>
      </w:r>
      <w:r>
        <w:rPr>
          <w:b w:val="0"/>
          <w:bCs/>
        </w:rPr>
        <w:t xml:space="preserve"> </w:t>
      </w:r>
      <w:r>
        <w:rPr>
          <w:rFonts w:ascii="Calibri" w:hAnsi="Calibri" w:cs="Calibri"/>
          <w:b w:val="0"/>
          <w:bCs/>
          <w:iCs w:val="0"/>
          <w:color w:val="auto"/>
          <w:lang w:eastAsia="es-ES"/>
        </w:rPr>
        <w:t xml:space="preserve">Glutathione (GSH); </w:t>
      </w:r>
      <w:r w:rsidRPr="00175770">
        <w:rPr>
          <w:b w:val="0"/>
        </w:rPr>
        <w:t>pyridoxal 5’ phosphate</w:t>
      </w:r>
      <w:r>
        <w:rPr>
          <w:rFonts w:ascii="Calibri" w:hAnsi="Calibri" w:cs="Calibri"/>
          <w:b w:val="0"/>
          <w:bCs/>
          <w:iCs w:val="0"/>
          <w:color w:val="auto"/>
          <w:lang w:eastAsia="es-ES"/>
        </w:rPr>
        <w:t xml:space="preserve"> (PLP);</w:t>
      </w:r>
      <w:r w:rsidRPr="00175770">
        <w:rPr>
          <w:rFonts w:ascii="Calibri" w:hAnsi="Calibri" w:cs="Calibri"/>
          <w:b w:val="0"/>
          <w:bCs/>
          <w:iCs w:val="0"/>
          <w:color w:val="auto"/>
          <w:lang w:eastAsia="es-ES"/>
        </w:rPr>
        <w:t xml:space="preserve"> S-adenosylmethionine (SAM)</w:t>
      </w:r>
      <w:r>
        <w:rPr>
          <w:rFonts w:ascii="Calibri" w:hAnsi="Calibri" w:cs="Calibri"/>
          <w:b w:val="0"/>
          <w:bCs/>
          <w:iCs w:val="0"/>
          <w:color w:val="auto"/>
          <w:lang w:eastAsia="es-ES"/>
        </w:rPr>
        <w:t>;</w:t>
      </w:r>
      <w:r w:rsidRPr="00175770">
        <w:rPr>
          <w:rFonts w:ascii="Calibri" w:hAnsi="Calibri" w:cs="Calibri"/>
          <w:b w:val="0"/>
          <w:bCs/>
          <w:iCs w:val="0"/>
          <w:color w:val="auto"/>
          <w:lang w:eastAsia="es-ES"/>
        </w:rPr>
        <w:t xml:space="preserve"> S-adenosylhomocysteine (SAH)</w:t>
      </w:r>
      <w:r>
        <w:rPr>
          <w:rFonts w:ascii="Calibri" w:hAnsi="Calibri" w:cs="Calibri"/>
          <w:b w:val="0"/>
          <w:bCs/>
          <w:iCs w:val="0"/>
          <w:color w:val="auto"/>
          <w:lang w:eastAsia="es-ES"/>
        </w:rPr>
        <w:t>.</w:t>
      </w:r>
      <w:r w:rsidRPr="00175770">
        <w:rPr>
          <w:rFonts w:ascii="Calibri" w:hAnsi="Calibri" w:cs="Calibri"/>
          <w:b w:val="0"/>
          <w:bCs/>
          <w:iCs w:val="0"/>
          <w:color w:val="auto"/>
          <w:lang w:eastAsia="es-ES"/>
        </w:rPr>
        <w:t xml:space="preserve"> </w:t>
      </w:r>
      <w:r>
        <w:rPr>
          <w:rFonts w:ascii="Calibri" w:hAnsi="Calibri" w:cs="Calibri"/>
          <w:b w:val="0"/>
          <w:bCs/>
          <w:iCs w:val="0"/>
          <w:color w:val="auto"/>
          <w:lang w:eastAsia="es-ES"/>
        </w:rPr>
        <w:t xml:space="preserve"> </w:t>
      </w:r>
    </w:p>
    <w:tbl>
      <w:tblPr>
        <w:tblW w:w="5000" w:type="pct"/>
        <w:tblCellMar>
          <w:left w:w="70" w:type="dxa"/>
          <w:right w:w="70" w:type="dxa"/>
        </w:tblCellMar>
        <w:tblLook w:val="04A0" w:firstRow="1" w:lastRow="0" w:firstColumn="1" w:lastColumn="0" w:noHBand="0" w:noVBand="1"/>
      </w:tblPr>
      <w:tblGrid>
        <w:gridCol w:w="1330"/>
        <w:gridCol w:w="939"/>
        <w:gridCol w:w="793"/>
        <w:gridCol w:w="497"/>
        <w:gridCol w:w="363"/>
        <w:gridCol w:w="714"/>
        <w:gridCol w:w="951"/>
        <w:gridCol w:w="740"/>
        <w:gridCol w:w="862"/>
        <w:gridCol w:w="1364"/>
        <w:gridCol w:w="807"/>
      </w:tblGrid>
      <w:tr w:rsidR="00CC607B" w:rsidRPr="006A361A" w:rsidTr="00246B26">
        <w:trPr>
          <w:trHeight w:val="57"/>
        </w:trPr>
        <w:tc>
          <w:tcPr>
            <w:tcW w:w="779"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b/>
                <w:bCs/>
                <w:color w:val="000000" w:themeColor="text1"/>
                <w:sz w:val="20"/>
                <w:szCs w:val="20"/>
                <w:lang w:val="en-US" w:eastAsia="ca-ES"/>
              </w:rPr>
            </w:pPr>
            <w:r w:rsidRPr="006A361A">
              <w:rPr>
                <w:rFonts w:ascii="Calibri" w:hAnsi="Calibri" w:cs="Calibri"/>
                <w:b/>
                <w:bCs/>
                <w:color w:val="000000" w:themeColor="text1"/>
                <w:sz w:val="20"/>
                <w:szCs w:val="20"/>
                <w:lang w:val="en-US" w:eastAsia="ca-ES"/>
              </w:rPr>
              <w:t>Compound</w:t>
            </w:r>
          </w:p>
        </w:tc>
        <w:tc>
          <w:tcPr>
            <w:tcW w:w="344"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b/>
                <w:bCs/>
                <w:color w:val="000000" w:themeColor="text1"/>
                <w:sz w:val="20"/>
                <w:szCs w:val="20"/>
                <w:lang w:val="en-US" w:eastAsia="ca-ES"/>
              </w:rPr>
            </w:pPr>
            <w:r w:rsidRPr="006A361A">
              <w:rPr>
                <w:rFonts w:ascii="Calibri" w:hAnsi="Calibri" w:cs="Calibri"/>
                <w:b/>
                <w:bCs/>
                <w:color w:val="000000" w:themeColor="text1"/>
                <w:sz w:val="20"/>
                <w:szCs w:val="20"/>
                <w:lang w:val="en-US" w:eastAsia="ca-ES"/>
              </w:rPr>
              <w:t>Precursor</w:t>
            </w:r>
          </w:p>
        </w:tc>
        <w:tc>
          <w:tcPr>
            <w:tcW w:w="356"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b/>
                <w:bCs/>
                <w:color w:val="000000" w:themeColor="text1"/>
                <w:sz w:val="20"/>
                <w:szCs w:val="20"/>
                <w:lang w:val="en-US" w:eastAsia="ca-ES"/>
              </w:rPr>
            </w:pPr>
            <w:r w:rsidRPr="006A361A">
              <w:rPr>
                <w:rFonts w:ascii="Calibri" w:hAnsi="Calibri" w:cs="Calibri"/>
                <w:b/>
                <w:bCs/>
                <w:color w:val="000000" w:themeColor="text1"/>
                <w:sz w:val="20"/>
                <w:szCs w:val="20"/>
                <w:lang w:val="en-US" w:eastAsia="ca-ES"/>
              </w:rPr>
              <w:t>Product</w:t>
            </w:r>
          </w:p>
        </w:tc>
        <w:tc>
          <w:tcPr>
            <w:tcW w:w="330"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b/>
                <w:bCs/>
                <w:color w:val="000000" w:themeColor="text1"/>
                <w:sz w:val="20"/>
                <w:szCs w:val="20"/>
                <w:lang w:val="en-US" w:eastAsia="ca-ES"/>
              </w:rPr>
            </w:pPr>
            <w:r w:rsidRPr="006A361A">
              <w:rPr>
                <w:rFonts w:ascii="Calibri" w:hAnsi="Calibri" w:cs="Calibri"/>
                <w:b/>
                <w:bCs/>
                <w:color w:val="000000" w:themeColor="text1"/>
                <w:sz w:val="20"/>
                <w:szCs w:val="20"/>
                <w:lang w:val="en-US" w:eastAsia="ca-ES"/>
              </w:rPr>
              <w:t>Frag</w:t>
            </w:r>
          </w:p>
        </w:tc>
        <w:tc>
          <w:tcPr>
            <w:tcW w:w="266"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b/>
                <w:bCs/>
                <w:color w:val="000000" w:themeColor="text1"/>
                <w:sz w:val="20"/>
                <w:szCs w:val="20"/>
                <w:lang w:val="en-US" w:eastAsia="ca-ES"/>
              </w:rPr>
            </w:pPr>
            <w:r w:rsidRPr="006A361A">
              <w:rPr>
                <w:rFonts w:ascii="Calibri" w:hAnsi="Calibri" w:cs="Calibri"/>
                <w:b/>
                <w:bCs/>
                <w:color w:val="000000" w:themeColor="text1"/>
                <w:sz w:val="20"/>
                <w:szCs w:val="20"/>
                <w:lang w:val="en-US" w:eastAsia="ca-ES"/>
              </w:rPr>
              <w:t>CE</w:t>
            </w:r>
          </w:p>
        </w:tc>
        <w:tc>
          <w:tcPr>
            <w:tcW w:w="449"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b/>
                <w:bCs/>
                <w:color w:val="000000" w:themeColor="text1"/>
                <w:sz w:val="20"/>
                <w:szCs w:val="20"/>
                <w:lang w:val="en-US" w:eastAsia="ca-ES"/>
              </w:rPr>
            </w:pPr>
            <w:r w:rsidRPr="006A361A">
              <w:rPr>
                <w:rFonts w:ascii="Calibri" w:hAnsi="Calibri" w:cs="Calibri"/>
                <w:b/>
                <w:bCs/>
                <w:color w:val="000000" w:themeColor="text1"/>
                <w:sz w:val="20"/>
                <w:szCs w:val="20"/>
                <w:lang w:val="en-US" w:eastAsia="ca-ES"/>
              </w:rPr>
              <w:t>CAV</w:t>
            </w:r>
          </w:p>
        </w:tc>
        <w:tc>
          <w:tcPr>
            <w:tcW w:w="576"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b/>
                <w:bCs/>
                <w:color w:val="000000" w:themeColor="text1"/>
                <w:sz w:val="20"/>
                <w:szCs w:val="20"/>
                <w:lang w:val="en-US" w:eastAsia="ca-ES"/>
              </w:rPr>
            </w:pPr>
            <w:r w:rsidRPr="006A361A">
              <w:rPr>
                <w:rFonts w:ascii="Calibri" w:hAnsi="Calibri" w:cs="Calibri"/>
                <w:b/>
                <w:bCs/>
                <w:color w:val="000000" w:themeColor="text1"/>
                <w:sz w:val="20"/>
                <w:szCs w:val="20"/>
                <w:lang w:val="en-US" w:eastAsia="ca-ES"/>
              </w:rPr>
              <w:t>RT</w:t>
            </w:r>
          </w:p>
        </w:tc>
        <w:tc>
          <w:tcPr>
            <w:tcW w:w="463"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b/>
                <w:bCs/>
                <w:color w:val="000000" w:themeColor="text1"/>
                <w:sz w:val="20"/>
                <w:szCs w:val="20"/>
                <w:lang w:val="en-US" w:eastAsia="ca-ES"/>
              </w:rPr>
            </w:pPr>
            <w:r w:rsidRPr="006A361A">
              <w:rPr>
                <w:rFonts w:cstheme="minorHAnsi"/>
                <w:b/>
                <w:bCs/>
                <w:sz w:val="20"/>
                <w:szCs w:val="20"/>
                <w:lang w:val="en-US"/>
              </w:rPr>
              <w:t>Δ</w:t>
            </w:r>
            <w:r w:rsidRPr="006A361A">
              <w:rPr>
                <w:b/>
                <w:bCs/>
                <w:sz w:val="20"/>
                <w:szCs w:val="20"/>
                <w:lang w:val="en-US"/>
              </w:rPr>
              <w:t>RT</w:t>
            </w:r>
          </w:p>
        </w:tc>
        <w:tc>
          <w:tcPr>
            <w:tcW w:w="363"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b/>
                <w:bCs/>
                <w:color w:val="000000" w:themeColor="text1"/>
                <w:sz w:val="20"/>
                <w:szCs w:val="20"/>
                <w:lang w:val="en-US" w:eastAsia="ca-ES"/>
              </w:rPr>
            </w:pPr>
            <w:r w:rsidRPr="006A361A">
              <w:rPr>
                <w:rFonts w:ascii="Calibri" w:hAnsi="Calibri" w:cs="Calibri"/>
                <w:b/>
                <w:bCs/>
                <w:color w:val="000000" w:themeColor="text1"/>
                <w:sz w:val="20"/>
                <w:szCs w:val="20"/>
                <w:lang w:val="en-US" w:eastAsia="ca-ES"/>
              </w:rPr>
              <w:t>Polarity</w:t>
            </w:r>
          </w:p>
        </w:tc>
        <w:tc>
          <w:tcPr>
            <w:tcW w:w="629" w:type="pct"/>
            <w:tcBorders>
              <w:top w:val="nil"/>
              <w:left w:val="nil"/>
              <w:bottom w:val="single" w:sz="12" w:space="0" w:color="auto"/>
              <w:right w:val="nil"/>
            </w:tcBorders>
            <w:vAlign w:val="bottom"/>
          </w:tcPr>
          <w:p w:rsidR="00CC607B" w:rsidRPr="006A361A" w:rsidRDefault="00CC607B" w:rsidP="00246B26">
            <w:pPr>
              <w:spacing w:line="240" w:lineRule="auto"/>
              <w:contextualSpacing/>
              <w:rPr>
                <w:rFonts w:ascii="Calibri" w:hAnsi="Calibri" w:cs="Calibri"/>
                <w:b/>
                <w:bCs/>
                <w:color w:val="000000" w:themeColor="text1"/>
                <w:sz w:val="20"/>
                <w:szCs w:val="20"/>
                <w:lang w:val="en-US" w:eastAsia="ca-ES"/>
              </w:rPr>
            </w:pPr>
            <w:r w:rsidRPr="006A361A">
              <w:rPr>
                <w:rFonts w:ascii="Calibri" w:hAnsi="Calibri" w:cs="Calibri"/>
                <w:b/>
                <w:bCs/>
                <w:color w:val="000000" w:themeColor="text1"/>
                <w:sz w:val="20"/>
                <w:szCs w:val="20"/>
                <w:lang w:val="en-US" w:eastAsia="ca-ES"/>
              </w:rPr>
              <w:t>Extraction</w:t>
            </w:r>
          </w:p>
        </w:tc>
        <w:tc>
          <w:tcPr>
            <w:tcW w:w="445" w:type="pct"/>
            <w:tcBorders>
              <w:top w:val="nil"/>
              <w:left w:val="nil"/>
              <w:bottom w:val="single" w:sz="12" w:space="0" w:color="auto"/>
              <w:right w:val="nil"/>
            </w:tcBorders>
            <w:vAlign w:val="bottom"/>
          </w:tcPr>
          <w:p w:rsidR="00CC607B" w:rsidRPr="006A361A" w:rsidRDefault="00CC607B" w:rsidP="00246B26">
            <w:pPr>
              <w:spacing w:line="240" w:lineRule="auto"/>
              <w:contextualSpacing/>
              <w:rPr>
                <w:rFonts w:ascii="Calibri" w:hAnsi="Calibri" w:cs="Calibri"/>
                <w:b/>
                <w:bCs/>
                <w:color w:val="000000" w:themeColor="text1"/>
                <w:sz w:val="20"/>
                <w:szCs w:val="20"/>
                <w:lang w:val="en-US" w:eastAsia="ca-ES"/>
              </w:rPr>
            </w:pPr>
            <w:r>
              <w:rPr>
                <w:rFonts w:ascii="Calibri" w:hAnsi="Calibri" w:cs="Calibri"/>
                <w:b/>
                <w:bCs/>
                <w:color w:val="000000" w:themeColor="text1"/>
                <w:sz w:val="20"/>
                <w:szCs w:val="20"/>
                <w:lang w:val="en-US" w:eastAsia="ca-ES"/>
              </w:rPr>
              <w:t>Method</w:t>
            </w:r>
          </w:p>
        </w:tc>
      </w:tr>
      <w:tr w:rsidR="00CC607B" w:rsidRPr="006A361A" w:rsidTr="00246B26">
        <w:trPr>
          <w:trHeight w:val="57"/>
        </w:trPr>
        <w:tc>
          <w:tcPr>
            <w:tcW w:w="5000" w:type="pct"/>
            <w:gridSpan w:val="11"/>
            <w:tcBorders>
              <w:top w:val="single" w:sz="8" w:space="0" w:color="auto"/>
              <w:left w:val="nil"/>
              <w:bottom w:val="single" w:sz="8" w:space="0" w:color="auto"/>
              <w:right w:val="nil"/>
            </w:tcBorders>
            <w:shd w:val="clear" w:color="auto" w:fill="auto"/>
            <w:vAlign w:val="bottom"/>
          </w:tcPr>
          <w:p w:rsidR="00CC607B" w:rsidRPr="006A361A" w:rsidRDefault="00CC607B" w:rsidP="00246B26">
            <w:pPr>
              <w:spacing w:line="240" w:lineRule="auto"/>
              <w:contextualSpacing/>
              <w:rPr>
                <w:rFonts w:ascii="Calibri" w:hAnsi="Calibri" w:cs="Calibri"/>
                <w:b/>
                <w:bCs/>
                <w:color w:val="000000" w:themeColor="text1"/>
                <w:sz w:val="20"/>
                <w:szCs w:val="20"/>
                <w:lang w:val="en-US" w:eastAsia="ca-ES"/>
              </w:rPr>
            </w:pPr>
            <w:r w:rsidRPr="006A361A">
              <w:rPr>
                <w:rFonts w:ascii="Calibri" w:hAnsi="Calibri" w:cs="Calibri"/>
                <w:b/>
                <w:bCs/>
                <w:color w:val="000000" w:themeColor="text1"/>
                <w:sz w:val="20"/>
                <w:szCs w:val="20"/>
                <w:lang w:val="en-US" w:eastAsia="ca-ES"/>
              </w:rPr>
              <w:t>Methionine metabolism</w:t>
            </w:r>
          </w:p>
        </w:tc>
      </w:tr>
      <w:tr w:rsidR="00CC607B" w:rsidRPr="006A361A" w:rsidTr="00246B26">
        <w:trPr>
          <w:trHeight w:val="57"/>
        </w:trPr>
        <w:tc>
          <w:tcPr>
            <w:tcW w:w="779" w:type="pct"/>
            <w:tcBorders>
              <w:top w:val="single" w:sz="8" w:space="0" w:color="auto"/>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Betaine</w:t>
            </w:r>
          </w:p>
        </w:tc>
        <w:tc>
          <w:tcPr>
            <w:tcW w:w="344" w:type="pct"/>
            <w:tcBorders>
              <w:top w:val="single" w:sz="8" w:space="0" w:color="auto"/>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118.09</w:t>
            </w:r>
          </w:p>
        </w:tc>
        <w:tc>
          <w:tcPr>
            <w:tcW w:w="356" w:type="pct"/>
            <w:tcBorders>
              <w:top w:val="single" w:sz="8" w:space="0" w:color="auto"/>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59.2</w:t>
            </w:r>
          </w:p>
        </w:tc>
        <w:tc>
          <w:tcPr>
            <w:tcW w:w="330" w:type="pct"/>
            <w:tcBorders>
              <w:top w:val="single" w:sz="8" w:space="0" w:color="auto"/>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136</w:t>
            </w:r>
          </w:p>
        </w:tc>
        <w:tc>
          <w:tcPr>
            <w:tcW w:w="266" w:type="pct"/>
            <w:tcBorders>
              <w:top w:val="single" w:sz="8" w:space="0" w:color="auto"/>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16</w:t>
            </w:r>
          </w:p>
        </w:tc>
        <w:tc>
          <w:tcPr>
            <w:tcW w:w="449" w:type="pct"/>
            <w:tcBorders>
              <w:top w:val="single" w:sz="8" w:space="0" w:color="auto"/>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single" w:sz="8" w:space="0" w:color="auto"/>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0.425</w:t>
            </w:r>
          </w:p>
        </w:tc>
        <w:tc>
          <w:tcPr>
            <w:tcW w:w="463" w:type="pct"/>
            <w:tcBorders>
              <w:top w:val="single" w:sz="8" w:space="0" w:color="auto"/>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single" w:sz="8" w:space="0" w:color="auto"/>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single" w:sz="8" w:space="0" w:color="auto"/>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single" w:sz="8" w:space="0" w:color="auto"/>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w:t>
            </w:r>
            <w:r>
              <w:rPr>
                <w:rFonts w:ascii="Calibri" w:hAnsi="Calibri" w:cs="Calibri"/>
                <w:color w:val="000000" w:themeColor="text1"/>
                <w:sz w:val="20"/>
                <w:szCs w:val="20"/>
                <w:lang w:val="en-US" w:eastAsia="ca-ES"/>
              </w:rPr>
              <w:t xml:space="preserve">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Betaine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118.09</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58.2</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136</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32</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0.425</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w:t>
            </w:r>
            <w:r>
              <w:rPr>
                <w:rFonts w:ascii="Calibri" w:hAnsi="Calibri" w:cs="Calibri"/>
                <w:color w:val="000000" w:themeColor="text1"/>
                <w:sz w:val="20"/>
                <w:szCs w:val="20"/>
                <w:lang w:val="en-US" w:eastAsia="ca-ES"/>
              </w:rPr>
              <w:t xml:space="preserve">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Cysteine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122.02</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76</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64</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12</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6.312</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Pr>
                <w:rFonts w:ascii="Calibri" w:hAnsi="Calibri" w:cs="Calibri"/>
                <w:color w:val="000000" w:themeColor="text1"/>
                <w:sz w:val="20"/>
                <w:szCs w:val="20"/>
                <w:lang w:val="en-US" w:eastAsia="ca-ES"/>
              </w:rPr>
              <w:t>ACN</w:t>
            </w:r>
          </w:p>
        </w:tc>
        <w:tc>
          <w:tcPr>
            <w:tcW w:w="445"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r>
              <w:rPr>
                <w:rFonts w:ascii="Calibri" w:hAnsi="Calibri" w:cs="Calibri"/>
                <w:color w:val="000000" w:themeColor="text1"/>
                <w:sz w:val="20"/>
                <w:szCs w:val="20"/>
                <w:lang w:val="en-US" w:eastAsia="ca-ES"/>
              </w:rPr>
              <w:t xml:space="preserve"> [61]</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Cysteine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122.02</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59</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64</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24</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6.312</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Pr>
                <w:rFonts w:ascii="Calibri" w:hAnsi="Calibri" w:cs="Calibri"/>
                <w:color w:val="000000" w:themeColor="text1"/>
                <w:sz w:val="20"/>
                <w:szCs w:val="20"/>
                <w:lang w:val="en-US" w:eastAsia="ca-ES"/>
              </w:rPr>
              <w:t>ACN</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454242">
              <w:rPr>
                <w:rFonts w:ascii="Calibri" w:hAnsi="Calibri" w:cs="Calibri"/>
                <w:color w:val="000000" w:themeColor="text1"/>
                <w:sz w:val="20"/>
                <w:szCs w:val="20"/>
                <w:lang w:val="en-US" w:eastAsia="ca-ES"/>
              </w:rPr>
              <w:t>2 [61]</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Cystathionine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223.07</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134</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88</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6.818</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4B5ACB">
              <w:rPr>
                <w:rFonts w:ascii="Calibri" w:hAnsi="Calibri" w:cs="Calibri"/>
                <w:color w:val="000000" w:themeColor="text1"/>
                <w:sz w:val="20"/>
                <w:szCs w:val="20"/>
                <w:lang w:val="en-US" w:eastAsia="ca-ES"/>
              </w:rPr>
              <w:t>ACN</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454242">
              <w:rPr>
                <w:rFonts w:ascii="Calibri" w:hAnsi="Calibri" w:cs="Calibri"/>
                <w:color w:val="000000" w:themeColor="text1"/>
                <w:sz w:val="20"/>
                <w:szCs w:val="20"/>
                <w:lang w:val="en-US" w:eastAsia="ca-ES"/>
              </w:rPr>
              <w:t>2 [61]</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Cystathionine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223.07</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88</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88</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28</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6.818</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4B5ACB">
              <w:rPr>
                <w:rFonts w:ascii="Calibri" w:hAnsi="Calibri" w:cs="Calibri"/>
                <w:color w:val="000000" w:themeColor="text1"/>
                <w:sz w:val="20"/>
                <w:szCs w:val="20"/>
                <w:lang w:val="en-US" w:eastAsia="ca-ES"/>
              </w:rPr>
              <w:t>ACN</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454242">
              <w:rPr>
                <w:rFonts w:ascii="Calibri" w:hAnsi="Calibri" w:cs="Calibri"/>
                <w:color w:val="000000" w:themeColor="text1"/>
                <w:sz w:val="20"/>
                <w:szCs w:val="20"/>
                <w:lang w:val="en-US" w:eastAsia="ca-ES"/>
              </w:rPr>
              <w:t>2 [61]</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Pr>
                <w:rFonts w:ascii="Calibri" w:hAnsi="Calibri" w:cs="Calibri"/>
                <w:color w:val="000000" w:themeColor="text1"/>
                <w:sz w:val="20"/>
                <w:szCs w:val="20"/>
                <w:lang w:val="en-US" w:eastAsia="ca-ES"/>
              </w:rPr>
              <w:t>GSH</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308.09</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179</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88</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0.5</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4B5ACB">
              <w:rPr>
                <w:rFonts w:ascii="Calibri" w:hAnsi="Calibri" w:cs="Calibri"/>
                <w:color w:val="000000" w:themeColor="text1"/>
                <w:sz w:val="20"/>
                <w:szCs w:val="20"/>
                <w:lang w:val="en-US" w:eastAsia="ca-ES"/>
              </w:rPr>
              <w:t>ACN</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1E774E">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Pr>
                <w:rFonts w:ascii="Calibri" w:hAnsi="Calibri" w:cs="Calibri"/>
                <w:color w:val="000000" w:themeColor="text1"/>
                <w:sz w:val="20"/>
                <w:szCs w:val="20"/>
                <w:lang w:val="en-US" w:eastAsia="ca-ES"/>
              </w:rPr>
              <w:t>GSH</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308.09</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76</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88</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24</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0.5</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4B5ACB">
              <w:rPr>
                <w:rFonts w:ascii="Calibri" w:hAnsi="Calibri" w:cs="Calibri"/>
                <w:color w:val="000000" w:themeColor="text1"/>
                <w:sz w:val="20"/>
                <w:szCs w:val="20"/>
                <w:lang w:val="en-US" w:eastAsia="ca-ES"/>
              </w:rPr>
              <w:t>ACN</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1E774E">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Homocysteine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136.18</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90.1</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135</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7.225</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4B5ACB">
              <w:rPr>
                <w:rFonts w:ascii="Calibri" w:hAnsi="Calibri" w:cs="Calibri"/>
                <w:color w:val="000000" w:themeColor="text1"/>
                <w:sz w:val="20"/>
                <w:szCs w:val="20"/>
                <w:lang w:val="en-US" w:eastAsia="ca-ES"/>
              </w:rPr>
              <w:t>ACN</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22462">
              <w:rPr>
                <w:rFonts w:ascii="Calibri" w:hAnsi="Calibri" w:cs="Calibri"/>
                <w:color w:val="000000" w:themeColor="text1"/>
                <w:sz w:val="20"/>
                <w:szCs w:val="20"/>
                <w:lang w:val="en-US" w:eastAsia="ca-ES"/>
              </w:rPr>
              <w:t>2 [61]</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Homocysteine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136.18</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56.2</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135</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7.225</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4B5ACB">
              <w:rPr>
                <w:rFonts w:ascii="Calibri" w:hAnsi="Calibri" w:cs="Calibri"/>
                <w:color w:val="000000" w:themeColor="text1"/>
                <w:sz w:val="20"/>
                <w:szCs w:val="20"/>
                <w:lang w:val="en-US" w:eastAsia="ca-ES"/>
              </w:rPr>
              <w:t>ACN</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22462">
              <w:rPr>
                <w:rFonts w:ascii="Calibri" w:hAnsi="Calibri" w:cs="Calibri"/>
                <w:color w:val="000000" w:themeColor="text1"/>
                <w:sz w:val="20"/>
                <w:szCs w:val="20"/>
                <w:lang w:val="en-US" w:eastAsia="ca-ES"/>
              </w:rPr>
              <w:t>2 [61]</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Methionine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150.05</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104</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64</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0.48</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4B5ACB">
              <w:rPr>
                <w:rFonts w:ascii="Calibri" w:hAnsi="Calibri" w:cs="Calibri"/>
                <w:color w:val="000000" w:themeColor="text1"/>
                <w:sz w:val="20"/>
                <w:szCs w:val="20"/>
                <w:lang w:val="en-US" w:eastAsia="ca-ES"/>
              </w:rPr>
              <w:t>ACN</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D25ED0">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Pyridoxal</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168.05</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150</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64</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0.522</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D25ED0">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Pyridoxal</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168.05</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94</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64</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24</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0.522</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D25ED0">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PLP</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248.03</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150</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112</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12</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0.7</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D25ED0">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PLP</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248.03</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67</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112</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32</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0.7</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D25ED0">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Pyridoxamine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169.09</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152</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64</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0.366</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D25ED0">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Pyridoxamine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169.09</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134</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64</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20</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0.366</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D25ED0">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SAH</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385.1</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136</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112</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20</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1.13</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D25ED0">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SAH</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385.1</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88</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112</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48</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1.13</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D25ED0">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SAM</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399.1</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250</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112</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12</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0.396</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F288F">
              <w:rPr>
                <w:rFonts w:ascii="Calibri" w:hAnsi="Calibri" w:cs="Calibri"/>
                <w:color w:val="000000" w:themeColor="text1"/>
                <w:sz w:val="20"/>
                <w:szCs w:val="20"/>
                <w:lang w:val="en-US" w:eastAsia="ca-ES"/>
              </w:rPr>
              <w:t>ACN</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D25ED0">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SAM</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399.1</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136</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112</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28</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0.396</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F288F">
              <w:rPr>
                <w:rFonts w:ascii="Calibri" w:hAnsi="Calibri" w:cs="Calibri"/>
                <w:color w:val="000000" w:themeColor="text1"/>
                <w:sz w:val="20"/>
                <w:szCs w:val="20"/>
                <w:lang w:val="en-US" w:eastAsia="ca-ES"/>
              </w:rPr>
              <w:t>ACN</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D25ED0">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Spermidine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146.1</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84</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88</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24</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D25ED0">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Spermidine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146.1</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72</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88</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12</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D25ED0">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Taurine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126.02</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108</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88</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0.38</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4525DC">
              <w:rPr>
                <w:rFonts w:ascii="Calibri" w:hAnsi="Calibri" w:cs="Calibri"/>
                <w:color w:val="000000" w:themeColor="text1"/>
                <w:sz w:val="20"/>
                <w:szCs w:val="20"/>
                <w:lang w:val="en-US" w:eastAsia="ca-ES"/>
              </w:rPr>
              <w:t>ACN</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D25ED0">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single" w:sz="4" w:space="0" w:color="auto"/>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Taurine</w:t>
            </w:r>
          </w:p>
        </w:tc>
        <w:tc>
          <w:tcPr>
            <w:tcW w:w="344" w:type="pct"/>
            <w:tcBorders>
              <w:top w:val="nil"/>
              <w:left w:val="nil"/>
              <w:bottom w:val="single" w:sz="4" w:space="0" w:color="auto"/>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124</w:t>
            </w:r>
          </w:p>
        </w:tc>
        <w:tc>
          <w:tcPr>
            <w:tcW w:w="356" w:type="pct"/>
            <w:tcBorders>
              <w:top w:val="nil"/>
              <w:left w:val="nil"/>
              <w:bottom w:val="single" w:sz="4" w:space="0" w:color="auto"/>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80</w:t>
            </w:r>
          </w:p>
        </w:tc>
        <w:tc>
          <w:tcPr>
            <w:tcW w:w="330" w:type="pct"/>
            <w:tcBorders>
              <w:top w:val="nil"/>
              <w:left w:val="nil"/>
              <w:bottom w:val="single" w:sz="4" w:space="0" w:color="auto"/>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112</w:t>
            </w:r>
          </w:p>
        </w:tc>
        <w:tc>
          <w:tcPr>
            <w:tcW w:w="266" w:type="pct"/>
            <w:tcBorders>
              <w:top w:val="nil"/>
              <w:left w:val="nil"/>
              <w:bottom w:val="single" w:sz="4" w:space="0" w:color="auto"/>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20</w:t>
            </w:r>
          </w:p>
        </w:tc>
        <w:tc>
          <w:tcPr>
            <w:tcW w:w="449" w:type="pct"/>
            <w:tcBorders>
              <w:top w:val="nil"/>
              <w:left w:val="nil"/>
              <w:bottom w:val="single" w:sz="4" w:space="0" w:color="auto"/>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single" w:sz="4" w:space="0" w:color="auto"/>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0.38</w:t>
            </w:r>
          </w:p>
        </w:tc>
        <w:tc>
          <w:tcPr>
            <w:tcW w:w="463" w:type="pct"/>
            <w:tcBorders>
              <w:top w:val="nil"/>
              <w:left w:val="nil"/>
              <w:bottom w:val="single" w:sz="4" w:space="0" w:color="auto"/>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single" w:sz="4" w:space="0" w:color="auto"/>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Negative</w:t>
            </w:r>
          </w:p>
        </w:tc>
        <w:tc>
          <w:tcPr>
            <w:tcW w:w="629" w:type="pct"/>
            <w:tcBorders>
              <w:top w:val="nil"/>
              <w:left w:val="nil"/>
              <w:bottom w:val="single" w:sz="4" w:space="0" w:color="auto"/>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rPr>
            </w:pPr>
            <w:r w:rsidRPr="004525DC">
              <w:rPr>
                <w:rFonts w:ascii="Calibri" w:hAnsi="Calibri" w:cs="Calibri"/>
                <w:color w:val="000000" w:themeColor="text1"/>
                <w:sz w:val="20"/>
                <w:szCs w:val="20"/>
                <w:lang w:val="en-US" w:eastAsia="ca-ES"/>
              </w:rPr>
              <w:t>ACN</w:t>
            </w:r>
          </w:p>
        </w:tc>
        <w:tc>
          <w:tcPr>
            <w:tcW w:w="445" w:type="pct"/>
            <w:tcBorders>
              <w:top w:val="nil"/>
              <w:left w:val="nil"/>
              <w:bottom w:val="single" w:sz="4" w:space="0" w:color="auto"/>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D25ED0">
              <w:rPr>
                <w:rFonts w:ascii="Calibri" w:hAnsi="Calibri" w:cs="Calibri"/>
                <w:color w:val="000000" w:themeColor="text1"/>
                <w:sz w:val="20"/>
                <w:szCs w:val="20"/>
                <w:lang w:val="en-US" w:eastAsia="ca-ES"/>
              </w:rPr>
              <w:t>1 [62]</w:t>
            </w:r>
          </w:p>
        </w:tc>
      </w:tr>
      <w:tr w:rsidR="00CC607B" w:rsidRPr="006A361A" w:rsidTr="00246B26">
        <w:trPr>
          <w:trHeight w:val="57"/>
        </w:trPr>
        <w:tc>
          <w:tcPr>
            <w:tcW w:w="5000" w:type="pct"/>
            <w:gridSpan w:val="11"/>
            <w:tcBorders>
              <w:top w:val="single" w:sz="4" w:space="0" w:color="auto"/>
              <w:left w:val="nil"/>
              <w:bottom w:val="single" w:sz="4" w:space="0" w:color="auto"/>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b/>
                <w:color w:val="000000" w:themeColor="text1"/>
                <w:sz w:val="20"/>
                <w:szCs w:val="20"/>
                <w:lang w:val="en-US" w:eastAsia="ca-ES"/>
              </w:rPr>
              <w:t>Amino acids</w:t>
            </w:r>
          </w:p>
        </w:tc>
      </w:tr>
      <w:tr w:rsidR="00CC607B" w:rsidRPr="006A361A" w:rsidTr="00246B26">
        <w:trPr>
          <w:trHeight w:val="57"/>
        </w:trPr>
        <w:tc>
          <w:tcPr>
            <w:tcW w:w="779" w:type="pct"/>
            <w:tcBorders>
              <w:top w:val="single" w:sz="4" w:space="0" w:color="auto"/>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Alanine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90.06</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44.2</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0.376</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D25ED0">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Arginine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175.1</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70.2</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20</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0.32</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Arginine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175.1</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60.2</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0.32</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Asparagine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133</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74.1</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0.376</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 xml:space="preserve">Aspartate </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134</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43.2</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0.362</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 xml:space="preserve">Aspartate </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132</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88.1</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0.362</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Negative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Glutamate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146</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102.1</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0.363</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Negative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Glutamate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146</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41</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0.363</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Negative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Glycine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76.04</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48</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0.34</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Glycine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76.04</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30</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0.34</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Histidine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156</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110.1</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0.32</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Histidine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156</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56.2</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0.32</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Isoleucine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132.1</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86</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64</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0.591</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Isoleucine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132.1</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69</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64</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16</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0.591</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Leucine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132.1</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86</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64</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0.591</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Leucine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132.1</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69</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64</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16</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0.591</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Phenylalanine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164</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147</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100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0.841</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Negative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Phenylalanine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164</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103.1</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100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0.841</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Negative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Proline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116</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70.2</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0.392</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lastRenderedPageBreak/>
              <w:t>Serine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106.05</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60</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64</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0.35</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Serine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106.05</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42</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64</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24</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0.35</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Serine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104.03</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74</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64</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0.35</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Negative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Threonine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120</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74.2</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0.358</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Threonine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120</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56.2</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0.358</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Tryptophan</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205</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188.1</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1.23</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Tryptophan</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205</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146.1</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1.23</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Tyrosine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180.1</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163.1</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100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0.548</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Negative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Tyrosine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180.1</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119.1</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100</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15</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0.548</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Negative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Valine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118.08</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72</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64</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0.43</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Valine</w:t>
            </w:r>
          </w:p>
        </w:tc>
        <w:tc>
          <w:tcPr>
            <w:tcW w:w="344"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118.08</w:t>
            </w:r>
          </w:p>
        </w:tc>
        <w:tc>
          <w:tcPr>
            <w:tcW w:w="35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55</w:t>
            </w:r>
          </w:p>
        </w:tc>
        <w:tc>
          <w:tcPr>
            <w:tcW w:w="330"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64</w:t>
            </w:r>
          </w:p>
        </w:tc>
        <w:tc>
          <w:tcPr>
            <w:tcW w:w="26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20</w:t>
            </w:r>
          </w:p>
        </w:tc>
        <w:tc>
          <w:tcPr>
            <w:tcW w:w="449"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0.43</w:t>
            </w:r>
          </w:p>
        </w:tc>
        <w:tc>
          <w:tcPr>
            <w:tcW w:w="4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055249">
              <w:rPr>
                <w:rFonts w:ascii="Calibri" w:hAnsi="Calibri" w:cs="Calibri"/>
                <w:color w:val="000000" w:themeColor="text1"/>
                <w:sz w:val="20"/>
                <w:szCs w:val="20"/>
                <w:lang w:val="en-US" w:eastAsia="ca-ES"/>
              </w:rPr>
              <w:t>1 [62]</w:t>
            </w:r>
          </w:p>
        </w:tc>
      </w:tr>
      <w:tr w:rsidR="00CC607B" w:rsidRPr="006A361A" w:rsidTr="00246B26">
        <w:trPr>
          <w:trHeight w:val="57"/>
        </w:trPr>
        <w:tc>
          <w:tcPr>
            <w:tcW w:w="3926" w:type="pct"/>
            <w:gridSpan w:val="9"/>
            <w:tcBorders>
              <w:top w:val="single" w:sz="8" w:space="0" w:color="auto"/>
              <w:left w:val="nil"/>
              <w:bottom w:val="single" w:sz="8" w:space="0" w:color="auto"/>
              <w:right w:val="nil"/>
            </w:tcBorders>
            <w:shd w:val="clear" w:color="auto" w:fill="auto"/>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b/>
                <w:color w:val="000000" w:themeColor="text1"/>
                <w:sz w:val="20"/>
                <w:szCs w:val="20"/>
                <w:lang w:val="en-US" w:eastAsia="ca-ES"/>
              </w:rPr>
              <w:t>Lipid and protein intermediates</w:t>
            </w:r>
          </w:p>
        </w:tc>
        <w:tc>
          <w:tcPr>
            <w:tcW w:w="629" w:type="pct"/>
            <w:tcBorders>
              <w:top w:val="single" w:sz="8" w:space="0" w:color="auto"/>
              <w:left w:val="nil"/>
              <w:bottom w:val="single" w:sz="8" w:space="0" w:color="auto"/>
              <w:right w:val="nil"/>
            </w:tcBorders>
            <w:vAlign w:val="bottom"/>
          </w:tcPr>
          <w:p w:rsidR="00CC607B" w:rsidRPr="006A361A" w:rsidRDefault="00CC607B" w:rsidP="00246B26">
            <w:pPr>
              <w:spacing w:line="240" w:lineRule="auto"/>
              <w:contextualSpacing/>
              <w:rPr>
                <w:rFonts w:ascii="Calibri" w:hAnsi="Calibri" w:cs="Calibri"/>
                <w:b/>
                <w:color w:val="000000" w:themeColor="text1"/>
                <w:sz w:val="20"/>
                <w:szCs w:val="20"/>
                <w:lang w:val="en-US" w:eastAsia="ca-ES"/>
              </w:rPr>
            </w:pPr>
          </w:p>
        </w:tc>
        <w:tc>
          <w:tcPr>
            <w:tcW w:w="445" w:type="pct"/>
            <w:tcBorders>
              <w:top w:val="single" w:sz="8" w:space="0" w:color="auto"/>
              <w:left w:val="nil"/>
              <w:bottom w:val="single" w:sz="8" w:space="0" w:color="auto"/>
              <w:right w:val="nil"/>
            </w:tcBorders>
            <w:vAlign w:val="bottom"/>
          </w:tcPr>
          <w:p w:rsidR="00CC607B" w:rsidRPr="006A361A" w:rsidRDefault="00CC607B" w:rsidP="00246B26">
            <w:pPr>
              <w:spacing w:line="240" w:lineRule="auto"/>
              <w:contextualSpacing/>
              <w:rPr>
                <w:rFonts w:ascii="Calibri" w:hAnsi="Calibri" w:cs="Calibri"/>
                <w:b/>
                <w:color w:val="000000" w:themeColor="text1"/>
                <w:sz w:val="20"/>
                <w:szCs w:val="20"/>
                <w:lang w:val="en-US" w:eastAsia="ca-ES"/>
              </w:rPr>
            </w:pPr>
          </w:p>
        </w:tc>
      </w:tr>
      <w:tr w:rsidR="00CC607B" w:rsidRPr="006A361A" w:rsidTr="00246B26">
        <w:trPr>
          <w:trHeight w:val="57"/>
        </w:trPr>
        <w:tc>
          <w:tcPr>
            <w:tcW w:w="779" w:type="pct"/>
            <w:tcBorders>
              <w:top w:val="single" w:sz="8" w:space="0" w:color="auto"/>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Carnitine</w:t>
            </w:r>
          </w:p>
        </w:tc>
        <w:tc>
          <w:tcPr>
            <w:tcW w:w="344" w:type="pct"/>
            <w:tcBorders>
              <w:top w:val="single" w:sz="8" w:space="0" w:color="auto"/>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162.12</w:t>
            </w:r>
          </w:p>
        </w:tc>
        <w:tc>
          <w:tcPr>
            <w:tcW w:w="356" w:type="pct"/>
            <w:tcBorders>
              <w:top w:val="single" w:sz="8" w:space="0" w:color="auto"/>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103.1</w:t>
            </w:r>
          </w:p>
        </w:tc>
        <w:tc>
          <w:tcPr>
            <w:tcW w:w="330" w:type="pct"/>
            <w:tcBorders>
              <w:top w:val="nil"/>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88</w:t>
            </w:r>
          </w:p>
        </w:tc>
        <w:tc>
          <w:tcPr>
            <w:tcW w:w="266" w:type="pct"/>
            <w:tcBorders>
              <w:top w:val="nil"/>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16</w:t>
            </w:r>
          </w:p>
        </w:tc>
        <w:tc>
          <w:tcPr>
            <w:tcW w:w="449" w:type="pct"/>
            <w:tcBorders>
              <w:top w:val="nil"/>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0.393</w:t>
            </w:r>
          </w:p>
        </w:tc>
        <w:tc>
          <w:tcPr>
            <w:tcW w:w="463" w:type="pct"/>
            <w:tcBorders>
              <w:top w:val="nil"/>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5956D3">
              <w:rPr>
                <w:rFonts w:ascii="Calibri" w:hAnsi="Calibri" w:cs="Calibri"/>
                <w:color w:val="000000" w:themeColor="text1"/>
                <w:sz w:val="20"/>
                <w:szCs w:val="20"/>
                <w:lang w:val="en-US" w:eastAsia="ca-ES"/>
              </w:rPr>
              <w:t>1 [62]</w:t>
            </w:r>
          </w:p>
        </w:tc>
      </w:tr>
      <w:tr w:rsidR="00CC607B" w:rsidRPr="006A361A" w:rsidTr="00246B26">
        <w:trPr>
          <w:trHeight w:val="57"/>
        </w:trPr>
        <w:tc>
          <w:tcPr>
            <w:tcW w:w="779" w:type="pct"/>
            <w:tcBorders>
              <w:top w:val="nil"/>
              <w:left w:val="nil"/>
              <w:bottom w:val="nil"/>
              <w:right w:val="nil"/>
            </w:tcBorders>
            <w:shd w:val="clear" w:color="auto" w:fill="auto"/>
            <w:vAlign w:val="bottom"/>
          </w:tcPr>
          <w:p w:rsidR="00CC607B" w:rsidRPr="00E01827" w:rsidRDefault="00CC607B" w:rsidP="00246B26">
            <w:pPr>
              <w:spacing w:line="240" w:lineRule="auto"/>
              <w:contextualSpacing/>
              <w:rPr>
                <w:rFonts w:ascii="Calibri" w:hAnsi="Calibri" w:cs="Calibri"/>
                <w:color w:val="000000" w:themeColor="text1"/>
                <w:sz w:val="20"/>
                <w:szCs w:val="20"/>
                <w:highlight w:val="yellow"/>
                <w:lang w:val="en-US" w:eastAsia="ca-ES"/>
              </w:rPr>
            </w:pPr>
            <w:r w:rsidRPr="006A361A">
              <w:rPr>
                <w:rFonts w:ascii="Calibri" w:hAnsi="Calibri" w:cs="Calibri"/>
                <w:color w:val="000000" w:themeColor="text1"/>
                <w:sz w:val="20"/>
                <w:szCs w:val="20"/>
                <w:lang w:val="en-US" w:eastAsia="ca-ES"/>
              </w:rPr>
              <w:t>Choline</w:t>
            </w:r>
          </w:p>
        </w:tc>
        <w:tc>
          <w:tcPr>
            <w:tcW w:w="344" w:type="pct"/>
            <w:tcBorders>
              <w:top w:val="nil"/>
              <w:left w:val="nil"/>
              <w:bottom w:val="nil"/>
              <w:right w:val="nil"/>
            </w:tcBorders>
            <w:shd w:val="clear" w:color="auto" w:fill="auto"/>
            <w:vAlign w:val="bottom"/>
          </w:tcPr>
          <w:p w:rsidR="00CC607B" w:rsidRPr="00E01827" w:rsidRDefault="00CC607B" w:rsidP="00246B26">
            <w:pPr>
              <w:spacing w:line="240" w:lineRule="auto"/>
              <w:contextualSpacing/>
              <w:rPr>
                <w:rFonts w:ascii="Calibri" w:hAnsi="Calibri" w:cs="Calibri"/>
                <w:color w:val="000000" w:themeColor="text1"/>
                <w:sz w:val="20"/>
                <w:szCs w:val="20"/>
                <w:highlight w:val="yellow"/>
                <w:lang w:val="en-US" w:eastAsia="ca-ES"/>
              </w:rPr>
            </w:pPr>
            <w:r w:rsidRPr="006A361A">
              <w:rPr>
                <w:rFonts w:ascii="Calibri" w:hAnsi="Calibri" w:cs="Calibri"/>
                <w:color w:val="000000" w:themeColor="text1"/>
                <w:sz w:val="20"/>
                <w:szCs w:val="20"/>
                <w:lang w:val="en-US" w:eastAsia="ca-ES"/>
              </w:rPr>
              <w:t>104.11</w:t>
            </w:r>
          </w:p>
        </w:tc>
        <w:tc>
          <w:tcPr>
            <w:tcW w:w="356" w:type="pct"/>
            <w:tcBorders>
              <w:top w:val="nil"/>
              <w:left w:val="nil"/>
              <w:bottom w:val="nil"/>
              <w:right w:val="nil"/>
            </w:tcBorders>
            <w:shd w:val="clear" w:color="auto" w:fill="auto"/>
            <w:vAlign w:val="bottom"/>
          </w:tcPr>
          <w:p w:rsidR="00CC607B" w:rsidRPr="00E01827" w:rsidRDefault="00CC607B" w:rsidP="00246B26">
            <w:pPr>
              <w:spacing w:line="240" w:lineRule="auto"/>
              <w:contextualSpacing/>
              <w:rPr>
                <w:rFonts w:ascii="Calibri" w:hAnsi="Calibri" w:cs="Calibri"/>
                <w:color w:val="000000" w:themeColor="text1"/>
                <w:sz w:val="20"/>
                <w:szCs w:val="20"/>
                <w:highlight w:val="yellow"/>
                <w:lang w:val="en-US" w:eastAsia="ca-ES"/>
              </w:rPr>
            </w:pPr>
            <w:r w:rsidRPr="006A361A">
              <w:rPr>
                <w:rFonts w:ascii="Calibri" w:hAnsi="Calibri" w:cs="Calibri"/>
                <w:color w:val="000000" w:themeColor="text1"/>
                <w:sz w:val="20"/>
                <w:szCs w:val="20"/>
                <w:lang w:val="en-US" w:eastAsia="ca-ES"/>
              </w:rPr>
              <w:t>60.2</w:t>
            </w:r>
          </w:p>
        </w:tc>
        <w:tc>
          <w:tcPr>
            <w:tcW w:w="330" w:type="pct"/>
            <w:tcBorders>
              <w:top w:val="nil"/>
              <w:left w:val="nil"/>
              <w:bottom w:val="nil"/>
              <w:right w:val="nil"/>
            </w:tcBorders>
            <w:shd w:val="clear" w:color="auto" w:fill="auto"/>
            <w:vAlign w:val="bottom"/>
          </w:tcPr>
          <w:p w:rsidR="00CC607B" w:rsidRPr="00E01827" w:rsidRDefault="00CC607B" w:rsidP="00246B26">
            <w:pPr>
              <w:spacing w:line="240" w:lineRule="auto"/>
              <w:contextualSpacing/>
              <w:rPr>
                <w:rFonts w:ascii="Calibri" w:hAnsi="Calibri" w:cs="Calibri"/>
                <w:color w:val="000000" w:themeColor="text1"/>
                <w:sz w:val="20"/>
                <w:szCs w:val="20"/>
                <w:highlight w:val="yellow"/>
                <w:lang w:val="en-US" w:eastAsia="ca-ES"/>
              </w:rPr>
            </w:pPr>
            <w:r w:rsidRPr="006A361A">
              <w:rPr>
                <w:rFonts w:ascii="Calibri" w:hAnsi="Calibri" w:cs="Calibri"/>
                <w:color w:val="000000" w:themeColor="text1"/>
                <w:sz w:val="20"/>
                <w:szCs w:val="20"/>
                <w:lang w:val="en-US" w:eastAsia="ca-ES"/>
              </w:rPr>
              <w:t>112</w:t>
            </w:r>
          </w:p>
        </w:tc>
        <w:tc>
          <w:tcPr>
            <w:tcW w:w="266" w:type="pct"/>
            <w:tcBorders>
              <w:top w:val="nil"/>
              <w:left w:val="nil"/>
              <w:bottom w:val="nil"/>
              <w:right w:val="nil"/>
            </w:tcBorders>
            <w:shd w:val="clear" w:color="auto" w:fill="auto"/>
            <w:vAlign w:val="bottom"/>
          </w:tcPr>
          <w:p w:rsidR="00CC607B" w:rsidRPr="00E01827" w:rsidRDefault="00CC607B" w:rsidP="00246B26">
            <w:pPr>
              <w:spacing w:line="240" w:lineRule="auto"/>
              <w:contextualSpacing/>
              <w:rPr>
                <w:rFonts w:ascii="Calibri" w:hAnsi="Calibri" w:cs="Calibri"/>
                <w:color w:val="000000" w:themeColor="text1"/>
                <w:sz w:val="20"/>
                <w:szCs w:val="20"/>
                <w:highlight w:val="yellow"/>
                <w:lang w:val="en-US" w:eastAsia="ca-ES"/>
              </w:rPr>
            </w:pPr>
            <w:r w:rsidRPr="006A361A">
              <w:rPr>
                <w:rFonts w:ascii="Calibri" w:hAnsi="Calibri" w:cs="Calibri"/>
                <w:color w:val="000000" w:themeColor="text1"/>
                <w:sz w:val="20"/>
                <w:szCs w:val="20"/>
                <w:lang w:val="en-US" w:eastAsia="ca-ES"/>
              </w:rPr>
              <w:t>16</w:t>
            </w:r>
          </w:p>
        </w:tc>
        <w:tc>
          <w:tcPr>
            <w:tcW w:w="449" w:type="pct"/>
            <w:tcBorders>
              <w:top w:val="nil"/>
              <w:left w:val="nil"/>
              <w:bottom w:val="nil"/>
              <w:right w:val="nil"/>
            </w:tcBorders>
            <w:shd w:val="clear" w:color="auto" w:fill="auto"/>
            <w:vAlign w:val="bottom"/>
          </w:tcPr>
          <w:p w:rsidR="00CC607B" w:rsidRPr="00E01827" w:rsidRDefault="00CC607B" w:rsidP="00246B26">
            <w:pPr>
              <w:spacing w:line="240" w:lineRule="auto"/>
              <w:contextualSpacing/>
              <w:rPr>
                <w:rFonts w:ascii="Calibri" w:hAnsi="Calibri" w:cs="Calibri"/>
                <w:color w:val="000000" w:themeColor="text1"/>
                <w:sz w:val="20"/>
                <w:szCs w:val="20"/>
                <w:highlight w:val="yellow"/>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tcPr>
          <w:p w:rsidR="00CC607B" w:rsidRPr="00E01827" w:rsidRDefault="00CC607B" w:rsidP="00246B26">
            <w:pPr>
              <w:spacing w:line="240" w:lineRule="auto"/>
              <w:contextualSpacing/>
              <w:rPr>
                <w:rFonts w:ascii="Calibri" w:hAnsi="Calibri" w:cs="Calibri"/>
                <w:color w:val="000000" w:themeColor="text1"/>
                <w:sz w:val="20"/>
                <w:szCs w:val="20"/>
                <w:highlight w:val="yellow"/>
                <w:lang w:val="en-US" w:eastAsia="ca-ES"/>
              </w:rPr>
            </w:pPr>
            <w:r w:rsidRPr="006A361A">
              <w:rPr>
                <w:rFonts w:ascii="Calibri" w:hAnsi="Calibri" w:cs="Calibri"/>
                <w:color w:val="000000" w:themeColor="text1"/>
                <w:sz w:val="20"/>
                <w:szCs w:val="20"/>
                <w:lang w:val="en-US" w:eastAsia="ca-ES"/>
              </w:rPr>
              <w:t>0.39</w:t>
            </w:r>
          </w:p>
        </w:tc>
        <w:tc>
          <w:tcPr>
            <w:tcW w:w="463" w:type="pct"/>
            <w:tcBorders>
              <w:top w:val="nil"/>
              <w:left w:val="nil"/>
              <w:bottom w:val="nil"/>
              <w:right w:val="nil"/>
            </w:tcBorders>
            <w:shd w:val="clear" w:color="auto" w:fill="auto"/>
            <w:vAlign w:val="bottom"/>
          </w:tcPr>
          <w:p w:rsidR="00CC607B" w:rsidRPr="00E01827" w:rsidRDefault="00CC607B" w:rsidP="00246B26">
            <w:pPr>
              <w:spacing w:line="240" w:lineRule="auto"/>
              <w:contextualSpacing/>
              <w:rPr>
                <w:rFonts w:ascii="Calibri" w:hAnsi="Calibri" w:cs="Calibri"/>
                <w:color w:val="000000" w:themeColor="text1"/>
                <w:sz w:val="20"/>
                <w:szCs w:val="20"/>
                <w:highlight w:val="yellow"/>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tcPr>
          <w:p w:rsidR="00CC607B" w:rsidRPr="00E01827" w:rsidRDefault="00CC607B" w:rsidP="00246B26">
            <w:pPr>
              <w:spacing w:line="240" w:lineRule="auto"/>
              <w:contextualSpacing/>
              <w:rPr>
                <w:rFonts w:ascii="Calibri" w:hAnsi="Calibri" w:cs="Calibri"/>
                <w:color w:val="000000" w:themeColor="text1"/>
                <w:sz w:val="20"/>
                <w:szCs w:val="20"/>
                <w:highlight w:val="yellow"/>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E01827" w:rsidRDefault="00CC607B" w:rsidP="00246B26">
            <w:pPr>
              <w:spacing w:line="240" w:lineRule="auto"/>
              <w:contextualSpacing/>
              <w:rPr>
                <w:rFonts w:ascii="Calibri" w:hAnsi="Calibri" w:cs="Calibri"/>
                <w:color w:val="000000" w:themeColor="text1"/>
                <w:sz w:val="20"/>
                <w:szCs w:val="20"/>
                <w:highlight w:val="yellow"/>
                <w:lang w:val="en-US" w:eastAsia="ca-ES"/>
              </w:rPr>
            </w:pPr>
            <w:r w:rsidRPr="006A361A">
              <w:rPr>
                <w:rFonts w:ascii="Calibri" w:hAnsi="Calibri" w:cs="Calibri"/>
                <w:color w:val="000000" w:themeColor="text1"/>
                <w:sz w:val="20"/>
                <w:szCs w:val="20"/>
                <w:lang w:val="en-US" w:eastAsia="ca-ES"/>
              </w:rPr>
              <w:t>Methanol</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5956D3">
              <w:rPr>
                <w:rFonts w:ascii="Calibri" w:hAnsi="Calibri" w:cs="Calibri"/>
                <w:color w:val="000000" w:themeColor="text1"/>
                <w:sz w:val="20"/>
                <w:szCs w:val="20"/>
                <w:lang w:val="en-US" w:eastAsia="ca-ES"/>
              </w:rPr>
              <w:t>1 [62]</w:t>
            </w:r>
          </w:p>
        </w:tc>
      </w:tr>
      <w:tr w:rsidR="00CC607B" w:rsidRPr="006A361A" w:rsidTr="00246B26">
        <w:trPr>
          <w:trHeight w:val="57"/>
        </w:trPr>
        <w:tc>
          <w:tcPr>
            <w:tcW w:w="3926" w:type="pct"/>
            <w:gridSpan w:val="9"/>
            <w:tcBorders>
              <w:top w:val="single" w:sz="8" w:space="0" w:color="auto"/>
              <w:left w:val="nil"/>
              <w:bottom w:val="single" w:sz="8" w:space="0" w:color="auto"/>
            </w:tcBorders>
            <w:shd w:val="clear" w:color="auto" w:fill="auto"/>
            <w:vAlign w:val="bottom"/>
          </w:tcPr>
          <w:p w:rsidR="00CC607B" w:rsidRPr="006A361A" w:rsidRDefault="00CC607B" w:rsidP="00246B26">
            <w:pPr>
              <w:spacing w:line="240" w:lineRule="auto"/>
              <w:contextualSpacing/>
              <w:rPr>
                <w:rFonts w:ascii="Calibri" w:hAnsi="Calibri" w:cs="Calibri"/>
                <w:b/>
                <w:color w:val="000000" w:themeColor="text1"/>
                <w:sz w:val="20"/>
                <w:szCs w:val="20"/>
                <w:lang w:val="en-US" w:eastAsia="ca-ES"/>
              </w:rPr>
            </w:pPr>
            <w:r w:rsidRPr="006A361A">
              <w:rPr>
                <w:rFonts w:ascii="Calibri" w:hAnsi="Calibri" w:cs="Calibri"/>
                <w:b/>
                <w:color w:val="000000" w:themeColor="text1"/>
                <w:sz w:val="20"/>
                <w:szCs w:val="20"/>
                <w:lang w:val="en-US" w:eastAsia="ca-ES"/>
              </w:rPr>
              <w:t>ISTD</w:t>
            </w:r>
          </w:p>
        </w:tc>
        <w:tc>
          <w:tcPr>
            <w:tcW w:w="629" w:type="pct"/>
            <w:tcBorders>
              <w:top w:val="single" w:sz="8" w:space="0" w:color="auto"/>
              <w:left w:val="nil"/>
              <w:bottom w:val="single" w:sz="8" w:space="0" w:color="auto"/>
            </w:tcBorders>
            <w:vAlign w:val="bottom"/>
          </w:tcPr>
          <w:p w:rsidR="00CC607B" w:rsidRPr="006A361A" w:rsidRDefault="00CC607B" w:rsidP="00246B26">
            <w:pPr>
              <w:spacing w:line="240" w:lineRule="auto"/>
              <w:contextualSpacing/>
              <w:rPr>
                <w:rFonts w:ascii="Calibri" w:hAnsi="Calibri" w:cs="Calibri"/>
                <w:b/>
                <w:color w:val="000000" w:themeColor="text1"/>
                <w:sz w:val="20"/>
                <w:szCs w:val="20"/>
                <w:lang w:val="en-US" w:eastAsia="ca-ES"/>
              </w:rPr>
            </w:pPr>
          </w:p>
        </w:tc>
        <w:tc>
          <w:tcPr>
            <w:tcW w:w="445" w:type="pct"/>
            <w:tcBorders>
              <w:top w:val="single" w:sz="8" w:space="0" w:color="auto"/>
              <w:left w:val="nil"/>
              <w:bottom w:val="single" w:sz="8" w:space="0" w:color="auto"/>
            </w:tcBorders>
            <w:vAlign w:val="bottom"/>
          </w:tcPr>
          <w:p w:rsidR="00CC607B" w:rsidRPr="006A361A" w:rsidRDefault="00CC607B" w:rsidP="00246B26">
            <w:pPr>
              <w:spacing w:line="240" w:lineRule="auto"/>
              <w:contextualSpacing/>
              <w:rPr>
                <w:rFonts w:ascii="Calibri" w:hAnsi="Calibri" w:cs="Calibri"/>
                <w:b/>
                <w:color w:val="000000" w:themeColor="text1"/>
                <w:sz w:val="20"/>
                <w:szCs w:val="20"/>
                <w:lang w:val="en-US" w:eastAsia="ca-ES"/>
              </w:rPr>
            </w:pPr>
          </w:p>
        </w:tc>
      </w:tr>
      <w:tr w:rsidR="00CC607B" w:rsidRPr="006A361A" w:rsidTr="00246B26">
        <w:trPr>
          <w:trHeight w:val="57"/>
        </w:trPr>
        <w:tc>
          <w:tcPr>
            <w:tcW w:w="779" w:type="pct"/>
            <w:tcBorders>
              <w:top w:val="single" w:sz="8" w:space="0" w:color="auto"/>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PheC13</w:t>
            </w:r>
          </w:p>
        </w:tc>
        <w:tc>
          <w:tcPr>
            <w:tcW w:w="344" w:type="pct"/>
            <w:tcBorders>
              <w:top w:val="single" w:sz="8" w:space="0" w:color="auto"/>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167.09</w:t>
            </w:r>
          </w:p>
        </w:tc>
        <w:tc>
          <w:tcPr>
            <w:tcW w:w="356" w:type="pct"/>
            <w:tcBorders>
              <w:top w:val="single" w:sz="8" w:space="0" w:color="auto"/>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120.1</w:t>
            </w:r>
          </w:p>
        </w:tc>
        <w:tc>
          <w:tcPr>
            <w:tcW w:w="330" w:type="pct"/>
            <w:tcBorders>
              <w:top w:val="single" w:sz="8" w:space="0" w:color="auto"/>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70</w:t>
            </w:r>
          </w:p>
        </w:tc>
        <w:tc>
          <w:tcPr>
            <w:tcW w:w="266" w:type="pct"/>
            <w:tcBorders>
              <w:top w:val="single" w:sz="8" w:space="0" w:color="auto"/>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8</w:t>
            </w:r>
          </w:p>
        </w:tc>
        <w:tc>
          <w:tcPr>
            <w:tcW w:w="449" w:type="pct"/>
            <w:tcBorders>
              <w:top w:val="single" w:sz="8" w:space="0" w:color="auto"/>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single" w:sz="8" w:space="0" w:color="auto"/>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0.87</w:t>
            </w:r>
          </w:p>
        </w:tc>
        <w:tc>
          <w:tcPr>
            <w:tcW w:w="463" w:type="pct"/>
            <w:tcBorders>
              <w:top w:val="single" w:sz="8" w:space="0" w:color="auto"/>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single" w:sz="8" w:space="0" w:color="auto"/>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single" w:sz="8" w:space="0" w:color="auto"/>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Methanol/ACN</w:t>
            </w:r>
          </w:p>
        </w:tc>
        <w:tc>
          <w:tcPr>
            <w:tcW w:w="445" w:type="pct"/>
            <w:tcBorders>
              <w:top w:val="single" w:sz="8" w:space="0" w:color="auto"/>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w:t>
            </w:r>
            <w:r>
              <w:rPr>
                <w:rFonts w:ascii="Calibri" w:hAnsi="Calibri" w:cs="Calibri"/>
                <w:color w:val="000000" w:themeColor="text1"/>
                <w:sz w:val="20"/>
                <w:szCs w:val="20"/>
                <w:lang w:val="en-US" w:eastAsia="ca-ES"/>
              </w:rPr>
              <w:t xml:space="preserve"> [62]</w:t>
            </w:r>
            <w:r w:rsidRPr="006A361A">
              <w:rPr>
                <w:rFonts w:ascii="Calibri" w:hAnsi="Calibri" w:cs="Calibri"/>
                <w:color w:val="000000" w:themeColor="text1"/>
                <w:sz w:val="20"/>
                <w:szCs w:val="20"/>
                <w:lang w:val="en-US" w:eastAsia="ca-ES"/>
              </w:rPr>
              <w:t>/2</w:t>
            </w:r>
            <w:r>
              <w:rPr>
                <w:rFonts w:ascii="Calibri" w:hAnsi="Calibri" w:cs="Calibri"/>
                <w:color w:val="000000" w:themeColor="text1"/>
                <w:sz w:val="20"/>
                <w:szCs w:val="20"/>
                <w:lang w:val="en-US" w:eastAsia="ca-ES"/>
              </w:rPr>
              <w:t xml:space="preserve"> [61]</w:t>
            </w:r>
          </w:p>
        </w:tc>
      </w:tr>
      <w:tr w:rsidR="00CC607B" w:rsidRPr="006A361A" w:rsidTr="00246B26">
        <w:trPr>
          <w:trHeight w:val="57"/>
        </w:trPr>
        <w:tc>
          <w:tcPr>
            <w:tcW w:w="779" w:type="pct"/>
            <w:tcBorders>
              <w:top w:val="nil"/>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PheC13</w:t>
            </w:r>
          </w:p>
        </w:tc>
        <w:tc>
          <w:tcPr>
            <w:tcW w:w="344" w:type="pct"/>
            <w:tcBorders>
              <w:top w:val="nil"/>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167.09</w:t>
            </w:r>
          </w:p>
        </w:tc>
        <w:tc>
          <w:tcPr>
            <w:tcW w:w="356" w:type="pct"/>
            <w:tcBorders>
              <w:top w:val="nil"/>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77</w:t>
            </w:r>
          </w:p>
        </w:tc>
        <w:tc>
          <w:tcPr>
            <w:tcW w:w="330" w:type="pct"/>
            <w:tcBorders>
              <w:top w:val="nil"/>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70</w:t>
            </w:r>
          </w:p>
        </w:tc>
        <w:tc>
          <w:tcPr>
            <w:tcW w:w="266" w:type="pct"/>
            <w:tcBorders>
              <w:top w:val="nil"/>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44</w:t>
            </w:r>
          </w:p>
        </w:tc>
        <w:tc>
          <w:tcPr>
            <w:tcW w:w="449" w:type="pct"/>
            <w:tcBorders>
              <w:top w:val="nil"/>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0.87</w:t>
            </w:r>
          </w:p>
        </w:tc>
        <w:tc>
          <w:tcPr>
            <w:tcW w:w="463" w:type="pct"/>
            <w:tcBorders>
              <w:top w:val="nil"/>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Methanol/ACN</w:t>
            </w:r>
          </w:p>
        </w:tc>
        <w:tc>
          <w:tcPr>
            <w:tcW w:w="445" w:type="pct"/>
            <w:tcBorders>
              <w:top w:val="nil"/>
              <w:left w:val="nil"/>
              <w:bottom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E70160">
              <w:rPr>
                <w:rFonts w:ascii="Calibri" w:hAnsi="Calibri" w:cs="Calibri"/>
                <w:color w:val="000000" w:themeColor="text1"/>
                <w:sz w:val="20"/>
                <w:szCs w:val="20"/>
                <w:lang w:val="en-US" w:eastAsia="ca-ES"/>
              </w:rPr>
              <w:t>1 [62]/2 [61]</w:t>
            </w:r>
          </w:p>
        </w:tc>
      </w:tr>
      <w:tr w:rsidR="00CC607B" w:rsidRPr="006A361A" w:rsidTr="00246B26">
        <w:trPr>
          <w:trHeight w:val="57"/>
        </w:trPr>
        <w:tc>
          <w:tcPr>
            <w:tcW w:w="779" w:type="pct"/>
            <w:tcBorders>
              <w:top w:val="nil"/>
              <w:left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PheC13</w:t>
            </w:r>
          </w:p>
        </w:tc>
        <w:tc>
          <w:tcPr>
            <w:tcW w:w="344" w:type="pct"/>
            <w:tcBorders>
              <w:top w:val="nil"/>
              <w:left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167.09</w:t>
            </w:r>
          </w:p>
        </w:tc>
        <w:tc>
          <w:tcPr>
            <w:tcW w:w="356" w:type="pct"/>
            <w:tcBorders>
              <w:top w:val="nil"/>
              <w:left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103</w:t>
            </w:r>
          </w:p>
        </w:tc>
        <w:tc>
          <w:tcPr>
            <w:tcW w:w="330" w:type="pct"/>
            <w:tcBorders>
              <w:top w:val="nil"/>
              <w:left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70</w:t>
            </w:r>
          </w:p>
        </w:tc>
        <w:tc>
          <w:tcPr>
            <w:tcW w:w="266" w:type="pct"/>
            <w:tcBorders>
              <w:top w:val="nil"/>
              <w:left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28</w:t>
            </w:r>
          </w:p>
        </w:tc>
        <w:tc>
          <w:tcPr>
            <w:tcW w:w="449" w:type="pct"/>
            <w:tcBorders>
              <w:top w:val="nil"/>
              <w:left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0.87</w:t>
            </w:r>
          </w:p>
        </w:tc>
        <w:tc>
          <w:tcPr>
            <w:tcW w:w="463" w:type="pct"/>
            <w:tcBorders>
              <w:top w:val="nil"/>
              <w:left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Methanol/ACN</w:t>
            </w:r>
          </w:p>
        </w:tc>
        <w:tc>
          <w:tcPr>
            <w:tcW w:w="445" w:type="pct"/>
            <w:tcBorders>
              <w:top w:val="nil"/>
              <w:left w:val="nil"/>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E70160">
              <w:rPr>
                <w:rFonts w:ascii="Calibri" w:hAnsi="Calibri" w:cs="Calibri"/>
                <w:color w:val="000000" w:themeColor="text1"/>
                <w:sz w:val="20"/>
                <w:szCs w:val="20"/>
                <w:lang w:val="en-US" w:eastAsia="ca-ES"/>
              </w:rPr>
              <w:t>1 [62]/2 [61]</w:t>
            </w:r>
          </w:p>
        </w:tc>
      </w:tr>
      <w:tr w:rsidR="00CC607B" w:rsidRPr="006A361A" w:rsidTr="00246B26">
        <w:trPr>
          <w:trHeight w:val="57"/>
        </w:trPr>
        <w:tc>
          <w:tcPr>
            <w:tcW w:w="779"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PheC13</w:t>
            </w:r>
          </w:p>
        </w:tc>
        <w:tc>
          <w:tcPr>
            <w:tcW w:w="344"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167.09</w:t>
            </w:r>
          </w:p>
        </w:tc>
        <w:tc>
          <w:tcPr>
            <w:tcW w:w="356"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51.1</w:t>
            </w:r>
          </w:p>
        </w:tc>
        <w:tc>
          <w:tcPr>
            <w:tcW w:w="330"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70</w:t>
            </w:r>
          </w:p>
        </w:tc>
        <w:tc>
          <w:tcPr>
            <w:tcW w:w="266"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60</w:t>
            </w:r>
          </w:p>
        </w:tc>
        <w:tc>
          <w:tcPr>
            <w:tcW w:w="449"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7</w:t>
            </w:r>
          </w:p>
        </w:tc>
        <w:tc>
          <w:tcPr>
            <w:tcW w:w="576"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0.87</w:t>
            </w:r>
          </w:p>
        </w:tc>
        <w:tc>
          <w:tcPr>
            <w:tcW w:w="463"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2</w:t>
            </w:r>
          </w:p>
        </w:tc>
        <w:tc>
          <w:tcPr>
            <w:tcW w:w="363" w:type="pct"/>
            <w:tcBorders>
              <w:top w:val="nil"/>
              <w:left w:val="nil"/>
              <w:bottom w:val="single" w:sz="12" w:space="0" w:color="auto"/>
              <w:right w:val="nil"/>
            </w:tcBorders>
            <w:shd w:val="clear" w:color="auto" w:fill="auto"/>
            <w:vAlign w:val="bottom"/>
            <w:hideMark/>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Positive</w:t>
            </w:r>
          </w:p>
        </w:tc>
        <w:tc>
          <w:tcPr>
            <w:tcW w:w="629" w:type="pct"/>
            <w:tcBorders>
              <w:top w:val="nil"/>
              <w:left w:val="nil"/>
              <w:bottom w:val="single" w:sz="12" w:space="0" w:color="auto"/>
              <w:right w:val="nil"/>
            </w:tcBorders>
            <w:vAlign w:val="bottom"/>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6A361A">
              <w:rPr>
                <w:rFonts w:ascii="Calibri" w:hAnsi="Calibri" w:cs="Calibri"/>
                <w:color w:val="000000" w:themeColor="text1"/>
                <w:sz w:val="20"/>
                <w:szCs w:val="20"/>
                <w:lang w:val="en-US" w:eastAsia="ca-ES"/>
              </w:rPr>
              <w:t>Methanol/ACN</w:t>
            </w:r>
          </w:p>
        </w:tc>
        <w:tc>
          <w:tcPr>
            <w:tcW w:w="445" w:type="pct"/>
            <w:tcBorders>
              <w:top w:val="nil"/>
              <w:left w:val="nil"/>
              <w:bottom w:val="single" w:sz="12" w:space="0" w:color="auto"/>
              <w:right w:val="nil"/>
            </w:tcBorders>
          </w:tcPr>
          <w:p w:rsidR="00CC607B" w:rsidRPr="006A361A" w:rsidRDefault="00CC607B" w:rsidP="00246B26">
            <w:pPr>
              <w:spacing w:line="240" w:lineRule="auto"/>
              <w:contextualSpacing/>
              <w:rPr>
                <w:rFonts w:ascii="Calibri" w:hAnsi="Calibri" w:cs="Calibri"/>
                <w:color w:val="000000" w:themeColor="text1"/>
                <w:sz w:val="20"/>
                <w:szCs w:val="20"/>
                <w:lang w:val="en-US" w:eastAsia="ca-ES"/>
              </w:rPr>
            </w:pPr>
            <w:r w:rsidRPr="00E70160">
              <w:rPr>
                <w:rFonts w:ascii="Calibri" w:hAnsi="Calibri" w:cs="Calibri"/>
                <w:color w:val="000000" w:themeColor="text1"/>
                <w:sz w:val="20"/>
                <w:szCs w:val="20"/>
                <w:lang w:val="en-US" w:eastAsia="ca-ES"/>
              </w:rPr>
              <w:t>1 [62]/2 [61]</w:t>
            </w:r>
          </w:p>
        </w:tc>
      </w:tr>
    </w:tbl>
    <w:p w:rsidR="00CC607B" w:rsidRPr="006A361A" w:rsidRDefault="00CC607B" w:rsidP="00CC607B">
      <w:pPr>
        <w:rPr>
          <w:rFonts w:ascii="Calibri" w:hAnsi="Calibri" w:cs="Calibri"/>
          <w:color w:val="000000" w:themeColor="text1"/>
          <w:lang w:val="en-US"/>
        </w:rPr>
      </w:pPr>
    </w:p>
    <w:p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ple Chancery">
    <w:altName w:val="Courier New"/>
    <w:charset w:val="00"/>
    <w:family w:val="auto"/>
    <w:pitch w:val="variable"/>
    <w:sig w:usb0="00000000" w:usb1="00000003" w:usb2="00000000" w:usb3="00000000" w:csb0="000001F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78D1"/>
    <w:multiLevelType w:val="hybridMultilevel"/>
    <w:tmpl w:val="DD8855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3CD6111"/>
    <w:multiLevelType w:val="hybridMultilevel"/>
    <w:tmpl w:val="AFF28254"/>
    <w:lvl w:ilvl="0" w:tplc="AA74D5FC">
      <w:start w:val="21"/>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E623F9E"/>
    <w:multiLevelType w:val="hybridMultilevel"/>
    <w:tmpl w:val="1FD0EB8C"/>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24CE30E9"/>
    <w:multiLevelType w:val="hybridMultilevel"/>
    <w:tmpl w:val="0C267BAC"/>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AD9757C"/>
    <w:multiLevelType w:val="hybridMultilevel"/>
    <w:tmpl w:val="C854CD3A"/>
    <w:lvl w:ilvl="0" w:tplc="ADA87C8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B6B5A7C"/>
    <w:multiLevelType w:val="hybridMultilevel"/>
    <w:tmpl w:val="E22A05B2"/>
    <w:lvl w:ilvl="0" w:tplc="F312998A">
      <w:start w:val="7"/>
      <w:numFmt w:val="bullet"/>
      <w:lvlText w:val="-"/>
      <w:lvlJc w:val="left"/>
      <w:pPr>
        <w:ind w:left="420" w:hanging="360"/>
      </w:pPr>
      <w:rPr>
        <w:rFonts w:ascii="Calibri" w:eastAsia="Times New Roman" w:hAnsi="Calibri" w:cs="Calibri"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6" w15:restartNumberingAfterBreak="0">
    <w:nsid w:val="2D890EC8"/>
    <w:multiLevelType w:val="hybridMultilevel"/>
    <w:tmpl w:val="90E2B9FE"/>
    <w:lvl w:ilvl="0" w:tplc="4BDC9982">
      <w:start w:val="3"/>
      <w:numFmt w:val="bullet"/>
      <w:lvlText w:val=""/>
      <w:lvlJc w:val="left"/>
      <w:pPr>
        <w:ind w:left="720" w:hanging="360"/>
      </w:pPr>
      <w:rPr>
        <w:rFonts w:ascii="Symbol" w:eastAsia="Times New Roman" w:hAnsi="Symbol" w:cs="Times New Roman" w:hint="default"/>
        <w:u w:val="singl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E5F09E6"/>
    <w:multiLevelType w:val="hybridMultilevel"/>
    <w:tmpl w:val="929001F2"/>
    <w:lvl w:ilvl="0" w:tplc="61AEB4B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F7F3C7E"/>
    <w:multiLevelType w:val="hybridMultilevel"/>
    <w:tmpl w:val="C68A32FA"/>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0762A0B"/>
    <w:multiLevelType w:val="multilevel"/>
    <w:tmpl w:val="309C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0A0CB9"/>
    <w:multiLevelType w:val="hybridMultilevel"/>
    <w:tmpl w:val="A6C0880A"/>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92969C8"/>
    <w:multiLevelType w:val="hybridMultilevel"/>
    <w:tmpl w:val="C02CD75E"/>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BC332DE"/>
    <w:multiLevelType w:val="hybridMultilevel"/>
    <w:tmpl w:val="2BE44450"/>
    <w:lvl w:ilvl="0" w:tplc="FEF25160">
      <w:start w:val="18"/>
      <w:numFmt w:val="bullet"/>
      <w:lvlText w:val="-"/>
      <w:lvlJc w:val="left"/>
      <w:pPr>
        <w:ind w:left="720" w:hanging="360"/>
      </w:pPr>
      <w:rPr>
        <w:rFonts w:ascii="Calibri" w:eastAsia="Times New Roman"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55EF77C4"/>
    <w:multiLevelType w:val="hybridMultilevel"/>
    <w:tmpl w:val="C07CD7DE"/>
    <w:lvl w:ilvl="0" w:tplc="0C0A0001">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F085166"/>
    <w:multiLevelType w:val="multilevel"/>
    <w:tmpl w:val="A78647E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291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763500E"/>
    <w:multiLevelType w:val="hybridMultilevel"/>
    <w:tmpl w:val="CE02A39E"/>
    <w:lvl w:ilvl="0" w:tplc="7F4C1D1A">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9"/>
  </w:num>
  <w:num w:numId="4">
    <w:abstractNumId w:val="7"/>
  </w:num>
  <w:num w:numId="5">
    <w:abstractNumId w:val="6"/>
  </w:num>
  <w:num w:numId="6">
    <w:abstractNumId w:val="0"/>
  </w:num>
  <w:num w:numId="7">
    <w:abstractNumId w:val="11"/>
  </w:num>
  <w:num w:numId="8">
    <w:abstractNumId w:val="8"/>
  </w:num>
  <w:num w:numId="9">
    <w:abstractNumId w:val="3"/>
  </w:num>
  <w:num w:numId="10">
    <w:abstractNumId w:val="10"/>
  </w:num>
  <w:num w:numId="11">
    <w:abstractNumId w:val="13"/>
  </w:num>
  <w:num w:numId="12">
    <w:abstractNumId w:val="4"/>
  </w:num>
  <w:num w:numId="13">
    <w:abstractNumId w:val="5"/>
  </w:num>
  <w:num w:numId="14">
    <w:abstractNumId w:val="15"/>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07B"/>
    <w:rsid w:val="00755780"/>
    <w:rsid w:val="00CC6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82AA18-D736-44BF-8C92-F61F93C3B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07B"/>
    <w:pPr>
      <w:spacing w:after="0" w:line="360" w:lineRule="auto"/>
      <w:jc w:val="both"/>
    </w:pPr>
    <w:rPr>
      <w:rFonts w:eastAsia="Times New Roman" w:cs="Times New Roman"/>
      <w:sz w:val="24"/>
      <w:szCs w:val="24"/>
      <w:lang w:val="es-ES" w:eastAsia="es-ES_tradnl"/>
    </w:rPr>
  </w:style>
  <w:style w:type="paragraph" w:styleId="Heading1">
    <w:name w:val="heading 1"/>
    <w:basedOn w:val="Heading3"/>
    <w:next w:val="Normal"/>
    <w:link w:val="Heading1Char"/>
    <w:qFormat/>
    <w:rsid w:val="00CC607B"/>
    <w:pPr>
      <w:numPr>
        <w:ilvl w:val="0"/>
      </w:numPr>
      <w:spacing w:before="120"/>
      <w:ind w:left="431" w:hanging="431"/>
      <w:outlineLvl w:val="0"/>
    </w:pPr>
    <w:rPr>
      <w:rFonts w:ascii="Book Antiqua" w:hAnsi="Book Antiqua" w:cs="Apple Chancery"/>
      <w:bCs/>
      <w:sz w:val="32"/>
      <w:szCs w:val="32"/>
    </w:rPr>
  </w:style>
  <w:style w:type="paragraph" w:styleId="Heading2">
    <w:name w:val="heading 2"/>
    <w:basedOn w:val="Normal"/>
    <w:next w:val="Normal"/>
    <w:link w:val="Heading2Char"/>
    <w:autoRedefine/>
    <w:unhideWhenUsed/>
    <w:qFormat/>
    <w:rsid w:val="00CC607B"/>
    <w:pPr>
      <w:numPr>
        <w:ilvl w:val="1"/>
        <w:numId w:val="1"/>
      </w:numPr>
      <w:spacing w:before="240"/>
      <w:ind w:left="576"/>
      <w:outlineLvl w:val="1"/>
    </w:pPr>
    <w:rPr>
      <w:b/>
      <w:color w:val="000000" w:themeColor="text1"/>
      <w:sz w:val="28"/>
      <w:lang w:val="en-GB"/>
    </w:rPr>
  </w:style>
  <w:style w:type="paragraph" w:styleId="Heading3">
    <w:name w:val="heading 3"/>
    <w:basedOn w:val="Heading2"/>
    <w:next w:val="Normal"/>
    <w:link w:val="Heading3Char"/>
    <w:unhideWhenUsed/>
    <w:qFormat/>
    <w:rsid w:val="00CC607B"/>
    <w:pPr>
      <w:numPr>
        <w:ilvl w:val="2"/>
      </w:numPr>
      <w:outlineLvl w:val="2"/>
    </w:pPr>
    <w:rPr>
      <w:sz w:val="24"/>
    </w:rPr>
  </w:style>
  <w:style w:type="paragraph" w:styleId="Heading4">
    <w:name w:val="heading 4"/>
    <w:basedOn w:val="Heading3"/>
    <w:next w:val="Normal"/>
    <w:link w:val="Heading4Char"/>
    <w:unhideWhenUsed/>
    <w:qFormat/>
    <w:rsid w:val="00CC607B"/>
    <w:pPr>
      <w:numPr>
        <w:ilvl w:val="3"/>
      </w:numPr>
      <w:outlineLvl w:val="3"/>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607B"/>
    <w:rPr>
      <w:rFonts w:ascii="Book Antiqua" w:eastAsia="Times New Roman" w:hAnsi="Book Antiqua" w:cs="Apple Chancery"/>
      <w:b/>
      <w:bCs/>
      <w:color w:val="000000" w:themeColor="text1"/>
      <w:sz w:val="32"/>
      <w:szCs w:val="32"/>
      <w:lang w:val="en-GB" w:eastAsia="es-ES_tradnl"/>
    </w:rPr>
  </w:style>
  <w:style w:type="character" w:customStyle="1" w:styleId="Heading2Char">
    <w:name w:val="Heading 2 Char"/>
    <w:basedOn w:val="DefaultParagraphFont"/>
    <w:link w:val="Heading2"/>
    <w:rsid w:val="00CC607B"/>
    <w:rPr>
      <w:rFonts w:eastAsia="Times New Roman" w:cs="Times New Roman"/>
      <w:b/>
      <w:color w:val="000000" w:themeColor="text1"/>
      <w:sz w:val="28"/>
      <w:szCs w:val="24"/>
      <w:lang w:val="en-GB" w:eastAsia="es-ES_tradnl"/>
    </w:rPr>
  </w:style>
  <w:style w:type="character" w:customStyle="1" w:styleId="Heading3Char">
    <w:name w:val="Heading 3 Char"/>
    <w:basedOn w:val="DefaultParagraphFont"/>
    <w:link w:val="Heading3"/>
    <w:rsid w:val="00CC607B"/>
    <w:rPr>
      <w:rFonts w:eastAsia="Times New Roman" w:cs="Times New Roman"/>
      <w:b/>
      <w:color w:val="000000" w:themeColor="text1"/>
      <w:sz w:val="24"/>
      <w:szCs w:val="24"/>
      <w:lang w:val="en-GB" w:eastAsia="es-ES_tradnl"/>
    </w:rPr>
  </w:style>
  <w:style w:type="character" w:customStyle="1" w:styleId="Heading4Char">
    <w:name w:val="Heading 4 Char"/>
    <w:basedOn w:val="DefaultParagraphFont"/>
    <w:link w:val="Heading4"/>
    <w:rsid w:val="00CC607B"/>
    <w:rPr>
      <w:rFonts w:eastAsia="Times New Roman" w:cs="Times New Roman"/>
      <w:b/>
      <w:color w:val="000000" w:themeColor="text1"/>
      <w:sz w:val="20"/>
      <w:szCs w:val="24"/>
      <w:lang w:val="en-GB" w:eastAsia="es-ES_tradnl"/>
    </w:rPr>
  </w:style>
  <w:style w:type="paragraph" w:styleId="BalloonText">
    <w:name w:val="Balloon Text"/>
    <w:basedOn w:val="Normal"/>
    <w:link w:val="BalloonTextChar"/>
    <w:uiPriority w:val="99"/>
    <w:semiHidden/>
    <w:unhideWhenUsed/>
    <w:rsid w:val="00CC607B"/>
    <w:pPr>
      <w:spacing w:line="240" w:lineRule="auto"/>
      <w:jc w:val="left"/>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CC607B"/>
    <w:rPr>
      <w:rFonts w:ascii="Segoe UI" w:hAnsi="Segoe UI" w:cs="Segoe UI"/>
      <w:sz w:val="18"/>
      <w:szCs w:val="18"/>
      <w:lang w:val="es-ES"/>
    </w:rPr>
  </w:style>
  <w:style w:type="paragraph" w:styleId="Caption">
    <w:name w:val="caption"/>
    <w:aliases w:val="Table_Description,Table,DescTablas"/>
    <w:basedOn w:val="Normal"/>
    <w:next w:val="Normal"/>
    <w:link w:val="CaptionChar"/>
    <w:uiPriority w:val="35"/>
    <w:unhideWhenUsed/>
    <w:qFormat/>
    <w:rsid w:val="00CC607B"/>
    <w:pPr>
      <w:keepNext/>
      <w:spacing w:after="180" w:line="240" w:lineRule="auto"/>
    </w:pPr>
    <w:rPr>
      <w:b/>
      <w:iCs/>
      <w:color w:val="000000" w:themeColor="text1"/>
      <w:sz w:val="20"/>
      <w:szCs w:val="18"/>
      <w:lang w:val="en-US"/>
    </w:rPr>
  </w:style>
  <w:style w:type="character" w:customStyle="1" w:styleId="CaptionChar">
    <w:name w:val="Caption Char"/>
    <w:aliases w:val="Table_Description Char,Table Char,DescTablas Char"/>
    <w:basedOn w:val="DefaultParagraphFont"/>
    <w:link w:val="Caption"/>
    <w:uiPriority w:val="35"/>
    <w:rsid w:val="00CC607B"/>
    <w:rPr>
      <w:rFonts w:eastAsia="Times New Roman" w:cs="Times New Roman"/>
      <w:b/>
      <w:iCs/>
      <w:color w:val="000000" w:themeColor="text1"/>
      <w:sz w:val="20"/>
      <w:szCs w:val="18"/>
      <w:lang w:eastAsia="es-ES_tradnl"/>
    </w:rPr>
  </w:style>
  <w:style w:type="character" w:styleId="CommentReference">
    <w:name w:val="annotation reference"/>
    <w:basedOn w:val="DefaultParagraphFont"/>
    <w:uiPriority w:val="99"/>
    <w:semiHidden/>
    <w:unhideWhenUsed/>
    <w:rsid w:val="00CC607B"/>
    <w:rPr>
      <w:sz w:val="16"/>
      <w:szCs w:val="16"/>
    </w:rPr>
  </w:style>
  <w:style w:type="paragraph" w:styleId="CommentText">
    <w:name w:val="annotation text"/>
    <w:basedOn w:val="Normal"/>
    <w:link w:val="CommentTextChar"/>
    <w:uiPriority w:val="99"/>
    <w:unhideWhenUsed/>
    <w:rsid w:val="00CC607B"/>
    <w:pPr>
      <w:spacing w:line="240" w:lineRule="auto"/>
    </w:pPr>
    <w:rPr>
      <w:sz w:val="20"/>
      <w:szCs w:val="20"/>
    </w:rPr>
  </w:style>
  <w:style w:type="character" w:customStyle="1" w:styleId="CommentTextChar">
    <w:name w:val="Comment Text Char"/>
    <w:basedOn w:val="DefaultParagraphFont"/>
    <w:link w:val="CommentText"/>
    <w:uiPriority w:val="99"/>
    <w:rsid w:val="00CC607B"/>
    <w:rPr>
      <w:rFonts w:eastAsia="Times New Roman" w:cs="Times New Roman"/>
      <w:sz w:val="20"/>
      <w:szCs w:val="20"/>
      <w:lang w:val="es-ES" w:eastAsia="es-ES_tradnl"/>
    </w:rPr>
  </w:style>
  <w:style w:type="table" w:styleId="TableGrid">
    <w:name w:val="Table Grid"/>
    <w:basedOn w:val="TableNormal"/>
    <w:uiPriority w:val="59"/>
    <w:rsid w:val="00CC607B"/>
    <w:pPr>
      <w:spacing w:after="0" w:line="240" w:lineRule="auto"/>
    </w:pPr>
    <w:rPr>
      <w:sz w:val="24"/>
      <w:szCs w:val="24"/>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607B"/>
    <w:pPr>
      <w:ind w:left="720"/>
      <w:contextualSpacing/>
    </w:pPr>
  </w:style>
  <w:style w:type="paragraph" w:customStyle="1" w:styleId="Default">
    <w:name w:val="Default"/>
    <w:rsid w:val="00CC607B"/>
    <w:pPr>
      <w:autoSpaceDE w:val="0"/>
      <w:autoSpaceDN w:val="0"/>
      <w:adjustRightInd w:val="0"/>
      <w:spacing w:after="0" w:line="240" w:lineRule="auto"/>
    </w:pPr>
    <w:rPr>
      <w:rFonts w:ascii="Times New Roman" w:hAnsi="Times New Roman" w:cs="Times New Roman"/>
      <w:color w:val="000000"/>
      <w:sz w:val="24"/>
      <w:szCs w:val="24"/>
      <w:lang w:val="es-ES"/>
    </w:rPr>
  </w:style>
  <w:style w:type="character" w:styleId="Hyperlink">
    <w:name w:val="Hyperlink"/>
    <w:basedOn w:val="DefaultParagraphFont"/>
    <w:uiPriority w:val="99"/>
    <w:unhideWhenUsed/>
    <w:rsid w:val="00CC607B"/>
    <w:rPr>
      <w:color w:val="0563C1" w:themeColor="hyperlink"/>
      <w:u w:val="single"/>
    </w:rPr>
  </w:style>
  <w:style w:type="character" w:customStyle="1" w:styleId="Mencinsinresolver1">
    <w:name w:val="Mención sin resolver1"/>
    <w:basedOn w:val="DefaultParagraphFont"/>
    <w:uiPriority w:val="99"/>
    <w:semiHidden/>
    <w:unhideWhenUsed/>
    <w:rsid w:val="00CC607B"/>
    <w:rPr>
      <w:color w:val="605E5C"/>
      <w:shd w:val="clear" w:color="auto" w:fill="E1DFDD"/>
    </w:rPr>
  </w:style>
  <w:style w:type="character" w:styleId="FollowedHyperlink">
    <w:name w:val="FollowedHyperlink"/>
    <w:basedOn w:val="DefaultParagraphFont"/>
    <w:uiPriority w:val="99"/>
    <w:semiHidden/>
    <w:unhideWhenUsed/>
    <w:rsid w:val="00CC607B"/>
    <w:rPr>
      <w:color w:val="954F72" w:themeColor="followedHyperlink"/>
      <w:u w:val="single"/>
    </w:rPr>
  </w:style>
  <w:style w:type="character" w:customStyle="1" w:styleId="identifier">
    <w:name w:val="identifier"/>
    <w:basedOn w:val="DefaultParagraphFont"/>
    <w:rsid w:val="00CC607B"/>
  </w:style>
  <w:style w:type="character" w:customStyle="1" w:styleId="title-text">
    <w:name w:val="title-text"/>
    <w:basedOn w:val="DefaultParagraphFont"/>
    <w:rsid w:val="00CC607B"/>
  </w:style>
  <w:style w:type="character" w:customStyle="1" w:styleId="ref-title">
    <w:name w:val="ref-title"/>
    <w:basedOn w:val="DefaultParagraphFont"/>
    <w:rsid w:val="00CC607B"/>
  </w:style>
  <w:style w:type="character" w:styleId="Emphasis">
    <w:name w:val="Emphasis"/>
    <w:basedOn w:val="DefaultParagraphFont"/>
    <w:uiPriority w:val="20"/>
    <w:qFormat/>
    <w:rsid w:val="00CC607B"/>
    <w:rPr>
      <w:i/>
      <w:iCs/>
    </w:rPr>
  </w:style>
  <w:style w:type="paragraph" w:styleId="NormalWeb">
    <w:name w:val="Normal (Web)"/>
    <w:basedOn w:val="Normal"/>
    <w:uiPriority w:val="99"/>
    <w:semiHidden/>
    <w:unhideWhenUsed/>
    <w:rsid w:val="00CC607B"/>
    <w:pPr>
      <w:spacing w:before="100" w:beforeAutospacing="1" w:after="100" w:afterAutospacing="1" w:line="240" w:lineRule="auto"/>
      <w:jc w:val="left"/>
    </w:pPr>
    <w:rPr>
      <w:rFonts w:ascii="Times New Roman" w:hAnsi="Times New Roman"/>
      <w:lang w:eastAsia="es-ES"/>
    </w:rPr>
  </w:style>
  <w:style w:type="paragraph" w:customStyle="1" w:styleId="p">
    <w:name w:val="p"/>
    <w:basedOn w:val="Normal"/>
    <w:rsid w:val="00CC607B"/>
    <w:pPr>
      <w:spacing w:before="100" w:beforeAutospacing="1" w:after="100" w:afterAutospacing="1" w:line="240" w:lineRule="auto"/>
      <w:jc w:val="left"/>
    </w:pPr>
    <w:rPr>
      <w:rFonts w:ascii="Times New Roman" w:hAnsi="Times New Roman"/>
      <w:lang w:eastAsia="es-ES"/>
    </w:rPr>
  </w:style>
  <w:style w:type="character" w:customStyle="1" w:styleId="small-caps">
    <w:name w:val="small-caps"/>
    <w:basedOn w:val="DefaultParagraphFont"/>
    <w:rsid w:val="00CC607B"/>
  </w:style>
  <w:style w:type="paragraph" w:customStyle="1" w:styleId="TableTXT">
    <w:name w:val="TableTXT"/>
    <w:basedOn w:val="Normal"/>
    <w:link w:val="TableTXTChar"/>
    <w:qFormat/>
    <w:rsid w:val="00CC607B"/>
    <w:pPr>
      <w:spacing w:line="276" w:lineRule="auto"/>
      <w:contextualSpacing/>
    </w:pPr>
    <w:rPr>
      <w:rFonts w:ascii="Calibri" w:hAnsi="Calibri" w:cs="Calibri"/>
      <w:color w:val="000000"/>
      <w:sz w:val="20"/>
      <w:szCs w:val="20"/>
    </w:rPr>
  </w:style>
  <w:style w:type="character" w:customStyle="1" w:styleId="TableTXTChar">
    <w:name w:val="TableTXT Char"/>
    <w:basedOn w:val="DefaultParagraphFont"/>
    <w:link w:val="TableTXT"/>
    <w:rsid w:val="00CC607B"/>
    <w:rPr>
      <w:rFonts w:ascii="Calibri" w:eastAsia="Times New Roman" w:hAnsi="Calibri" w:cs="Calibri"/>
      <w:color w:val="000000"/>
      <w:sz w:val="20"/>
      <w:szCs w:val="20"/>
      <w:lang w:val="es-ES" w:eastAsia="es-ES_tradnl"/>
    </w:rPr>
  </w:style>
  <w:style w:type="paragraph" w:customStyle="1" w:styleId="DescTablasInf">
    <w:name w:val="DescTablasInf"/>
    <w:basedOn w:val="Caption"/>
    <w:qFormat/>
    <w:rsid w:val="00CC607B"/>
    <w:pPr>
      <w:spacing w:after="120"/>
    </w:pPr>
    <w:rPr>
      <w:rFonts w:eastAsiaTheme="minorHAnsi" w:cstheme="minorBidi"/>
      <w:b w:val="0"/>
      <w:lang w:eastAsia="en-US"/>
    </w:rPr>
  </w:style>
  <w:style w:type="paragraph" w:styleId="Header">
    <w:name w:val="header"/>
    <w:basedOn w:val="Normal"/>
    <w:link w:val="HeaderChar"/>
    <w:uiPriority w:val="99"/>
    <w:unhideWhenUsed/>
    <w:rsid w:val="00CC607B"/>
    <w:pPr>
      <w:tabs>
        <w:tab w:val="center" w:pos="4252"/>
        <w:tab w:val="right" w:pos="8504"/>
      </w:tabs>
      <w:spacing w:line="240" w:lineRule="auto"/>
    </w:pPr>
  </w:style>
  <w:style w:type="character" w:customStyle="1" w:styleId="HeaderChar">
    <w:name w:val="Header Char"/>
    <w:basedOn w:val="DefaultParagraphFont"/>
    <w:link w:val="Header"/>
    <w:uiPriority w:val="99"/>
    <w:rsid w:val="00CC607B"/>
    <w:rPr>
      <w:rFonts w:eastAsia="Times New Roman" w:cs="Times New Roman"/>
      <w:sz w:val="24"/>
      <w:szCs w:val="24"/>
      <w:lang w:val="es-ES" w:eastAsia="es-ES_tradnl"/>
    </w:rPr>
  </w:style>
  <w:style w:type="paragraph" w:styleId="Footer">
    <w:name w:val="footer"/>
    <w:basedOn w:val="Normal"/>
    <w:link w:val="FooterChar"/>
    <w:uiPriority w:val="99"/>
    <w:unhideWhenUsed/>
    <w:rsid w:val="00CC607B"/>
    <w:pPr>
      <w:tabs>
        <w:tab w:val="center" w:pos="4252"/>
        <w:tab w:val="right" w:pos="8504"/>
      </w:tabs>
      <w:spacing w:line="240" w:lineRule="auto"/>
    </w:pPr>
  </w:style>
  <w:style w:type="character" w:customStyle="1" w:styleId="FooterChar">
    <w:name w:val="Footer Char"/>
    <w:basedOn w:val="DefaultParagraphFont"/>
    <w:link w:val="Footer"/>
    <w:uiPriority w:val="99"/>
    <w:rsid w:val="00CC607B"/>
    <w:rPr>
      <w:rFonts w:eastAsia="Times New Roman" w:cs="Times New Roman"/>
      <w:sz w:val="24"/>
      <w:szCs w:val="24"/>
      <w:lang w:val="es-ES" w:eastAsia="es-ES_tradnl"/>
    </w:rPr>
  </w:style>
  <w:style w:type="character" w:styleId="LineNumber">
    <w:name w:val="line number"/>
    <w:basedOn w:val="DefaultParagraphFont"/>
    <w:uiPriority w:val="99"/>
    <w:semiHidden/>
    <w:unhideWhenUsed/>
    <w:rsid w:val="00CC607B"/>
  </w:style>
  <w:style w:type="paragraph" w:styleId="CommentSubject">
    <w:name w:val="annotation subject"/>
    <w:basedOn w:val="CommentText"/>
    <w:next w:val="CommentText"/>
    <w:link w:val="CommentSubjectChar"/>
    <w:uiPriority w:val="99"/>
    <w:semiHidden/>
    <w:unhideWhenUsed/>
    <w:rsid w:val="00CC607B"/>
    <w:rPr>
      <w:b/>
      <w:bCs/>
    </w:rPr>
  </w:style>
  <w:style w:type="character" w:customStyle="1" w:styleId="CommentSubjectChar">
    <w:name w:val="Comment Subject Char"/>
    <w:basedOn w:val="CommentTextChar"/>
    <w:link w:val="CommentSubject"/>
    <w:uiPriority w:val="99"/>
    <w:semiHidden/>
    <w:rsid w:val="00CC607B"/>
    <w:rPr>
      <w:rFonts w:eastAsia="Times New Roman" w:cs="Times New Roman"/>
      <w:b/>
      <w:bCs/>
      <w:sz w:val="20"/>
      <w:szCs w:val="20"/>
      <w:lang w:val="es-ES" w:eastAsia="es-ES_tradnl"/>
    </w:rPr>
  </w:style>
  <w:style w:type="character" w:customStyle="1" w:styleId="Mencinsinresolver2">
    <w:name w:val="Mención sin resolver2"/>
    <w:basedOn w:val="DefaultParagraphFont"/>
    <w:uiPriority w:val="99"/>
    <w:semiHidden/>
    <w:unhideWhenUsed/>
    <w:rsid w:val="00CC607B"/>
    <w:rPr>
      <w:color w:val="605E5C"/>
      <w:shd w:val="clear" w:color="auto" w:fill="E1DFDD"/>
    </w:rPr>
  </w:style>
  <w:style w:type="character" w:customStyle="1" w:styleId="Mencinsinresolver3">
    <w:name w:val="Mención sin resolver3"/>
    <w:basedOn w:val="DefaultParagraphFont"/>
    <w:uiPriority w:val="99"/>
    <w:semiHidden/>
    <w:unhideWhenUsed/>
    <w:rsid w:val="00CC607B"/>
    <w:rPr>
      <w:color w:val="605E5C"/>
      <w:shd w:val="clear" w:color="auto" w:fill="E1DFDD"/>
    </w:rPr>
  </w:style>
  <w:style w:type="character" w:styleId="PageNumber">
    <w:name w:val="page number"/>
    <w:basedOn w:val="DefaultParagraphFont"/>
    <w:uiPriority w:val="99"/>
    <w:semiHidden/>
    <w:unhideWhenUsed/>
    <w:rsid w:val="00CC607B"/>
  </w:style>
  <w:style w:type="character" w:styleId="PlaceholderText">
    <w:name w:val="Placeholder Text"/>
    <w:basedOn w:val="DefaultParagraphFont"/>
    <w:uiPriority w:val="99"/>
    <w:semiHidden/>
    <w:rsid w:val="00CC607B"/>
    <w:rPr>
      <w:color w:val="808080"/>
    </w:rPr>
  </w:style>
  <w:style w:type="character" w:customStyle="1" w:styleId="Mencinsinresolver4">
    <w:name w:val="Mención sin resolver4"/>
    <w:basedOn w:val="DefaultParagraphFont"/>
    <w:uiPriority w:val="99"/>
    <w:semiHidden/>
    <w:unhideWhenUsed/>
    <w:rsid w:val="00CC607B"/>
    <w:rPr>
      <w:color w:val="605E5C"/>
      <w:shd w:val="clear" w:color="auto" w:fill="E1DFDD"/>
    </w:rPr>
  </w:style>
  <w:style w:type="character" w:customStyle="1" w:styleId="Mencinsinresolver5">
    <w:name w:val="Mención sin resolver5"/>
    <w:basedOn w:val="DefaultParagraphFont"/>
    <w:uiPriority w:val="99"/>
    <w:semiHidden/>
    <w:unhideWhenUsed/>
    <w:rsid w:val="00CC60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3232</Words>
  <Characters>18424</Characters>
  <Application>Microsoft Office Word</Application>
  <DocSecurity>0</DocSecurity>
  <Lines>153</Lines>
  <Paragraphs>43</Paragraphs>
  <ScaleCrop>false</ScaleCrop>
  <Company>Springer Nature IT</Company>
  <LinksUpToDate>false</LinksUpToDate>
  <CharactersWithSpaces>21613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2022-07-29T08:26:00Z</dcterms:created>
  <dcterms:modified xsi:type="dcterms:W3CDTF">2022-07-29T08:26:00Z</dcterms:modified>
</cp:coreProperties>
</file>