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Times New Roman" w:hAnsi="Times New Roman" w:eastAsia="宋体"/>
          <w:sz w:val="32"/>
          <w:szCs w:val="32"/>
        </w:rPr>
      </w:pPr>
      <w:r>
        <w:rPr>
          <w:rFonts w:ascii="Times New Roman" w:hAnsi="Times New Roman" w:eastAsia="ArialMT"/>
          <w:kern w:val="0"/>
          <w:sz w:val="32"/>
          <w:szCs w:val="32"/>
        </w:rPr>
        <w:t>Supporting information for</w:t>
      </w:r>
    </w:p>
    <w:p>
      <w:pPr>
        <w:rPr>
          <w:rFonts w:ascii="Times New Roman" w:hAnsi="Times New Roman"/>
        </w:rPr>
      </w:pPr>
      <w:bookmarkStart w:id="7" w:name="_GoBack"/>
      <w:r>
        <w:rPr>
          <w:rFonts w:ascii="Times New Roman" w:hAnsi="Times New Roman" w:eastAsia="宋体"/>
          <w:b/>
          <w:bCs/>
          <w:sz w:val="28"/>
          <w:szCs w:val="28"/>
        </w:rPr>
        <w:t>ISPRF: a machine learning model to predict the immune subtype of kidney cancer samples by four genes</w:t>
      </w:r>
      <w:bookmarkEnd w:id="7"/>
      <w:r>
        <w:rPr>
          <w:rFonts w:ascii="Times New Roman" w:hAnsi="Times New Roman"/>
        </w:rPr>
        <w:t xml:space="preserve"> </w:t>
      </w:r>
    </w:p>
    <w:p>
      <w:pPr>
        <w:jc w:val="left"/>
        <w:rPr>
          <w:rFonts w:ascii="Times New Roman" w:hAnsi="Times New Roman"/>
          <w:i/>
          <w:iCs/>
          <w:sz w:val="28"/>
          <w:szCs w:val="28"/>
          <w:shd w:val="clear" w:color="auto" w:fill="FFFFFF"/>
        </w:rPr>
      </w:pPr>
      <w:r>
        <w:rPr>
          <w:rFonts w:ascii="Times New Roman" w:hAnsi="Times New Roman"/>
          <w:i/>
          <w:iCs/>
          <w:sz w:val="28"/>
          <w:szCs w:val="28"/>
          <w:shd w:val="clear" w:color="auto" w:fill="FFFFFF"/>
        </w:rPr>
        <w:t>Zhifeng Wang</w:t>
      </w:r>
      <w:r>
        <w:rPr>
          <w:rFonts w:ascii="Times New Roman" w:hAnsi="Times New Roman"/>
          <w:i/>
          <w:iCs/>
          <w:sz w:val="28"/>
          <w:szCs w:val="28"/>
          <w:shd w:val="clear" w:color="auto" w:fill="FFFFFF"/>
          <w:vertAlign w:val="superscript"/>
        </w:rPr>
        <w:t>1†</w:t>
      </w:r>
      <w:r>
        <w:rPr>
          <w:rFonts w:ascii="Times New Roman" w:hAnsi="Times New Roman"/>
          <w:i/>
          <w:iCs/>
          <w:sz w:val="28"/>
          <w:szCs w:val="28"/>
          <w:shd w:val="clear" w:color="auto" w:fill="FFFFFF"/>
        </w:rPr>
        <w:t>, Zihao Chen</w:t>
      </w:r>
      <w:r>
        <w:rPr>
          <w:rFonts w:ascii="Times New Roman" w:hAnsi="Times New Roman"/>
          <w:i/>
          <w:iCs/>
          <w:sz w:val="28"/>
          <w:szCs w:val="28"/>
          <w:shd w:val="clear" w:color="auto" w:fill="FFFFFF"/>
          <w:vertAlign w:val="superscript"/>
        </w:rPr>
        <w:t>2†</w:t>
      </w:r>
      <w:r>
        <w:rPr>
          <w:rFonts w:ascii="Times New Roman" w:hAnsi="Times New Roman"/>
          <w:i/>
          <w:iCs/>
          <w:sz w:val="28"/>
          <w:szCs w:val="28"/>
          <w:shd w:val="clear" w:color="auto" w:fill="FFFFFF"/>
        </w:rPr>
        <w:t>, Hongfan Zhao</w:t>
      </w:r>
      <w:r>
        <w:rPr>
          <w:rFonts w:ascii="Times New Roman" w:hAnsi="Times New Roman"/>
          <w:i/>
          <w:iCs/>
          <w:sz w:val="28"/>
          <w:szCs w:val="28"/>
          <w:shd w:val="clear" w:color="auto" w:fill="FFFFFF"/>
          <w:vertAlign w:val="superscript"/>
        </w:rPr>
        <w:t>3,</w:t>
      </w:r>
      <w:r>
        <w:rPr>
          <w:rFonts w:ascii="Times New Roman" w:hAnsi="Times New Roman"/>
          <w:i/>
          <w:iCs/>
          <w:sz w:val="28"/>
          <w:szCs w:val="28"/>
          <w:shd w:val="clear" w:color="auto" w:fill="FFFFFF"/>
        </w:rPr>
        <w:t xml:space="preserve"> Hao Lin</w:t>
      </w:r>
      <w:r>
        <w:rPr>
          <w:rFonts w:ascii="Times New Roman" w:hAnsi="Times New Roman"/>
          <w:i/>
          <w:iCs/>
          <w:sz w:val="28"/>
          <w:szCs w:val="28"/>
          <w:shd w:val="clear" w:color="auto" w:fill="FFFFFF"/>
          <w:vertAlign w:val="superscript"/>
        </w:rPr>
        <w:t>2</w:t>
      </w:r>
      <w:r>
        <w:rPr>
          <w:rFonts w:ascii="Times New Roman" w:hAnsi="Times New Roman"/>
          <w:i/>
          <w:iCs/>
          <w:sz w:val="28"/>
          <w:szCs w:val="28"/>
          <w:shd w:val="clear" w:color="auto" w:fill="FFFFFF"/>
        </w:rPr>
        <w:t>, Junjie Wang</w:t>
      </w:r>
      <w:r>
        <w:rPr>
          <w:rFonts w:ascii="Times New Roman" w:hAnsi="Times New Roman"/>
          <w:i/>
          <w:iCs/>
          <w:sz w:val="28"/>
          <w:szCs w:val="28"/>
          <w:shd w:val="clear" w:color="auto" w:fill="FFFFFF"/>
          <w:vertAlign w:val="superscript"/>
        </w:rPr>
        <w:t>1</w:t>
      </w:r>
      <w:r>
        <w:rPr>
          <w:rFonts w:ascii="Times New Roman" w:hAnsi="Times New Roman"/>
          <w:i/>
          <w:iCs/>
          <w:sz w:val="28"/>
          <w:szCs w:val="28"/>
          <w:shd w:val="clear" w:color="auto" w:fill="FFFFFF"/>
        </w:rPr>
        <w:t>, Ning Wang</w:t>
      </w:r>
      <w:r>
        <w:rPr>
          <w:rFonts w:ascii="Times New Roman" w:hAnsi="Times New Roman"/>
          <w:i/>
          <w:iCs/>
          <w:sz w:val="28"/>
          <w:szCs w:val="28"/>
          <w:shd w:val="clear" w:color="auto" w:fill="FFFFFF"/>
          <w:vertAlign w:val="superscript"/>
        </w:rPr>
        <w:t>1</w:t>
      </w:r>
      <w:r>
        <w:rPr>
          <w:rFonts w:ascii="Times New Roman" w:hAnsi="Times New Roman"/>
          <w:i/>
          <w:iCs/>
          <w:sz w:val="28"/>
          <w:szCs w:val="28"/>
          <w:shd w:val="clear" w:color="auto" w:fill="FFFFFF"/>
        </w:rPr>
        <w:t>, Xiqing Li</w:t>
      </w:r>
      <w:r>
        <w:rPr>
          <w:rFonts w:ascii="Times New Roman" w:hAnsi="Times New Roman"/>
          <w:i/>
          <w:iCs/>
          <w:sz w:val="28"/>
          <w:szCs w:val="28"/>
          <w:shd w:val="clear" w:color="auto" w:fill="FFFFFF"/>
          <w:vertAlign w:val="superscript"/>
        </w:rPr>
        <w:t>4</w:t>
      </w:r>
      <w:r>
        <w:rPr>
          <w:rFonts w:ascii="Times New Roman" w:hAnsi="Times New Roman"/>
          <w:i/>
          <w:iCs/>
          <w:sz w:val="28"/>
          <w:szCs w:val="28"/>
          <w:shd w:val="clear" w:color="auto" w:fill="FFFFFF"/>
        </w:rPr>
        <w:t>, Degang Ding</w:t>
      </w:r>
      <w:r>
        <w:rPr>
          <w:rFonts w:ascii="Times New Roman" w:hAnsi="Times New Roman"/>
          <w:i/>
          <w:iCs/>
          <w:sz w:val="28"/>
          <w:szCs w:val="28"/>
          <w:shd w:val="clear" w:color="auto" w:fill="FFFFFF"/>
          <w:vertAlign w:val="superscript"/>
        </w:rPr>
        <w:t>1</w:t>
      </w:r>
    </w:p>
    <w:p>
      <w:pPr>
        <w:jc w:val="left"/>
        <w:rPr>
          <w:rFonts w:ascii="Times New Roman" w:hAnsi="Times New Roman"/>
          <w:i/>
          <w:iCs/>
          <w:sz w:val="40"/>
          <w:szCs w:val="40"/>
        </w:rPr>
      </w:pPr>
      <w:r>
        <w:rPr>
          <w:rFonts w:ascii="Times New Roman" w:hAnsi="Times New Roman"/>
          <w:i/>
          <w:iCs/>
          <w:sz w:val="40"/>
          <w:szCs w:val="40"/>
        </w:rPr>
        <w:t xml:space="preserve"> </w:t>
      </w:r>
    </w:p>
    <w:p>
      <w:pPr>
        <w:spacing w:line="360" w:lineRule="auto"/>
        <w:rPr>
          <w:rFonts w:ascii="Times New Roman" w:hAnsi="Times New Roman"/>
          <w:i/>
          <w:iCs/>
          <w:sz w:val="40"/>
          <w:szCs w:val="40"/>
          <w:vertAlign w:val="superscript"/>
        </w:rPr>
      </w:pPr>
      <w:r>
        <w:rPr>
          <w:rFonts w:ascii="Times New Roman" w:hAnsi="Times New Roman"/>
          <w:i/>
          <w:iCs/>
          <w:sz w:val="40"/>
          <w:szCs w:val="40"/>
          <w:vertAlign w:val="superscript"/>
        </w:rPr>
        <w:t>1 Department of Urology, Henan Provincial People’s Hospital, Zhengzhou, 450003, China</w:t>
      </w:r>
    </w:p>
    <w:p>
      <w:pPr>
        <w:spacing w:line="360" w:lineRule="auto"/>
        <w:rPr>
          <w:rFonts w:ascii="Times New Roman" w:hAnsi="Times New Roman"/>
          <w:i/>
          <w:iCs/>
          <w:sz w:val="40"/>
          <w:szCs w:val="40"/>
          <w:vertAlign w:val="superscript"/>
        </w:rPr>
      </w:pPr>
      <w:r>
        <w:rPr>
          <w:rFonts w:ascii="Times New Roman" w:hAnsi="Times New Roman"/>
          <w:i/>
          <w:iCs/>
          <w:sz w:val="40"/>
          <w:szCs w:val="40"/>
          <w:vertAlign w:val="superscript"/>
        </w:rPr>
        <w:t>2 Department of Urology, Nanfang Hospital, Southern Medical University, Guangzhou, 510515, China</w:t>
      </w:r>
    </w:p>
    <w:p>
      <w:pPr>
        <w:spacing w:line="360" w:lineRule="auto"/>
        <w:rPr>
          <w:rFonts w:ascii="Times New Roman" w:hAnsi="Times New Roman"/>
          <w:i/>
          <w:iCs/>
          <w:sz w:val="40"/>
          <w:szCs w:val="40"/>
          <w:vertAlign w:val="superscript"/>
        </w:rPr>
      </w:pPr>
      <w:r>
        <w:rPr>
          <w:rFonts w:ascii="Times New Roman" w:hAnsi="Times New Roman"/>
          <w:i/>
          <w:iCs/>
          <w:sz w:val="40"/>
          <w:szCs w:val="40"/>
          <w:vertAlign w:val="superscript"/>
        </w:rPr>
        <w:t>3 Department of Nephrology and Medical Intensive Care, Charité-Universitätsmedizin, Berlin, Germany</w:t>
      </w:r>
    </w:p>
    <w:p>
      <w:pPr>
        <w:spacing w:line="360" w:lineRule="auto"/>
        <w:rPr>
          <w:rFonts w:ascii="Times New Roman" w:hAnsi="Times New Roman"/>
          <w:sz w:val="40"/>
          <w:szCs w:val="40"/>
        </w:rPr>
      </w:pPr>
      <w:r>
        <w:rPr>
          <w:rFonts w:ascii="Times New Roman" w:hAnsi="Times New Roman"/>
          <w:i/>
          <w:iCs/>
          <w:sz w:val="40"/>
          <w:szCs w:val="40"/>
          <w:vertAlign w:val="superscript"/>
        </w:rPr>
        <w:t>4 Oncology Department, Henan Provincial People’s Hospital, Zhengzhou, 450003, China</w:t>
      </w:r>
    </w:p>
    <w:p>
      <w:pPr>
        <w:spacing w:line="360" w:lineRule="auto"/>
        <w:rPr>
          <w:rFonts w:ascii="Times New Roman" w:hAnsi="Times New Roman"/>
        </w:rPr>
      </w:pPr>
      <w:r>
        <w:rPr>
          <w:rFonts w:ascii="Times New Roman" w:hAnsi="Times New Roman"/>
        </w:rPr>
        <w:t xml:space="preserve"> </w:t>
      </w:r>
    </w:p>
    <w:p>
      <w:pPr>
        <w:spacing w:line="360" w:lineRule="auto"/>
        <w:rPr>
          <w:rFonts w:ascii="Times New Roman" w:hAnsi="Times New Roman"/>
        </w:rPr>
      </w:pPr>
      <w:r>
        <w:rPr>
          <w:rFonts w:ascii="Times New Roman" w:hAnsi="Times New Roman"/>
        </w:rPr>
        <w:t xml:space="preserve"> </w:t>
      </w:r>
    </w:p>
    <w:p>
      <w:pPr>
        <w:spacing w:line="360" w:lineRule="auto"/>
        <w:rPr>
          <w:rFonts w:ascii="Times New Roman" w:hAnsi="Times New Roman"/>
        </w:rPr>
      </w:pPr>
      <w:r>
        <w:rPr>
          <w:rFonts w:ascii="Times New Roman" w:hAnsi="Times New Roman"/>
        </w:rPr>
        <w:t xml:space="preserve">*Corresponding author: </w:t>
      </w:r>
    </w:p>
    <w:p>
      <w:pPr>
        <w:spacing w:line="360" w:lineRule="auto"/>
        <w:rPr>
          <w:rFonts w:ascii="Arial" w:hAnsi="Arial" w:cs="Arial"/>
          <w:color w:val="000000"/>
        </w:rPr>
      </w:pPr>
      <w:r>
        <w:rPr>
          <w:rFonts w:ascii="Times New Roman" w:hAnsi="Times New Roman"/>
        </w:rPr>
        <w:t>Degang Ding, Department of Urology, Henan Provincial People’s Hospital, Zhengzhou, 450003, China. E-mail: drdegang@126.com</w:t>
      </w:r>
      <w:r>
        <w:rPr>
          <w:rFonts w:ascii="Arial" w:hAnsi="Arial" w:cs="Arial"/>
          <w:color w:val="000000"/>
        </w:rPr>
        <w:t xml:space="preserve"> </w:t>
      </w:r>
    </w:p>
    <w:p>
      <w:pPr>
        <w:spacing w:line="360" w:lineRule="auto"/>
        <w:rPr>
          <w:rFonts w:ascii="Times New Roman" w:hAnsi="Times New Roman"/>
        </w:rPr>
      </w:pPr>
      <w:r>
        <w:rPr>
          <w:rFonts w:hint="eastAsia" w:ascii="Times New Roman" w:hAnsi="Times New Roman"/>
        </w:rPr>
        <w:t>†</w:t>
      </w:r>
      <w:r>
        <w:rPr>
          <w:rFonts w:ascii="Times New Roman" w:hAnsi="Times New Roman"/>
        </w:rPr>
        <w:t>These authors contributed equally to this work</w:t>
      </w:r>
    </w:p>
    <w:p>
      <w:pPr>
        <w:spacing w:line="360" w:lineRule="auto"/>
        <w:rPr>
          <w:rFonts w:ascii="Arial" w:hAnsi="Arial" w:cs="Arial"/>
          <w:color w:val="000000"/>
        </w:rPr>
      </w:pPr>
    </w:p>
    <w:p>
      <w:pPr>
        <w:spacing w:before="240" w:after="240" w:line="360" w:lineRule="auto"/>
        <w:rPr>
          <w:rFonts w:ascii="Arial" w:hAnsi="Arial" w:cs="Arial"/>
          <w:color w:val="000000"/>
        </w:rPr>
        <w:sectPr>
          <w:pgSz w:w="16838" w:h="11906" w:orient="landscape"/>
          <w:pgMar w:top="1800" w:right="1440" w:bottom="1800" w:left="1440" w:header="720" w:footer="720" w:gutter="0"/>
          <w:cols w:space="720" w:num="1"/>
          <w:docGrid w:type="lines" w:linePitch="312" w:charSpace="0"/>
        </w:sectPr>
      </w:pPr>
    </w:p>
    <w:p>
      <w:pPr>
        <w:spacing w:before="240" w:after="240" w:line="360" w:lineRule="auto"/>
        <w:rPr>
          <w:rFonts w:ascii="Arial" w:hAnsi="Arial" w:cs="Arial"/>
          <w:color w:val="000000"/>
        </w:rPr>
      </w:pPr>
    </w:p>
    <w:tbl>
      <w:tblPr>
        <w:tblStyle w:val="8"/>
        <w:tblW w:w="12895" w:type="dxa"/>
        <w:tblInd w:w="135" w:type="dxa"/>
        <w:tblBorders>
          <w:top w:val="none" w:color="auto" w:sz="0" w:space="0"/>
          <w:left w:val="none" w:color="auto" w:sz="0" w:space="0"/>
          <w:bottom w:val="none" w:color="auto" w:sz="0" w:space="0"/>
          <w:right w:val="none" w:color="auto" w:sz="0" w:space="0"/>
          <w:insideH w:val="single" w:color="BEBEBE" w:sz="4" w:space="0"/>
          <w:insideV w:val="single" w:color="BEBEBE" w:sz="4" w:space="0"/>
        </w:tblBorders>
        <w:tblLayout w:type="autofit"/>
        <w:tblCellMar>
          <w:top w:w="0" w:type="dxa"/>
          <w:left w:w="108" w:type="dxa"/>
          <w:bottom w:w="0" w:type="dxa"/>
          <w:right w:w="108" w:type="dxa"/>
        </w:tblCellMar>
      </w:tblPr>
      <w:tblGrid>
        <w:gridCol w:w="6237"/>
        <w:gridCol w:w="2552"/>
        <w:gridCol w:w="2126"/>
        <w:gridCol w:w="1980"/>
      </w:tblGrid>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single" w:color="auto" w:sz="12" w:space="0"/>
              <w:left w:val="nil"/>
              <w:bottom w:val="single" w:color="auto" w:sz="8" w:space="0"/>
              <w:right w:val="nil"/>
            </w:tcBorders>
            <w:noWrap/>
          </w:tcPr>
          <w:p>
            <w:pPr>
              <w:widowControl/>
              <w:jc w:val="center"/>
              <w:rPr>
                <w:rFonts w:ascii="Arial" w:hAnsi="Arial" w:eastAsia="宋体" w:cs="Arial"/>
                <w:b/>
                <w:bCs/>
                <w:color w:val="000000"/>
                <w:kern w:val="0"/>
                <w:sz w:val="20"/>
              </w:rPr>
            </w:pPr>
            <w:r>
              <w:rPr>
                <w:rFonts w:ascii="Arial" w:hAnsi="Arial" w:eastAsia="宋体" w:cs="Arial"/>
                <w:b/>
                <w:bCs/>
                <w:color w:val="000000"/>
                <w:kern w:val="0"/>
                <w:sz w:val="20"/>
              </w:rPr>
              <w:t>Pathway</w:t>
            </w:r>
          </w:p>
        </w:tc>
        <w:tc>
          <w:tcPr>
            <w:tcW w:w="2552" w:type="dxa"/>
            <w:tcBorders>
              <w:top w:val="single" w:color="auto" w:sz="12" w:space="0"/>
              <w:left w:val="nil"/>
              <w:bottom w:val="single" w:color="auto" w:sz="8" w:space="0"/>
              <w:right w:val="nil"/>
            </w:tcBorders>
            <w:noWrap/>
          </w:tcPr>
          <w:p>
            <w:pPr>
              <w:widowControl/>
              <w:jc w:val="center"/>
              <w:rPr>
                <w:rFonts w:ascii="Arial" w:hAnsi="Arial" w:eastAsia="宋体" w:cs="Arial"/>
                <w:b/>
                <w:bCs/>
                <w:color w:val="000000"/>
                <w:kern w:val="0"/>
                <w:sz w:val="20"/>
              </w:rPr>
            </w:pPr>
            <w:r>
              <w:rPr>
                <w:rFonts w:ascii="Arial" w:hAnsi="Arial" w:eastAsia="宋体" w:cs="Arial"/>
                <w:b/>
                <w:bCs/>
                <w:color w:val="000000"/>
                <w:kern w:val="0"/>
                <w:sz w:val="20"/>
              </w:rPr>
              <w:t>Padj</w:t>
            </w:r>
          </w:p>
        </w:tc>
        <w:tc>
          <w:tcPr>
            <w:tcW w:w="2126" w:type="dxa"/>
            <w:tcBorders>
              <w:top w:val="single" w:color="auto" w:sz="12" w:space="0"/>
              <w:left w:val="nil"/>
              <w:bottom w:val="single" w:color="auto" w:sz="8" w:space="0"/>
              <w:right w:val="nil"/>
            </w:tcBorders>
            <w:noWrap/>
          </w:tcPr>
          <w:p>
            <w:pPr>
              <w:widowControl/>
              <w:jc w:val="center"/>
              <w:rPr>
                <w:rFonts w:ascii="Arial" w:hAnsi="Arial" w:eastAsia="宋体" w:cs="Arial"/>
                <w:b/>
                <w:bCs/>
                <w:color w:val="000000"/>
                <w:kern w:val="0"/>
                <w:sz w:val="20"/>
              </w:rPr>
            </w:pPr>
            <w:r>
              <w:rPr>
                <w:rFonts w:ascii="Arial" w:hAnsi="Arial" w:eastAsia="宋体" w:cs="Arial"/>
                <w:b/>
                <w:bCs/>
                <w:color w:val="000000"/>
                <w:kern w:val="0"/>
                <w:sz w:val="20"/>
              </w:rPr>
              <w:t>NES</w:t>
            </w:r>
          </w:p>
        </w:tc>
        <w:tc>
          <w:tcPr>
            <w:tcW w:w="1980" w:type="dxa"/>
            <w:tcBorders>
              <w:top w:val="single" w:color="auto" w:sz="12" w:space="0"/>
              <w:left w:val="nil"/>
              <w:bottom w:val="single" w:color="auto" w:sz="8" w:space="0"/>
              <w:right w:val="nil"/>
            </w:tcBorders>
            <w:noWrap/>
          </w:tcPr>
          <w:p>
            <w:pPr>
              <w:widowControl/>
              <w:jc w:val="center"/>
              <w:rPr>
                <w:rFonts w:ascii="Arial" w:hAnsi="Arial" w:eastAsia="宋体" w:cs="Arial"/>
                <w:b/>
                <w:bCs/>
                <w:color w:val="000000"/>
                <w:kern w:val="0"/>
                <w:sz w:val="20"/>
              </w:rPr>
            </w:pPr>
            <w:r>
              <w:rPr>
                <w:rFonts w:ascii="Arial" w:hAnsi="Arial" w:eastAsia="宋体" w:cs="Arial"/>
                <w:b/>
                <w:bCs/>
                <w:color w:val="000000"/>
                <w:kern w:val="0"/>
                <w:sz w:val="20"/>
              </w:rPr>
              <w:t>Size</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single" w:color="auto" w:sz="8" w:space="0"/>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PPAR signaling pathway</w:t>
            </w:r>
          </w:p>
        </w:tc>
        <w:tc>
          <w:tcPr>
            <w:tcW w:w="2552" w:type="dxa"/>
            <w:tcBorders>
              <w:top w:val="single" w:color="auto" w:sz="8" w:space="0"/>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single" w:color="auto" w:sz="8" w:space="0"/>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-2.076462405</w:t>
            </w:r>
          </w:p>
        </w:tc>
        <w:tc>
          <w:tcPr>
            <w:tcW w:w="1980" w:type="dxa"/>
            <w:tcBorders>
              <w:top w:val="single" w:color="auto" w:sz="8" w:space="0"/>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69</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Oxidative phosphorylation</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-2.075496402</w:t>
            </w:r>
          </w:p>
        </w:tc>
        <w:tc>
          <w:tcPr>
            <w:tcW w:w="198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116</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Vibrio cholerae infection</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-2.01780083</w:t>
            </w:r>
          </w:p>
        </w:tc>
        <w:tc>
          <w:tcPr>
            <w:tcW w:w="198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52</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Fatty acid metabolism</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-1.99482005</w:t>
            </w:r>
          </w:p>
        </w:tc>
        <w:tc>
          <w:tcPr>
            <w:tcW w:w="198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42</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Retinol metabolism</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-1.927153616</w:t>
            </w:r>
          </w:p>
        </w:tc>
        <w:tc>
          <w:tcPr>
            <w:tcW w:w="198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63</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Tyrosine metabolism</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-1.908248892</w:t>
            </w:r>
          </w:p>
        </w:tc>
        <w:tc>
          <w:tcPr>
            <w:tcW w:w="198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41</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Drug metabolism cytochrome P450</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-1.829246779</w:t>
            </w:r>
          </w:p>
        </w:tc>
        <w:tc>
          <w:tcPr>
            <w:tcW w:w="198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70</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Glycolysis gluconeogenesis</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-1.793530881</w:t>
            </w:r>
          </w:p>
        </w:tc>
        <w:tc>
          <w:tcPr>
            <w:tcW w:w="198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61</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Propanoate metabolism</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-1.779770488</w:t>
            </w:r>
          </w:p>
        </w:tc>
        <w:tc>
          <w:tcPr>
            <w:tcW w:w="198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32</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6237" w:type="dxa"/>
            <w:tcBorders>
              <w:top w:val="nil"/>
              <w:left w:val="nil"/>
              <w:bottom w:val="single" w:color="auto" w:sz="12" w:space="0"/>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Epithelial cell signaling in Helicobacter pylori infection -</w:t>
            </w:r>
          </w:p>
        </w:tc>
        <w:tc>
          <w:tcPr>
            <w:tcW w:w="2552" w:type="dxa"/>
            <w:tcBorders>
              <w:top w:val="nil"/>
              <w:left w:val="nil"/>
              <w:bottom w:val="single" w:color="auto" w:sz="12" w:space="0"/>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single" w:color="auto" w:sz="12" w:space="0"/>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-1.773782491</w:t>
            </w:r>
          </w:p>
        </w:tc>
        <w:tc>
          <w:tcPr>
            <w:tcW w:w="1980" w:type="dxa"/>
            <w:tcBorders>
              <w:top w:val="nil"/>
              <w:left w:val="nil"/>
              <w:bottom w:val="single" w:color="auto" w:sz="12" w:space="0"/>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67</w:t>
            </w:r>
          </w:p>
        </w:tc>
      </w:tr>
    </w:tbl>
    <w:p>
      <w:pPr>
        <w:spacing w:before="240" w:after="240" w:line="360" w:lineRule="auto"/>
        <w:rPr>
          <w:rFonts w:ascii="Arial" w:hAnsi="Arial" w:cs="Arial"/>
          <w:color w:val="000000"/>
        </w:rPr>
      </w:pPr>
    </w:p>
    <w:p>
      <w:pPr>
        <w:spacing w:before="240" w:after="240" w:line="360" w:lineRule="auto"/>
        <w:rPr>
          <w:rFonts w:ascii="Arial" w:hAnsi="Arial" w:cs="Arial"/>
          <w:color w:val="000000"/>
        </w:rPr>
      </w:pPr>
      <w:r>
        <w:rPr>
          <w:rFonts w:ascii="Arial" w:hAnsi="Arial" w:cs="Arial"/>
          <w:b/>
          <w:bCs/>
          <w:color w:val="000000"/>
          <w:kern w:val="0"/>
        </w:rPr>
        <w:t xml:space="preserve">Supplement Table </w:t>
      </w:r>
      <w:r>
        <w:rPr>
          <w:rFonts w:ascii="Arial" w:hAnsi="Arial" w:cs="Arial"/>
          <w:b/>
          <w:bCs/>
          <w:color w:val="000000"/>
        </w:rPr>
        <w:t xml:space="preserve">1. </w:t>
      </w:r>
      <w:r>
        <w:rPr>
          <w:rFonts w:ascii="Arial" w:hAnsi="Arial" w:cs="Arial"/>
          <w:color w:val="000000"/>
        </w:rPr>
        <w:t>The enriched pathways in immune subtype1</w:t>
      </w:r>
      <w:r>
        <w:rPr>
          <w:rFonts w:hint="eastAsia" w:ascii="Arial" w:hAnsi="Arial" w:cs="Arial"/>
          <w:color w:val="000000"/>
        </w:rPr>
        <w:t>.</w:t>
      </w:r>
      <w:r>
        <w:rPr>
          <w:rFonts w:ascii="Arial" w:hAnsi="Arial" w:cs="Arial"/>
          <w:color w:val="000000"/>
        </w:rPr>
        <w:t xml:space="preserve"> NES: normalized enrichment score. Padj: </w:t>
      </w:r>
      <w:r>
        <w:rPr>
          <w:rFonts w:ascii="Arial" w:hAnsi="Arial" w:cs="Arial"/>
        </w:rPr>
        <w:t>adjusted P-values [the false discovery rate (FDR)]</w:t>
      </w:r>
      <w:r>
        <w:rPr>
          <w:rFonts w:ascii="Arial" w:hAnsi="Arial" w:cs="Arial"/>
          <w:color w:val="000000"/>
        </w:rPr>
        <w:t>. A negative NES means that genes over-represented in the gene set are upregulated in immune subtype1.</w:t>
      </w:r>
    </w:p>
    <w:p>
      <w:pPr>
        <w:spacing w:before="240" w:after="240" w:line="360" w:lineRule="auto"/>
        <w:rPr>
          <w:rFonts w:ascii="Arial" w:hAnsi="Arial" w:cs="Arial"/>
          <w:color w:val="000000"/>
        </w:rPr>
      </w:pPr>
      <w:r>
        <w:rPr>
          <w:rFonts w:ascii="Arial" w:hAnsi="Arial" w:cs="Arial"/>
          <w:color w:val="000000"/>
        </w:rPr>
        <w:t xml:space="preserve"> </w:t>
      </w:r>
    </w:p>
    <w:p>
      <w:pPr>
        <w:widowControl/>
        <w:jc w:val="left"/>
        <w:rPr>
          <w:rFonts w:ascii="Arial" w:hAnsi="Arial" w:cs="Arial"/>
          <w:color w:val="000000"/>
        </w:rPr>
        <w:sectPr>
          <w:pgSz w:w="16838" w:h="11906" w:orient="landscape"/>
          <w:pgMar w:top="1800" w:right="1440" w:bottom="1800" w:left="1440" w:header="720" w:footer="720" w:gutter="0"/>
          <w:cols w:space="720" w:num="1"/>
          <w:docGrid w:type="lines" w:linePitch="312" w:charSpace="0"/>
        </w:sectPr>
      </w:pPr>
    </w:p>
    <w:p>
      <w:pPr>
        <w:spacing w:before="240" w:after="240" w:line="360" w:lineRule="auto"/>
        <w:rPr>
          <w:rFonts w:ascii="Arial" w:hAnsi="Arial" w:cs="Arial"/>
          <w:color w:val="000000"/>
        </w:rPr>
      </w:pPr>
    </w:p>
    <w:p>
      <w:pPr>
        <w:spacing w:before="240" w:after="240" w:line="360" w:lineRule="auto"/>
        <w:ind w:firstLine="2625" w:firstLineChars="1250"/>
        <w:rPr>
          <w:rFonts w:ascii="Arial" w:hAnsi="Arial" w:cs="Arial"/>
          <w:color w:val="000000"/>
        </w:rPr>
      </w:pPr>
      <w:r>
        <w:rPr>
          <w:rFonts w:ascii="Arial" w:hAnsi="Arial" w:cs="Arial"/>
          <w:color w:val="000000"/>
        </w:rPr>
        <w:t xml:space="preserve"> </w:t>
      </w:r>
    </w:p>
    <w:tbl>
      <w:tblPr>
        <w:tblStyle w:val="8"/>
        <w:tblW w:w="12616" w:type="dxa"/>
        <w:tblInd w:w="0" w:type="dxa"/>
        <w:tblBorders>
          <w:top w:val="none" w:color="auto" w:sz="0" w:space="0"/>
          <w:left w:val="none" w:color="auto" w:sz="0" w:space="0"/>
          <w:bottom w:val="none" w:color="auto" w:sz="0" w:space="0"/>
          <w:right w:val="none" w:color="auto" w:sz="0" w:space="0"/>
          <w:insideH w:val="single" w:color="BEBEBE" w:sz="4" w:space="0"/>
          <w:insideV w:val="single" w:color="BEBEBE" w:sz="4" w:space="0"/>
        </w:tblBorders>
        <w:tblLayout w:type="autofit"/>
        <w:tblCellMar>
          <w:top w:w="0" w:type="dxa"/>
          <w:left w:w="108" w:type="dxa"/>
          <w:bottom w:w="0" w:type="dxa"/>
          <w:right w:w="108" w:type="dxa"/>
        </w:tblCellMar>
      </w:tblPr>
      <w:tblGrid>
        <w:gridCol w:w="5670"/>
        <w:gridCol w:w="2552"/>
        <w:gridCol w:w="2126"/>
        <w:gridCol w:w="2268"/>
      </w:tblGrid>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single" w:color="auto" w:sz="12" w:space="0"/>
              <w:left w:val="nil"/>
              <w:bottom w:val="single" w:color="auto" w:sz="8" w:space="0"/>
              <w:right w:val="nil"/>
            </w:tcBorders>
            <w:noWrap/>
          </w:tcPr>
          <w:p>
            <w:pPr>
              <w:widowControl/>
              <w:jc w:val="center"/>
              <w:rPr>
                <w:rFonts w:ascii="Arial" w:hAnsi="Arial" w:eastAsia="宋体" w:cs="Arial"/>
                <w:b/>
                <w:bCs/>
                <w:color w:val="000000"/>
                <w:kern w:val="0"/>
                <w:sz w:val="20"/>
              </w:rPr>
            </w:pPr>
            <w:r>
              <w:rPr>
                <w:rFonts w:ascii="Arial" w:hAnsi="Arial" w:eastAsia="宋体" w:cs="Arial"/>
                <w:b/>
                <w:bCs/>
                <w:color w:val="000000"/>
                <w:kern w:val="0"/>
                <w:sz w:val="20"/>
              </w:rPr>
              <w:t>Pathway</w:t>
            </w:r>
          </w:p>
        </w:tc>
        <w:tc>
          <w:tcPr>
            <w:tcW w:w="2552" w:type="dxa"/>
            <w:tcBorders>
              <w:top w:val="single" w:color="auto" w:sz="12" w:space="0"/>
              <w:left w:val="nil"/>
              <w:bottom w:val="single" w:color="auto" w:sz="8" w:space="0"/>
              <w:right w:val="nil"/>
            </w:tcBorders>
            <w:noWrap/>
          </w:tcPr>
          <w:p>
            <w:pPr>
              <w:widowControl/>
              <w:jc w:val="center"/>
              <w:rPr>
                <w:rFonts w:ascii="Arial" w:hAnsi="Arial" w:eastAsia="宋体" w:cs="Arial"/>
                <w:b/>
                <w:bCs/>
                <w:color w:val="000000"/>
                <w:kern w:val="0"/>
                <w:sz w:val="20"/>
              </w:rPr>
            </w:pPr>
            <w:r>
              <w:rPr>
                <w:rFonts w:ascii="Arial" w:hAnsi="Arial" w:eastAsia="宋体" w:cs="Arial"/>
                <w:b/>
                <w:bCs/>
                <w:color w:val="000000"/>
                <w:kern w:val="0"/>
                <w:sz w:val="20"/>
              </w:rPr>
              <w:t>Padj</w:t>
            </w:r>
          </w:p>
        </w:tc>
        <w:tc>
          <w:tcPr>
            <w:tcW w:w="2126" w:type="dxa"/>
            <w:tcBorders>
              <w:top w:val="single" w:color="auto" w:sz="12" w:space="0"/>
              <w:left w:val="nil"/>
              <w:bottom w:val="single" w:color="auto" w:sz="8" w:space="0"/>
              <w:right w:val="nil"/>
            </w:tcBorders>
            <w:noWrap/>
          </w:tcPr>
          <w:p>
            <w:pPr>
              <w:widowControl/>
              <w:jc w:val="center"/>
              <w:rPr>
                <w:rFonts w:ascii="Arial" w:hAnsi="Arial" w:eastAsia="宋体" w:cs="Arial"/>
                <w:b/>
                <w:bCs/>
                <w:color w:val="000000"/>
                <w:kern w:val="0"/>
                <w:sz w:val="20"/>
              </w:rPr>
            </w:pPr>
            <w:r>
              <w:rPr>
                <w:rFonts w:ascii="Arial" w:hAnsi="Arial" w:eastAsia="宋体" w:cs="Arial"/>
                <w:b/>
                <w:bCs/>
                <w:color w:val="000000"/>
                <w:kern w:val="0"/>
                <w:sz w:val="20"/>
              </w:rPr>
              <w:t>NES</w:t>
            </w:r>
          </w:p>
        </w:tc>
        <w:tc>
          <w:tcPr>
            <w:tcW w:w="2268" w:type="dxa"/>
            <w:tcBorders>
              <w:top w:val="single" w:color="auto" w:sz="12" w:space="0"/>
              <w:left w:val="nil"/>
              <w:bottom w:val="single" w:color="auto" w:sz="8" w:space="0"/>
              <w:right w:val="nil"/>
            </w:tcBorders>
            <w:noWrap/>
          </w:tcPr>
          <w:p>
            <w:pPr>
              <w:widowControl/>
              <w:jc w:val="center"/>
              <w:rPr>
                <w:rFonts w:ascii="Arial" w:hAnsi="Arial" w:eastAsia="宋体" w:cs="Arial"/>
                <w:b/>
                <w:bCs/>
                <w:color w:val="000000"/>
                <w:kern w:val="0"/>
                <w:sz w:val="20"/>
              </w:rPr>
            </w:pPr>
            <w:r>
              <w:rPr>
                <w:rFonts w:ascii="Arial" w:hAnsi="Arial" w:eastAsia="宋体" w:cs="Arial"/>
                <w:b/>
                <w:bCs/>
                <w:color w:val="000000"/>
                <w:kern w:val="0"/>
                <w:sz w:val="20"/>
              </w:rPr>
              <w:t>Size</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single" w:color="auto" w:sz="8" w:space="0"/>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Natural killer cell mediated cytotoxicity</w:t>
            </w:r>
          </w:p>
        </w:tc>
        <w:tc>
          <w:tcPr>
            <w:tcW w:w="2552" w:type="dxa"/>
            <w:tcBorders>
              <w:top w:val="single" w:color="auto" w:sz="8" w:space="0"/>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single" w:color="auto" w:sz="8" w:space="0"/>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2.101136753</w:t>
            </w:r>
          </w:p>
        </w:tc>
        <w:tc>
          <w:tcPr>
            <w:tcW w:w="2268" w:type="dxa"/>
            <w:tcBorders>
              <w:top w:val="single" w:color="auto" w:sz="8" w:space="0"/>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130</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Leishmania infections</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2.112326976</w:t>
            </w:r>
          </w:p>
        </w:tc>
        <w:tc>
          <w:tcPr>
            <w:tcW w:w="2268"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69</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Asthma</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2.147862606</w:t>
            </w:r>
          </w:p>
        </w:tc>
        <w:tc>
          <w:tcPr>
            <w:tcW w:w="2268"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28</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T cell receptor signaling pathway</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2.203600853</w:t>
            </w:r>
          </w:p>
        </w:tc>
        <w:tc>
          <w:tcPr>
            <w:tcW w:w="2268"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106</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Chemokine signaling pathway</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2.213683506</w:t>
            </w:r>
          </w:p>
        </w:tc>
        <w:tc>
          <w:tcPr>
            <w:tcW w:w="2268"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184</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Allograft rejection</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2.244700522</w:t>
            </w:r>
          </w:p>
        </w:tc>
        <w:tc>
          <w:tcPr>
            <w:tcW w:w="2268"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35</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Graft versus host disease</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2.25556481</w:t>
            </w:r>
          </w:p>
        </w:tc>
        <w:tc>
          <w:tcPr>
            <w:tcW w:w="2268"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37</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Primary immunodeficiency</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2.271887799</w:t>
            </w:r>
          </w:p>
        </w:tc>
        <w:tc>
          <w:tcPr>
            <w:tcW w:w="2268"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35</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Cytokine-cytokine receptor interaction</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2.28028487</w:t>
            </w:r>
          </w:p>
        </w:tc>
        <w:tc>
          <w:tcPr>
            <w:tcW w:w="2268"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257</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Intestinal immune network for IgA production</w:t>
            </w:r>
          </w:p>
        </w:tc>
        <w:tc>
          <w:tcPr>
            <w:tcW w:w="2552"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2.310500831</w:t>
            </w:r>
          </w:p>
        </w:tc>
        <w:tc>
          <w:tcPr>
            <w:tcW w:w="2268" w:type="dxa"/>
            <w:tcBorders>
              <w:top w:val="nil"/>
              <w:left w:val="nil"/>
              <w:bottom w:val="nil"/>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46</w:t>
            </w:r>
          </w:p>
        </w:tc>
      </w:tr>
      <w:tr>
        <w:tblPrEx>
          <w:tblBorders>
            <w:top w:val="none" w:color="auto" w:sz="0" w:space="0"/>
            <w:left w:val="none" w:color="auto" w:sz="0" w:space="0"/>
            <w:bottom w:val="none" w:color="auto" w:sz="0" w:space="0"/>
            <w:right w:val="none" w:color="auto" w:sz="0" w:space="0"/>
            <w:insideH w:val="single" w:color="BEBEBE" w:sz="4" w:space="0"/>
            <w:insideV w:val="single" w:color="BEBEBE" w:sz="4" w:space="0"/>
          </w:tblBorders>
          <w:tblCellMar>
            <w:top w:w="0" w:type="dxa"/>
            <w:left w:w="108" w:type="dxa"/>
            <w:bottom w:w="0" w:type="dxa"/>
            <w:right w:w="108" w:type="dxa"/>
          </w:tblCellMar>
        </w:tblPrEx>
        <w:trPr>
          <w:trHeight w:val="288" w:hRule="atLeast"/>
        </w:trPr>
        <w:tc>
          <w:tcPr>
            <w:tcW w:w="5670" w:type="dxa"/>
            <w:tcBorders>
              <w:top w:val="nil"/>
              <w:left w:val="nil"/>
              <w:bottom w:val="single" w:color="auto" w:sz="12" w:space="0"/>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Antigen processing and presentation</w:t>
            </w:r>
          </w:p>
        </w:tc>
        <w:tc>
          <w:tcPr>
            <w:tcW w:w="2552" w:type="dxa"/>
            <w:tcBorders>
              <w:top w:val="nil"/>
              <w:left w:val="nil"/>
              <w:bottom w:val="single" w:color="auto" w:sz="12" w:space="0"/>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&lt;0.05</w:t>
            </w:r>
          </w:p>
        </w:tc>
        <w:tc>
          <w:tcPr>
            <w:tcW w:w="2126" w:type="dxa"/>
            <w:tcBorders>
              <w:top w:val="nil"/>
              <w:left w:val="nil"/>
              <w:bottom w:val="single" w:color="auto" w:sz="12" w:space="0"/>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2.363167045</w:t>
            </w:r>
          </w:p>
        </w:tc>
        <w:tc>
          <w:tcPr>
            <w:tcW w:w="2268" w:type="dxa"/>
            <w:tcBorders>
              <w:top w:val="nil"/>
              <w:left w:val="nil"/>
              <w:bottom w:val="single" w:color="auto" w:sz="12" w:space="0"/>
              <w:right w:val="nil"/>
            </w:tcBorders>
            <w:noWrap/>
          </w:tcPr>
          <w:p>
            <w:pPr>
              <w:widowControl/>
              <w:jc w:val="center"/>
              <w:rPr>
                <w:rFonts w:ascii="Arial" w:hAnsi="Arial" w:eastAsia="宋体" w:cs="Arial"/>
                <w:color w:val="000000"/>
                <w:kern w:val="0"/>
                <w:sz w:val="20"/>
              </w:rPr>
            </w:pPr>
            <w:r>
              <w:rPr>
                <w:rFonts w:ascii="Arial" w:hAnsi="Arial" w:eastAsia="宋体" w:cs="Arial"/>
                <w:color w:val="000000"/>
                <w:kern w:val="0"/>
                <w:sz w:val="20"/>
              </w:rPr>
              <w:t>79</w:t>
            </w:r>
          </w:p>
        </w:tc>
      </w:tr>
    </w:tbl>
    <w:p>
      <w:pPr>
        <w:spacing w:before="240" w:after="240" w:line="360" w:lineRule="auto"/>
        <w:rPr>
          <w:rFonts w:ascii="Arial" w:hAnsi="Arial" w:cs="Arial"/>
          <w:color w:val="000000"/>
        </w:rPr>
      </w:pPr>
      <w:r>
        <w:rPr>
          <w:rFonts w:ascii="Arial" w:hAnsi="Arial" w:cs="Arial"/>
          <w:b/>
          <w:bCs/>
          <w:color w:val="000000"/>
          <w:kern w:val="0"/>
        </w:rPr>
        <w:t xml:space="preserve">Supplement Table </w:t>
      </w:r>
      <w:r>
        <w:rPr>
          <w:rFonts w:ascii="Arial" w:hAnsi="Arial" w:cs="Arial"/>
          <w:b/>
          <w:bCs/>
          <w:color w:val="000000"/>
        </w:rPr>
        <w:t>2.</w:t>
      </w:r>
      <w:r>
        <w:rPr>
          <w:rFonts w:ascii="Arial" w:hAnsi="Arial" w:cs="Arial"/>
          <w:color w:val="000000"/>
        </w:rPr>
        <w:t xml:space="preserve"> The enriched pathways in immune subtype2. NES: normalized enrichment score. Padj: </w:t>
      </w:r>
      <w:r>
        <w:rPr>
          <w:rFonts w:ascii="Arial" w:hAnsi="Arial" w:cs="Arial"/>
        </w:rPr>
        <w:t>adjusted P-values [the false discovery rate (FDR)]</w:t>
      </w:r>
      <w:r>
        <w:rPr>
          <w:rFonts w:ascii="Arial" w:hAnsi="Arial" w:cs="Arial"/>
          <w:color w:val="000000"/>
        </w:rPr>
        <w:t>. A positive NES means that genes over-represented in the gene set are upregulated in immune subtype2.</w:t>
      </w:r>
    </w:p>
    <w:p>
      <w:pPr>
        <w:spacing w:before="240" w:after="240" w:line="360" w:lineRule="auto"/>
        <w:rPr>
          <w:rFonts w:ascii="Arial" w:hAnsi="Arial" w:cs="Arial"/>
          <w:color w:val="000000"/>
        </w:rPr>
      </w:pPr>
      <w:r>
        <w:rPr>
          <w:rFonts w:ascii="Arial" w:hAnsi="Arial" w:cs="Arial"/>
          <w:color w:val="000000"/>
        </w:rPr>
        <w:t xml:space="preserve"> </w:t>
      </w:r>
    </w:p>
    <w:p>
      <w:pPr>
        <w:widowControl/>
        <w:jc w:val="left"/>
        <w:rPr>
          <w:rFonts w:ascii="Arial" w:hAnsi="Arial" w:cs="Arial"/>
          <w:b/>
          <w:bCs/>
          <w:color w:val="000000"/>
          <w:kern w:val="0"/>
        </w:rPr>
        <w:sectPr>
          <w:pgSz w:w="16838" w:h="11906" w:orient="landscape"/>
          <w:pgMar w:top="1800" w:right="1440" w:bottom="1800" w:left="1440" w:header="720" w:footer="720" w:gutter="0"/>
          <w:cols w:space="720" w:num="1"/>
          <w:docGrid w:type="lines" w:linePitch="312" w:charSpace="0"/>
        </w:sectPr>
      </w:pPr>
    </w:p>
    <w:p>
      <w:pPr>
        <w:spacing w:line="360" w:lineRule="auto"/>
        <w:rPr>
          <w:rFonts w:ascii="Arial" w:hAnsi="Arial" w:cs="Arial"/>
          <w:color w:val="000000"/>
        </w:rPr>
      </w:pPr>
    </w:p>
    <w:tbl>
      <w:tblPr>
        <w:tblStyle w:val="5"/>
        <w:tblW w:w="8340" w:type="dxa"/>
        <w:tblInd w:w="2815" w:type="dxa"/>
        <w:tblLayout w:type="fixed"/>
        <w:tblCellMar>
          <w:top w:w="0" w:type="dxa"/>
          <w:left w:w="108" w:type="dxa"/>
          <w:bottom w:w="0" w:type="dxa"/>
          <w:right w:w="108" w:type="dxa"/>
        </w:tblCellMar>
      </w:tblPr>
      <w:tblGrid>
        <w:gridCol w:w="2855"/>
        <w:gridCol w:w="3128"/>
        <w:gridCol w:w="2357"/>
      </w:tblGrid>
      <w:tr>
        <w:tblPrEx>
          <w:tblCellMar>
            <w:top w:w="0" w:type="dxa"/>
            <w:left w:w="108" w:type="dxa"/>
            <w:bottom w:w="0" w:type="dxa"/>
            <w:right w:w="108" w:type="dxa"/>
          </w:tblCellMar>
        </w:tblPrEx>
        <w:tc>
          <w:tcPr>
            <w:tcW w:w="2855" w:type="dxa"/>
            <w:tcBorders>
              <w:top w:val="single" w:color="auto" w:sz="12" w:space="0"/>
              <w:left w:val="nil"/>
              <w:bottom w:val="single" w:color="auto" w:sz="6" w:space="0"/>
              <w:right w:val="nil"/>
            </w:tcBorders>
          </w:tcPr>
          <w:p>
            <w:pPr>
              <w:jc w:val="center"/>
              <w:rPr>
                <w:rFonts w:ascii="Arial" w:hAnsi="Arial" w:cs="Arial"/>
              </w:rPr>
            </w:pPr>
            <w:r>
              <w:rPr>
                <w:rFonts w:ascii="Arial" w:hAnsi="Arial" w:cs="Arial"/>
              </w:rPr>
              <w:t>Characteristics</w:t>
            </w:r>
          </w:p>
        </w:tc>
        <w:tc>
          <w:tcPr>
            <w:tcW w:w="3128" w:type="dxa"/>
            <w:tcBorders>
              <w:top w:val="single" w:color="auto" w:sz="12" w:space="0"/>
              <w:left w:val="nil"/>
              <w:bottom w:val="single" w:color="auto" w:sz="6" w:space="0"/>
              <w:right w:val="nil"/>
            </w:tcBorders>
          </w:tcPr>
          <w:p>
            <w:pPr>
              <w:jc w:val="center"/>
              <w:rPr>
                <w:rFonts w:ascii="Arial" w:hAnsi="Arial" w:cs="Arial"/>
              </w:rPr>
            </w:pPr>
            <w:r>
              <w:rPr>
                <w:rFonts w:ascii="Arial" w:hAnsi="Arial" w:cs="Arial"/>
              </w:rPr>
              <w:t>Type</w:t>
            </w:r>
          </w:p>
        </w:tc>
        <w:tc>
          <w:tcPr>
            <w:tcW w:w="2357" w:type="dxa"/>
            <w:tcBorders>
              <w:top w:val="single" w:color="auto" w:sz="12" w:space="0"/>
              <w:left w:val="nil"/>
              <w:bottom w:val="single" w:color="auto" w:sz="6" w:space="0"/>
              <w:right w:val="nil"/>
            </w:tcBorders>
          </w:tcPr>
          <w:p>
            <w:pPr>
              <w:jc w:val="center"/>
              <w:rPr>
                <w:rFonts w:ascii="Arial" w:hAnsi="Arial" w:cs="Arial"/>
              </w:rPr>
            </w:pPr>
            <w:r>
              <w:rPr>
                <w:rFonts w:ascii="Arial" w:hAnsi="Arial" w:cs="Arial"/>
              </w:rPr>
              <w:t>Sample (Rate)</w:t>
            </w:r>
          </w:p>
        </w:tc>
      </w:tr>
      <w:tr>
        <w:tblPrEx>
          <w:tblCellMar>
            <w:top w:w="0" w:type="dxa"/>
            <w:left w:w="108" w:type="dxa"/>
            <w:bottom w:w="0" w:type="dxa"/>
            <w:right w:w="108" w:type="dxa"/>
          </w:tblCellMar>
        </w:tblPrEx>
        <w:tc>
          <w:tcPr>
            <w:tcW w:w="2855" w:type="dxa"/>
            <w:tcBorders>
              <w:top w:val="single" w:color="auto" w:sz="6" w:space="0"/>
              <w:left w:val="nil"/>
              <w:bottom w:val="nil"/>
              <w:right w:val="nil"/>
            </w:tcBorders>
          </w:tcPr>
          <w:p>
            <w:pPr>
              <w:jc w:val="center"/>
              <w:rPr>
                <w:rFonts w:ascii="Arial" w:hAnsi="Arial" w:eastAsia="宋体" w:cs="Arial"/>
                <w:color w:val="000000"/>
              </w:rPr>
            </w:pPr>
            <w:r>
              <w:rPr>
                <w:rFonts w:ascii="Arial" w:hAnsi="Arial" w:eastAsia="宋体" w:cs="Arial"/>
                <w:color w:val="000000"/>
              </w:rPr>
              <w:t>Immunotherapy outcome</w:t>
            </w:r>
          </w:p>
          <w:p>
            <w:pPr>
              <w:jc w:val="center"/>
              <w:rPr>
                <w:rFonts w:ascii="Arial" w:hAnsi="Arial" w:cs="Arial"/>
              </w:rPr>
            </w:pPr>
          </w:p>
        </w:tc>
        <w:tc>
          <w:tcPr>
            <w:tcW w:w="3128" w:type="dxa"/>
            <w:tcBorders>
              <w:top w:val="single" w:color="auto" w:sz="6" w:space="0"/>
              <w:left w:val="nil"/>
              <w:bottom w:val="nil"/>
              <w:right w:val="nil"/>
            </w:tcBorders>
          </w:tcPr>
          <w:p>
            <w:pPr>
              <w:jc w:val="center"/>
              <w:rPr>
                <w:rFonts w:ascii="Arial" w:hAnsi="Arial" w:cs="Arial"/>
              </w:rPr>
            </w:pPr>
          </w:p>
          <w:p>
            <w:pPr>
              <w:jc w:val="center"/>
              <w:rPr>
                <w:rFonts w:ascii="Arial" w:hAnsi="Arial" w:cs="Arial"/>
              </w:rPr>
            </w:pPr>
            <w:r>
              <w:rPr>
                <w:rFonts w:ascii="Arial" w:hAnsi="Arial" w:cs="Arial"/>
              </w:rPr>
              <w:t>CR/PR</w:t>
            </w:r>
          </w:p>
          <w:p>
            <w:pPr>
              <w:jc w:val="center"/>
              <w:rPr>
                <w:rFonts w:ascii="Arial" w:hAnsi="Arial" w:cs="Arial"/>
              </w:rPr>
            </w:pPr>
            <w:r>
              <w:rPr>
                <w:rFonts w:ascii="Arial" w:hAnsi="Arial" w:cs="Arial"/>
              </w:rPr>
              <w:t>SD/PD</w:t>
            </w:r>
          </w:p>
          <w:p>
            <w:pPr>
              <w:jc w:val="center"/>
              <w:rPr>
                <w:rFonts w:ascii="Arial" w:hAnsi="Arial" w:cs="Arial"/>
              </w:rPr>
            </w:pPr>
            <w:r>
              <w:rPr>
                <w:rFonts w:ascii="Arial" w:hAnsi="Arial" w:cs="Arial"/>
              </w:rPr>
              <w:t>NA</w:t>
            </w:r>
          </w:p>
        </w:tc>
        <w:tc>
          <w:tcPr>
            <w:tcW w:w="2357" w:type="dxa"/>
            <w:tcBorders>
              <w:top w:val="single" w:color="auto" w:sz="6" w:space="0"/>
              <w:left w:val="nil"/>
              <w:bottom w:val="nil"/>
              <w:right w:val="nil"/>
            </w:tcBorders>
          </w:tcPr>
          <w:p>
            <w:pPr>
              <w:jc w:val="center"/>
              <w:rPr>
                <w:rFonts w:ascii="Arial" w:hAnsi="Arial" w:cs="Arial"/>
              </w:rPr>
            </w:pPr>
          </w:p>
          <w:p>
            <w:pPr>
              <w:jc w:val="center"/>
              <w:rPr>
                <w:rFonts w:ascii="Arial" w:hAnsi="Arial" w:cs="Arial"/>
              </w:rPr>
            </w:pPr>
            <w:r>
              <w:rPr>
                <w:rFonts w:ascii="Arial" w:hAnsi="Arial" w:cs="Arial"/>
              </w:rPr>
              <w:t>68(19%)</w:t>
            </w:r>
          </w:p>
          <w:p>
            <w:pPr>
              <w:jc w:val="center"/>
              <w:rPr>
                <w:rFonts w:ascii="Arial" w:hAnsi="Arial" w:cs="Arial"/>
              </w:rPr>
            </w:pPr>
            <w:r>
              <w:rPr>
                <w:rFonts w:ascii="Arial" w:hAnsi="Arial" w:cs="Arial"/>
              </w:rPr>
              <w:t>230(66%)</w:t>
            </w:r>
          </w:p>
          <w:p>
            <w:pPr>
              <w:jc w:val="center"/>
              <w:rPr>
                <w:rFonts w:ascii="Arial" w:hAnsi="Arial" w:cs="Arial"/>
              </w:rPr>
            </w:pPr>
            <w:r>
              <w:rPr>
                <w:rFonts w:ascii="Arial" w:hAnsi="Arial" w:cs="Arial"/>
              </w:rPr>
              <w:t>50(15%)</w:t>
            </w:r>
          </w:p>
        </w:tc>
      </w:tr>
      <w:tr>
        <w:tblPrEx>
          <w:tblCellMar>
            <w:top w:w="0" w:type="dxa"/>
            <w:left w:w="108" w:type="dxa"/>
            <w:bottom w:w="0" w:type="dxa"/>
            <w:right w:w="108" w:type="dxa"/>
          </w:tblCellMar>
        </w:tblPrEx>
        <w:tc>
          <w:tcPr>
            <w:tcW w:w="2855" w:type="dxa"/>
            <w:tcBorders>
              <w:top w:val="nil"/>
              <w:left w:val="nil"/>
              <w:bottom w:val="nil"/>
              <w:right w:val="nil"/>
            </w:tcBorders>
          </w:tcPr>
          <w:p>
            <w:pPr>
              <w:jc w:val="center"/>
              <w:rPr>
                <w:rFonts w:ascii="Arial" w:hAnsi="Arial" w:cs="Arial"/>
              </w:rPr>
            </w:pPr>
            <w:r>
              <w:rPr>
                <w:rFonts w:ascii="Arial" w:hAnsi="Arial" w:cs="Arial"/>
              </w:rPr>
              <w:t>Gender</w:t>
            </w:r>
          </w:p>
        </w:tc>
        <w:tc>
          <w:tcPr>
            <w:tcW w:w="3128" w:type="dxa"/>
            <w:tcBorders>
              <w:top w:val="nil"/>
              <w:left w:val="nil"/>
              <w:bottom w:val="nil"/>
              <w:right w:val="nil"/>
            </w:tcBorders>
          </w:tcPr>
          <w:p>
            <w:pPr>
              <w:jc w:val="center"/>
              <w:rPr>
                <w:rFonts w:ascii="Arial" w:hAnsi="Arial" w:cs="Arial"/>
              </w:rPr>
            </w:pPr>
          </w:p>
          <w:p>
            <w:pPr>
              <w:jc w:val="center"/>
              <w:rPr>
                <w:rFonts w:ascii="Arial" w:hAnsi="Arial" w:cs="Arial"/>
              </w:rPr>
            </w:pPr>
            <w:r>
              <w:rPr>
                <w:rFonts w:ascii="Arial" w:hAnsi="Arial" w:cs="Arial"/>
              </w:rPr>
              <w:t>Male</w:t>
            </w:r>
          </w:p>
          <w:p>
            <w:pPr>
              <w:jc w:val="center"/>
              <w:rPr>
                <w:rFonts w:ascii="Arial" w:hAnsi="Arial" w:cs="Arial"/>
              </w:rPr>
            </w:pPr>
            <w:r>
              <w:rPr>
                <w:rFonts w:ascii="Arial" w:hAnsi="Arial" w:cs="Arial"/>
              </w:rPr>
              <w:t>Female</w:t>
            </w:r>
          </w:p>
        </w:tc>
        <w:tc>
          <w:tcPr>
            <w:tcW w:w="2357" w:type="dxa"/>
            <w:tcBorders>
              <w:top w:val="nil"/>
              <w:left w:val="nil"/>
              <w:bottom w:val="nil"/>
              <w:right w:val="nil"/>
            </w:tcBorders>
          </w:tcPr>
          <w:p>
            <w:pPr>
              <w:jc w:val="center"/>
              <w:rPr>
                <w:rFonts w:ascii="Arial" w:hAnsi="Arial" w:cs="Arial"/>
              </w:rPr>
            </w:pPr>
          </w:p>
          <w:p>
            <w:pPr>
              <w:ind w:left="315" w:hanging="315" w:hangingChars="150"/>
              <w:jc w:val="center"/>
              <w:rPr>
                <w:rFonts w:ascii="Arial" w:hAnsi="Arial" w:cs="Arial"/>
              </w:rPr>
            </w:pPr>
            <w:r>
              <w:rPr>
                <w:rFonts w:ascii="Arial" w:hAnsi="Arial" w:cs="Arial"/>
              </w:rPr>
              <w:t>272(78%)</w:t>
            </w:r>
          </w:p>
          <w:p>
            <w:pPr>
              <w:ind w:left="315" w:hanging="315" w:hangingChars="150"/>
              <w:jc w:val="center"/>
              <w:rPr>
                <w:rFonts w:ascii="Arial" w:hAnsi="Arial" w:cs="Arial"/>
              </w:rPr>
            </w:pPr>
            <w:r>
              <w:rPr>
                <w:rFonts w:ascii="Arial" w:hAnsi="Arial" w:cs="Arial"/>
              </w:rPr>
              <w:t>76(22%)</w:t>
            </w:r>
          </w:p>
        </w:tc>
      </w:tr>
      <w:tr>
        <w:tblPrEx>
          <w:tblCellMar>
            <w:top w:w="0" w:type="dxa"/>
            <w:left w:w="108" w:type="dxa"/>
            <w:bottom w:w="0" w:type="dxa"/>
            <w:right w:w="108" w:type="dxa"/>
          </w:tblCellMar>
        </w:tblPrEx>
        <w:tc>
          <w:tcPr>
            <w:tcW w:w="2855" w:type="dxa"/>
            <w:tcBorders>
              <w:top w:val="nil"/>
              <w:left w:val="nil"/>
              <w:bottom w:val="nil"/>
              <w:right w:val="nil"/>
            </w:tcBorders>
          </w:tcPr>
          <w:p>
            <w:pPr>
              <w:jc w:val="center"/>
              <w:rPr>
                <w:rFonts w:ascii="Arial" w:hAnsi="Arial" w:cs="Arial"/>
              </w:rPr>
            </w:pPr>
            <w:r>
              <w:rPr>
                <w:rFonts w:ascii="Arial" w:hAnsi="Arial" w:cs="Arial"/>
              </w:rPr>
              <w:t>Tobacco history</w:t>
            </w:r>
          </w:p>
          <w:p>
            <w:pPr>
              <w:jc w:val="center"/>
              <w:rPr>
                <w:rFonts w:ascii="Arial" w:hAnsi="Arial" w:cs="Arial"/>
              </w:rPr>
            </w:pPr>
          </w:p>
          <w:p>
            <w:pPr>
              <w:jc w:val="center"/>
              <w:rPr>
                <w:rFonts w:ascii="Arial" w:hAnsi="Arial" w:cs="Arial"/>
              </w:rPr>
            </w:pPr>
          </w:p>
        </w:tc>
        <w:tc>
          <w:tcPr>
            <w:tcW w:w="3128" w:type="dxa"/>
            <w:tcBorders>
              <w:top w:val="nil"/>
              <w:left w:val="nil"/>
              <w:bottom w:val="nil"/>
              <w:right w:val="nil"/>
            </w:tcBorders>
          </w:tcPr>
          <w:p>
            <w:pPr>
              <w:jc w:val="center"/>
              <w:rPr>
                <w:rFonts w:ascii="Arial" w:hAnsi="Arial" w:cs="Arial"/>
              </w:rPr>
            </w:pPr>
          </w:p>
          <w:p>
            <w:pPr>
              <w:jc w:val="center"/>
              <w:rPr>
                <w:rFonts w:ascii="Arial" w:hAnsi="Arial" w:cs="Arial"/>
              </w:rPr>
            </w:pPr>
            <w:r>
              <w:rPr>
                <w:rFonts w:ascii="Arial" w:hAnsi="Arial" w:cs="Arial"/>
              </w:rPr>
              <w:t>Previous</w:t>
            </w:r>
          </w:p>
          <w:p>
            <w:pPr>
              <w:jc w:val="center"/>
              <w:rPr>
                <w:rFonts w:ascii="Arial" w:hAnsi="Arial" w:cs="Arial"/>
              </w:rPr>
            </w:pPr>
            <w:r>
              <w:rPr>
                <w:rFonts w:ascii="Arial" w:hAnsi="Arial" w:cs="Arial"/>
              </w:rPr>
              <w:t>Never</w:t>
            </w:r>
          </w:p>
          <w:p>
            <w:pPr>
              <w:jc w:val="center"/>
              <w:rPr>
                <w:rFonts w:ascii="Arial" w:hAnsi="Arial" w:cs="Arial"/>
              </w:rPr>
            </w:pPr>
            <w:r>
              <w:rPr>
                <w:rFonts w:ascii="Arial" w:hAnsi="Arial" w:cs="Arial"/>
              </w:rPr>
              <w:t>Current</w:t>
            </w:r>
          </w:p>
        </w:tc>
        <w:tc>
          <w:tcPr>
            <w:tcW w:w="2357" w:type="dxa"/>
            <w:tcBorders>
              <w:top w:val="nil"/>
              <w:left w:val="nil"/>
              <w:bottom w:val="nil"/>
              <w:right w:val="nil"/>
            </w:tcBorders>
          </w:tcPr>
          <w:p>
            <w:pPr>
              <w:jc w:val="center"/>
              <w:rPr>
                <w:rFonts w:ascii="Arial" w:hAnsi="Arial" w:cs="Arial"/>
              </w:rPr>
            </w:pPr>
          </w:p>
          <w:p>
            <w:pPr>
              <w:ind w:left="105" w:hanging="105" w:hangingChars="50"/>
              <w:jc w:val="center"/>
              <w:rPr>
                <w:rFonts w:ascii="Arial" w:hAnsi="Arial" w:cs="Arial"/>
              </w:rPr>
            </w:pPr>
            <w:r>
              <w:rPr>
                <w:rFonts w:ascii="Arial" w:hAnsi="Arial" w:cs="Arial"/>
              </w:rPr>
              <w:t>197(57%)                       116(33%)</w:t>
            </w:r>
          </w:p>
          <w:p>
            <w:pPr>
              <w:ind w:left="315" w:hanging="315" w:hangingChars="150"/>
              <w:jc w:val="center"/>
              <w:rPr>
                <w:rFonts w:ascii="Arial" w:hAnsi="Arial" w:cs="Arial"/>
              </w:rPr>
            </w:pPr>
            <w:r>
              <w:rPr>
                <w:rFonts w:ascii="Arial" w:hAnsi="Arial" w:cs="Arial"/>
              </w:rPr>
              <w:t>35(10%)</w:t>
            </w:r>
          </w:p>
        </w:tc>
      </w:tr>
      <w:tr>
        <w:tblPrEx>
          <w:tblCellMar>
            <w:top w:w="0" w:type="dxa"/>
            <w:left w:w="108" w:type="dxa"/>
            <w:bottom w:w="0" w:type="dxa"/>
            <w:right w:w="108" w:type="dxa"/>
          </w:tblCellMar>
        </w:tblPrEx>
        <w:tc>
          <w:tcPr>
            <w:tcW w:w="2855" w:type="dxa"/>
            <w:tcBorders>
              <w:top w:val="nil"/>
              <w:left w:val="nil"/>
              <w:bottom w:val="nil"/>
              <w:right w:val="nil"/>
            </w:tcBorders>
          </w:tcPr>
          <w:p>
            <w:pPr>
              <w:jc w:val="center"/>
              <w:rPr>
                <w:rFonts w:ascii="Arial" w:hAnsi="Arial" w:cs="Arial"/>
              </w:rPr>
            </w:pPr>
            <w:r>
              <w:rPr>
                <w:rFonts w:ascii="Arial" w:hAnsi="Arial" w:cs="Arial"/>
              </w:rPr>
              <w:t>Received Platinum</w:t>
            </w:r>
          </w:p>
        </w:tc>
        <w:tc>
          <w:tcPr>
            <w:tcW w:w="3128" w:type="dxa"/>
            <w:tcBorders>
              <w:top w:val="nil"/>
              <w:left w:val="nil"/>
              <w:bottom w:val="nil"/>
              <w:right w:val="nil"/>
            </w:tcBorders>
          </w:tcPr>
          <w:p>
            <w:pPr>
              <w:jc w:val="center"/>
              <w:rPr>
                <w:rFonts w:ascii="Arial" w:hAnsi="Arial" w:cs="Arial"/>
              </w:rPr>
            </w:pPr>
          </w:p>
          <w:p>
            <w:pPr>
              <w:jc w:val="center"/>
              <w:rPr>
                <w:rFonts w:ascii="Arial" w:hAnsi="Arial" w:cs="Arial"/>
              </w:rPr>
            </w:pPr>
            <w:r>
              <w:rPr>
                <w:rFonts w:ascii="Arial" w:hAnsi="Arial" w:cs="Arial"/>
              </w:rPr>
              <w:t xml:space="preserve">Yes </w:t>
            </w:r>
          </w:p>
          <w:p>
            <w:pPr>
              <w:jc w:val="center"/>
              <w:rPr>
                <w:rFonts w:ascii="Arial" w:hAnsi="Arial" w:cs="Arial"/>
              </w:rPr>
            </w:pPr>
            <w:r>
              <w:rPr>
                <w:rFonts w:ascii="Arial" w:hAnsi="Arial" w:cs="Arial"/>
              </w:rPr>
              <w:t>No</w:t>
            </w:r>
          </w:p>
        </w:tc>
        <w:tc>
          <w:tcPr>
            <w:tcW w:w="2357" w:type="dxa"/>
            <w:tcBorders>
              <w:top w:val="nil"/>
              <w:left w:val="nil"/>
              <w:bottom w:val="nil"/>
              <w:right w:val="nil"/>
            </w:tcBorders>
          </w:tcPr>
          <w:p>
            <w:pPr>
              <w:jc w:val="center"/>
              <w:rPr>
                <w:rFonts w:ascii="Arial" w:hAnsi="Arial" w:cs="Arial"/>
              </w:rPr>
            </w:pPr>
          </w:p>
          <w:p>
            <w:pPr>
              <w:ind w:left="210" w:hanging="210" w:hangingChars="100"/>
              <w:jc w:val="center"/>
              <w:rPr>
                <w:rFonts w:ascii="Arial" w:hAnsi="Arial" w:cs="Arial"/>
              </w:rPr>
            </w:pPr>
            <w:r>
              <w:rPr>
                <w:rFonts w:ascii="Arial" w:hAnsi="Arial" w:cs="Arial"/>
              </w:rPr>
              <w:t>272(78%)                       76(22%)</w:t>
            </w:r>
          </w:p>
        </w:tc>
      </w:tr>
      <w:tr>
        <w:tblPrEx>
          <w:tblCellMar>
            <w:top w:w="0" w:type="dxa"/>
            <w:left w:w="108" w:type="dxa"/>
            <w:bottom w:w="0" w:type="dxa"/>
            <w:right w:w="108" w:type="dxa"/>
          </w:tblCellMar>
        </w:tblPrEx>
        <w:tc>
          <w:tcPr>
            <w:tcW w:w="2855" w:type="dxa"/>
            <w:tcBorders>
              <w:top w:val="nil"/>
              <w:left w:val="nil"/>
              <w:bottom w:val="single" w:color="auto" w:sz="12" w:space="0"/>
              <w:right w:val="nil"/>
            </w:tcBorders>
          </w:tcPr>
          <w:p>
            <w:pPr>
              <w:jc w:val="center"/>
              <w:rPr>
                <w:rFonts w:ascii="Arial" w:hAnsi="Arial" w:cs="Arial"/>
              </w:rPr>
            </w:pPr>
            <w:r>
              <w:rPr>
                <w:rFonts w:ascii="Arial" w:hAnsi="Arial" w:cs="Arial"/>
              </w:rPr>
              <w:t>Immunotype</w:t>
            </w:r>
          </w:p>
        </w:tc>
        <w:tc>
          <w:tcPr>
            <w:tcW w:w="3128" w:type="dxa"/>
            <w:tcBorders>
              <w:top w:val="nil"/>
              <w:left w:val="nil"/>
              <w:bottom w:val="single" w:color="auto" w:sz="12" w:space="0"/>
              <w:right w:val="nil"/>
            </w:tcBorders>
          </w:tcPr>
          <w:p>
            <w:pPr>
              <w:jc w:val="center"/>
              <w:rPr>
                <w:rFonts w:ascii="Arial" w:hAnsi="Arial" w:cs="Arial"/>
              </w:rPr>
            </w:pPr>
          </w:p>
          <w:p>
            <w:pPr>
              <w:jc w:val="center"/>
              <w:rPr>
                <w:rFonts w:ascii="Arial" w:hAnsi="Arial" w:cs="Arial"/>
              </w:rPr>
            </w:pPr>
            <w:r>
              <w:rPr>
                <w:rFonts w:ascii="Arial" w:hAnsi="Arial" w:cs="Arial"/>
              </w:rPr>
              <w:t>CTL+</w:t>
            </w:r>
          </w:p>
          <w:p>
            <w:pPr>
              <w:jc w:val="center"/>
              <w:rPr>
                <w:rFonts w:ascii="Arial" w:hAnsi="Arial" w:cs="Arial"/>
              </w:rPr>
            </w:pPr>
            <w:r>
              <w:rPr>
                <w:rFonts w:ascii="Arial" w:hAnsi="Arial" w:cs="Arial"/>
              </w:rPr>
              <w:t>Treg+</w:t>
            </w:r>
          </w:p>
          <w:p>
            <w:pPr>
              <w:jc w:val="center"/>
              <w:rPr>
                <w:rFonts w:ascii="Arial" w:hAnsi="Arial" w:cs="Arial"/>
              </w:rPr>
            </w:pPr>
            <w:r>
              <w:rPr>
                <w:rFonts w:ascii="Arial" w:hAnsi="Arial" w:cs="Arial"/>
              </w:rPr>
              <w:t>Non-infiltrating</w:t>
            </w:r>
          </w:p>
        </w:tc>
        <w:tc>
          <w:tcPr>
            <w:tcW w:w="2357" w:type="dxa"/>
            <w:tcBorders>
              <w:top w:val="nil"/>
              <w:left w:val="nil"/>
              <w:bottom w:val="single" w:color="auto" w:sz="12" w:space="0"/>
              <w:right w:val="nil"/>
            </w:tcBorders>
          </w:tcPr>
          <w:p>
            <w:pPr>
              <w:ind w:left="210" w:hanging="210" w:hangingChars="100"/>
              <w:jc w:val="center"/>
              <w:rPr>
                <w:rFonts w:ascii="Arial" w:hAnsi="Arial" w:cs="Arial"/>
              </w:rPr>
            </w:pPr>
          </w:p>
          <w:p>
            <w:pPr>
              <w:ind w:left="210" w:hanging="210" w:hangingChars="100"/>
              <w:jc w:val="center"/>
              <w:rPr>
                <w:rFonts w:ascii="Arial" w:hAnsi="Arial" w:cs="Arial"/>
              </w:rPr>
            </w:pPr>
            <w:r>
              <w:rPr>
                <w:rFonts w:ascii="Arial" w:hAnsi="Arial" w:cs="Arial"/>
              </w:rPr>
              <w:t>116(33%)</w:t>
            </w:r>
          </w:p>
          <w:p>
            <w:pPr>
              <w:ind w:left="210" w:hanging="210" w:hangingChars="100"/>
              <w:jc w:val="center"/>
              <w:rPr>
                <w:rFonts w:ascii="Arial" w:hAnsi="Arial" w:cs="Arial"/>
              </w:rPr>
            </w:pPr>
            <w:r>
              <w:rPr>
                <w:rFonts w:ascii="Arial" w:hAnsi="Arial" w:cs="Arial"/>
              </w:rPr>
              <w:t>116(33%)            116(33%)</w:t>
            </w:r>
          </w:p>
        </w:tc>
      </w:tr>
    </w:tbl>
    <w:p>
      <w:pPr>
        <w:spacing w:line="360" w:lineRule="auto"/>
        <w:rPr>
          <w:rFonts w:ascii="Arial" w:hAnsi="Arial" w:cs="Arial"/>
          <w:color w:val="000000"/>
        </w:rPr>
      </w:pPr>
    </w:p>
    <w:p>
      <w:pPr>
        <w:spacing w:line="360" w:lineRule="auto"/>
        <w:rPr>
          <w:rFonts w:ascii="Arial" w:hAnsi="Arial" w:cs="Arial"/>
          <w:color w:val="000000"/>
        </w:rPr>
        <w:sectPr>
          <w:pgSz w:w="16838" w:h="11906" w:orient="landscape"/>
          <w:pgMar w:top="1800" w:right="1440" w:bottom="1800" w:left="1440" w:header="720" w:footer="720" w:gutter="0"/>
          <w:cols w:space="720" w:num="1"/>
          <w:docGrid w:type="lines" w:linePitch="312" w:charSpace="0"/>
        </w:sectPr>
      </w:pPr>
      <w:r>
        <w:rPr>
          <w:rFonts w:ascii="Arial" w:hAnsi="Arial" w:cs="Arial"/>
          <w:color w:val="000000"/>
        </w:rPr>
        <w:t xml:space="preserve"> </w:t>
      </w:r>
      <w:r>
        <w:rPr>
          <w:rFonts w:ascii="Arial" w:hAnsi="Arial" w:cs="Arial"/>
          <w:b/>
          <w:bCs/>
          <w:color w:val="000000"/>
          <w:kern w:val="0"/>
        </w:rPr>
        <w:t xml:space="preserve">Supplement Table 3. </w:t>
      </w:r>
      <w:r>
        <w:rPr>
          <w:rFonts w:ascii="Arial" w:hAnsi="Arial" w:cs="Arial"/>
          <w:color w:val="000000"/>
        </w:rPr>
        <w:t xml:space="preserve">Baseline characteristics of patients in the IMvigor210 cohort. </w:t>
      </w:r>
      <w:r>
        <w:rPr>
          <w:rFonts w:ascii="Arial" w:hAnsi="Arial" w:cs="Arial"/>
        </w:rPr>
        <w:t>Note: CR = complete remission; PR = partial remission; SD = Stable Disease; PD = Progressive Disease; NA = Data is not available.</w:t>
      </w:r>
      <w:r>
        <w:rPr>
          <w:rFonts w:ascii="Arial" w:hAnsi="Arial" w:cs="Arial"/>
          <w:color w:val="000000"/>
        </w:rPr>
        <w:t xml:space="preserve"> </w:t>
      </w:r>
    </w:p>
    <w:p>
      <w:pPr>
        <w:spacing w:before="240" w:after="240" w:line="360" w:lineRule="auto"/>
        <w:rPr>
          <w:rFonts w:ascii="Arial" w:hAnsi="Arial" w:cs="Arial"/>
          <w:color w:val="000000"/>
        </w:rPr>
      </w:pPr>
    </w:p>
    <w:p>
      <w:pPr>
        <w:spacing w:before="240" w:after="240" w:line="480" w:lineRule="auto"/>
        <w:ind w:firstLine="2310" w:firstLineChars="1100"/>
        <w:rPr>
          <w:rFonts w:ascii="Arial" w:hAnsi="Arial" w:cs="Arial"/>
          <w:kern w:val="0"/>
        </w:rPr>
      </w:pPr>
      <w:r>
        <w:drawing>
          <wp:inline distT="0" distB="0" distL="0" distR="0">
            <wp:extent cx="5591175" cy="3725545"/>
            <wp:effectExtent l="0" t="0" r="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614230" cy="3741018"/>
                    </a:xfrm>
                    <a:prstGeom prst="rect">
                      <a:avLst/>
                    </a:prstGeom>
                    <a:noFill/>
                    <a:ln>
                      <a:noFill/>
                    </a:ln>
                  </pic:spPr>
                </pic:pic>
              </a:graphicData>
            </a:graphic>
          </wp:inline>
        </w:drawing>
      </w:r>
      <w:r>
        <w:rPr>
          <w:rFonts w:ascii="Arial" w:hAnsi="Arial" w:cs="Arial"/>
          <w:kern w:val="0"/>
        </w:rPr>
        <w:t xml:space="preserve"> </w:t>
      </w:r>
    </w:p>
    <w:p>
      <w:pPr>
        <w:spacing w:before="240" w:after="240"/>
        <w:rPr>
          <w:rFonts w:ascii="Arial" w:hAnsi="Arial" w:cs="Arial"/>
          <w:color w:val="333333"/>
          <w:shd w:val="clear" w:color="auto" w:fill="FCFCFC"/>
        </w:rPr>
      </w:pPr>
      <w:r>
        <w:rPr>
          <w:rFonts w:ascii="Arial" w:hAnsi="Arial" w:cs="Arial"/>
          <w:b/>
          <w:bCs/>
        </w:rPr>
        <w:t>Supplementary Figure 1</w:t>
      </w:r>
      <w:r>
        <w:rPr>
          <w:rFonts w:ascii="Arial" w:hAnsi="Arial" w:cs="Arial"/>
        </w:rPr>
        <w:t>. Overall survival results of immune cells are significantly different between groups (determined by the median value).</w:t>
      </w:r>
    </w:p>
    <w:p>
      <w:pPr>
        <w:spacing w:before="240" w:after="240"/>
        <w:rPr>
          <w:rFonts w:ascii="Arial" w:hAnsi="Arial" w:cs="Arial"/>
          <w:kern w:val="0"/>
        </w:rPr>
      </w:pPr>
      <w:r>
        <w:rPr>
          <w:rFonts w:ascii="Arial" w:hAnsi="Arial" w:cs="Arial"/>
          <w:kern w:val="0"/>
        </w:rPr>
        <w:t xml:space="preserve"> </w:t>
      </w:r>
    </w:p>
    <w:p>
      <w:pPr>
        <w:widowControl/>
        <w:jc w:val="left"/>
        <w:rPr>
          <w:rFonts w:ascii="Arial" w:hAnsi="Arial" w:cs="Arial"/>
          <w:color w:val="000000"/>
        </w:rPr>
        <w:sectPr>
          <w:pgSz w:w="16838" w:h="11906" w:orient="landscape"/>
          <w:pgMar w:top="1800" w:right="1440" w:bottom="1800" w:left="1440" w:header="720" w:footer="720" w:gutter="0"/>
          <w:cols w:space="720" w:num="1"/>
          <w:docGrid w:type="lines" w:linePitch="312" w:charSpace="0"/>
        </w:sectPr>
      </w:pPr>
    </w:p>
    <w:p>
      <w:pPr>
        <w:spacing w:before="240" w:after="240" w:line="360" w:lineRule="auto"/>
        <w:ind w:firstLine="1470" w:firstLineChars="700"/>
        <w:rPr>
          <w:rFonts w:ascii="Arial" w:hAnsi="Arial" w:cs="Arial"/>
          <w:color w:val="000000"/>
        </w:rPr>
      </w:pPr>
      <w:r>
        <w:drawing>
          <wp:inline distT="0" distB="0" distL="0" distR="0">
            <wp:extent cx="6827520" cy="3383280"/>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6827520" cy="3383280"/>
                    </a:xfrm>
                    <a:prstGeom prst="rect">
                      <a:avLst/>
                    </a:prstGeom>
                    <a:noFill/>
                    <a:ln>
                      <a:noFill/>
                    </a:ln>
                  </pic:spPr>
                </pic:pic>
              </a:graphicData>
            </a:graphic>
          </wp:inline>
        </w:drawing>
      </w:r>
      <w:r>
        <w:rPr>
          <w:rFonts w:ascii="Arial" w:hAnsi="Arial" w:cs="Arial"/>
          <w:color w:val="000000"/>
        </w:rPr>
        <w:t xml:space="preserve"> </w:t>
      </w:r>
    </w:p>
    <w:p>
      <w:pPr>
        <w:rPr>
          <w:rFonts w:ascii="Arial" w:hAnsi="Arial" w:cs="Arial"/>
        </w:rPr>
      </w:pPr>
      <w:r>
        <w:rPr>
          <w:rFonts w:ascii="Arial" w:hAnsi="Arial" w:cs="Arial"/>
        </w:rPr>
        <w:t xml:space="preserve"> </w:t>
      </w:r>
    </w:p>
    <w:p>
      <w:pPr>
        <w:rPr>
          <w:rFonts w:ascii="Arial" w:hAnsi="Arial" w:cs="Arial"/>
        </w:rPr>
      </w:pPr>
      <w:bookmarkStart w:id="0" w:name="_Hlk63540475"/>
      <w:r>
        <w:rPr>
          <w:rFonts w:ascii="Arial" w:hAnsi="Arial" w:cs="Arial"/>
          <w:b/>
          <w:bCs/>
        </w:rPr>
        <w:t>Supplementary</w:t>
      </w:r>
      <w:bookmarkEnd w:id="0"/>
      <w:r>
        <w:rPr>
          <w:rFonts w:ascii="Arial" w:hAnsi="Arial" w:cs="Arial"/>
          <w:b/>
          <w:bCs/>
        </w:rPr>
        <w:t xml:space="preserve"> Figure 2. </w:t>
      </w:r>
      <w:bookmarkStart w:id="1" w:name="_Hlk63614996"/>
      <w:r>
        <w:rPr>
          <w:rFonts w:ascii="Arial" w:hAnsi="Arial" w:cs="Arial"/>
        </w:rPr>
        <w:t>Two-dimensional plots are shown of principal components calculated principal components analysis (PCA). (</w:t>
      </w:r>
      <w:r>
        <w:rPr>
          <w:rFonts w:ascii="Arial" w:hAnsi="Arial" w:cs="Arial"/>
          <w:b/>
          <w:bCs/>
        </w:rPr>
        <w:t>a</w:t>
      </w:r>
      <w:r>
        <w:rPr>
          <w:rFonts w:ascii="Arial" w:hAnsi="Arial" w:cs="Arial"/>
        </w:rPr>
        <w:t>) PCA of the expression</w:t>
      </w:r>
      <w:r>
        <w:rPr>
          <w:rFonts w:hint="eastAsia" w:ascii="Arial" w:hAnsi="Arial" w:cs="Arial"/>
        </w:rPr>
        <w:t xml:space="preserve"> matrix of six</w:t>
      </w:r>
      <w:r>
        <w:rPr>
          <w:rFonts w:ascii="Arial" w:hAnsi="Arial" w:cs="Arial"/>
        </w:rPr>
        <w:t xml:space="preserve"> different datasets. (</w:t>
      </w:r>
      <w:r>
        <w:rPr>
          <w:rFonts w:ascii="Arial" w:hAnsi="Arial" w:cs="Arial"/>
          <w:b/>
          <w:bCs/>
        </w:rPr>
        <w:t>b</w:t>
      </w:r>
      <w:r>
        <w:rPr>
          <w:rFonts w:ascii="Arial" w:hAnsi="Arial" w:cs="Arial"/>
        </w:rPr>
        <w:t xml:space="preserve">) PCA of the immune cells </w:t>
      </w:r>
      <w:r>
        <w:rPr>
          <w:rFonts w:hint="eastAsia" w:ascii="Arial" w:hAnsi="Arial" w:cs="Arial"/>
        </w:rPr>
        <w:t>enrichment scores</w:t>
      </w:r>
      <w:r>
        <w:rPr>
          <w:rFonts w:ascii="Arial" w:hAnsi="Arial" w:cs="Arial"/>
        </w:rPr>
        <w:t xml:space="preserve"> </w:t>
      </w:r>
      <w:r>
        <w:rPr>
          <w:rFonts w:hint="eastAsia" w:ascii="Arial" w:hAnsi="Arial" w:cs="Arial"/>
        </w:rPr>
        <w:t>of six</w:t>
      </w:r>
      <w:r>
        <w:rPr>
          <w:rFonts w:ascii="Arial" w:hAnsi="Arial" w:cs="Arial"/>
        </w:rPr>
        <w:t xml:space="preserve"> different datasets.</w:t>
      </w:r>
      <w:bookmarkEnd w:id="1"/>
    </w:p>
    <w:p>
      <w:pPr>
        <w:widowControl/>
        <w:jc w:val="left"/>
        <w:rPr>
          <w:rFonts w:ascii="Arial" w:hAnsi="Arial" w:cs="Arial"/>
        </w:rPr>
        <w:sectPr>
          <w:pgSz w:w="16838" w:h="11906" w:orient="landscape"/>
          <w:pgMar w:top="1800" w:right="1440" w:bottom="1800" w:left="1440" w:header="720" w:footer="720" w:gutter="0"/>
          <w:cols w:space="720" w:num="1"/>
          <w:docGrid w:type="lines" w:linePitch="312" w:charSpace="0"/>
        </w:sectPr>
      </w:pPr>
    </w:p>
    <w:p>
      <w:pPr>
        <w:spacing w:before="240" w:after="240" w:line="360" w:lineRule="auto"/>
        <w:ind w:firstLine="630" w:firstLineChars="300"/>
        <w:rPr>
          <w:rFonts w:ascii="Arial" w:hAnsi="Arial" w:cs="Arial"/>
          <w:color w:val="000000"/>
        </w:rPr>
      </w:pPr>
      <w:r>
        <w:drawing>
          <wp:inline distT="0" distB="0" distL="0" distR="0">
            <wp:extent cx="7467600" cy="3747135"/>
            <wp:effectExtent l="0" t="0" r="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7502962" cy="3765198"/>
                    </a:xfrm>
                    <a:prstGeom prst="rect">
                      <a:avLst/>
                    </a:prstGeom>
                    <a:noFill/>
                    <a:ln>
                      <a:noFill/>
                    </a:ln>
                  </pic:spPr>
                </pic:pic>
              </a:graphicData>
            </a:graphic>
          </wp:inline>
        </w:drawing>
      </w:r>
      <w:r>
        <w:rPr>
          <w:rFonts w:ascii="Arial" w:hAnsi="Arial" w:cs="Arial"/>
          <w:color w:val="000000"/>
        </w:rPr>
        <w:t xml:space="preserve"> </w:t>
      </w:r>
    </w:p>
    <w:p>
      <w:pPr>
        <w:rPr>
          <w:rFonts w:ascii="Arial" w:hAnsi="Arial" w:cs="Arial"/>
        </w:rPr>
      </w:pPr>
      <w:r>
        <w:rPr>
          <w:rFonts w:ascii="Arial" w:hAnsi="Arial" w:cs="Arial"/>
          <w:b/>
          <w:bCs/>
        </w:rPr>
        <w:t>Supplementary Figure 3.</w:t>
      </w:r>
      <w:r>
        <w:rPr>
          <w:rFonts w:ascii="Arial" w:hAnsi="Arial" w:cs="Arial"/>
        </w:rPr>
        <w:t xml:space="preserve"> </w:t>
      </w:r>
      <w:bookmarkStart w:id="2" w:name="_Hlk63615018"/>
      <w:r>
        <w:rPr>
          <w:rFonts w:ascii="Arial" w:hAnsi="Arial" w:cs="Arial"/>
        </w:rPr>
        <w:t>(</w:t>
      </w:r>
      <w:r>
        <w:rPr>
          <w:rFonts w:ascii="Arial" w:hAnsi="Arial" w:cs="Arial"/>
          <w:b/>
          <w:bCs/>
        </w:rPr>
        <w:t>a</w:t>
      </w:r>
      <w:r>
        <w:rPr>
          <w:rFonts w:ascii="Arial" w:hAnsi="Arial" w:cs="Arial"/>
        </w:rPr>
        <w:t xml:space="preserve">) Consensus clustering </w:t>
      </w:r>
      <w:bookmarkStart w:id="3" w:name="_Hlk58704478"/>
      <w:r>
        <w:rPr>
          <w:rFonts w:ascii="Arial" w:hAnsi="Arial" w:cs="Arial"/>
        </w:rPr>
        <w:t>cumulative distribution function (CDF)</w:t>
      </w:r>
      <w:bookmarkEnd w:id="3"/>
      <w:r>
        <w:rPr>
          <w:rFonts w:ascii="Arial" w:hAnsi="Arial" w:cs="Arial"/>
        </w:rPr>
        <w:t xml:space="preserve"> for k=2 to 6. (</w:t>
      </w:r>
      <w:r>
        <w:rPr>
          <w:rFonts w:ascii="Arial" w:hAnsi="Arial" w:cs="Arial"/>
          <w:b/>
          <w:bCs/>
        </w:rPr>
        <w:t>b</w:t>
      </w:r>
      <w:r>
        <w:rPr>
          <w:rFonts w:ascii="Arial" w:hAnsi="Arial" w:cs="Arial"/>
        </w:rPr>
        <w:t>) Delta area curve of consensus clustering, indicating the relative change in area under CDF curve for each category number k compared with k</w:t>
      </w:r>
      <w:r>
        <w:rPr>
          <w:rFonts w:ascii="Arial" w:hAnsi="Arial" w:eastAsia="微软雅黑" w:cs="Arial"/>
        </w:rPr>
        <w:t>−</w:t>
      </w:r>
      <w:r>
        <w:rPr>
          <w:rFonts w:ascii="Arial" w:hAnsi="Arial" w:cs="Arial"/>
        </w:rPr>
        <w:t>1. The horizontal axis represents the category number k, and the vertical axis represents the relative change in area under the CDF curve.</w:t>
      </w:r>
      <w:bookmarkEnd w:id="2"/>
    </w:p>
    <w:p>
      <w:pPr>
        <w:widowControl/>
        <w:jc w:val="left"/>
        <w:rPr>
          <w:rFonts w:ascii="Arial" w:hAnsi="Arial" w:cs="Arial"/>
          <w:color w:val="000000"/>
        </w:rPr>
        <w:sectPr>
          <w:pgSz w:w="16838" w:h="11906" w:orient="landscape"/>
          <w:pgMar w:top="1800" w:right="1440" w:bottom="1800" w:left="1440" w:header="720" w:footer="720" w:gutter="0"/>
          <w:cols w:space="720" w:num="1"/>
          <w:docGrid w:type="lines" w:linePitch="312" w:charSpace="0"/>
        </w:sectPr>
      </w:pPr>
    </w:p>
    <w:p>
      <w:pPr>
        <w:spacing w:before="240" w:after="240" w:line="360" w:lineRule="auto"/>
        <w:ind w:firstLine="3465" w:firstLineChars="1650"/>
        <w:rPr>
          <w:rFonts w:ascii="Arial" w:hAnsi="Arial" w:cs="Arial"/>
          <w:color w:val="000000"/>
        </w:rPr>
      </w:pPr>
      <w:r>
        <w:drawing>
          <wp:inline distT="0" distB="0" distL="0" distR="0">
            <wp:extent cx="4086225" cy="39649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094872" cy="3973841"/>
                    </a:xfrm>
                    <a:prstGeom prst="rect">
                      <a:avLst/>
                    </a:prstGeom>
                    <a:noFill/>
                    <a:ln>
                      <a:noFill/>
                    </a:ln>
                  </pic:spPr>
                </pic:pic>
              </a:graphicData>
            </a:graphic>
          </wp:inline>
        </w:drawing>
      </w:r>
      <w:r>
        <w:rPr>
          <w:rFonts w:ascii="Arial" w:hAnsi="Arial" w:cs="Arial"/>
          <w:color w:val="000000"/>
        </w:rPr>
        <w:t xml:space="preserve"> </w:t>
      </w:r>
    </w:p>
    <w:p>
      <w:pPr>
        <w:spacing w:before="240" w:after="240"/>
        <w:rPr>
          <w:rFonts w:ascii="Arial" w:hAnsi="Arial" w:cs="Arial"/>
          <w:color w:val="000000"/>
        </w:rPr>
      </w:pPr>
      <w:r>
        <w:rPr>
          <w:rFonts w:ascii="Arial" w:hAnsi="Arial" w:cs="Arial"/>
          <w:b/>
          <w:bCs/>
        </w:rPr>
        <w:t>Supplementary Figure 4.</w:t>
      </w:r>
      <w:r>
        <w:rPr>
          <w:rFonts w:ascii="Arial" w:hAnsi="Arial" w:cs="Arial"/>
        </w:rPr>
        <w:t xml:space="preserve"> </w:t>
      </w:r>
      <w:bookmarkStart w:id="4" w:name="_Hlk63615032"/>
      <w:r>
        <w:rPr>
          <w:rFonts w:ascii="Arial" w:hAnsi="Arial" w:cs="Arial"/>
        </w:rPr>
        <w:t xml:space="preserve">Comparison of the tumor immunotherapy indicators between the two immune subtypes in TCGA dataset. Subtype2 tumors had significantly higher CD8A, PDL1, TIGIT, CTLA4, CYT, IFNG, LAG3, PD1 (PDCD1) and tumor mutational burden (TMB) than subtype1 tumors (p &lt; 0.05). </w:t>
      </w:r>
      <w:bookmarkEnd w:id="4"/>
    </w:p>
    <w:p>
      <w:pPr>
        <w:widowControl/>
        <w:jc w:val="left"/>
        <w:rPr>
          <w:rFonts w:ascii="Arial" w:hAnsi="Arial" w:cs="Arial"/>
          <w:color w:val="000000"/>
        </w:rPr>
        <w:sectPr>
          <w:pgSz w:w="16838" w:h="11906" w:orient="landscape"/>
          <w:pgMar w:top="1800" w:right="1440" w:bottom="1800" w:left="1440" w:header="720" w:footer="720" w:gutter="0"/>
          <w:cols w:space="720" w:num="1"/>
          <w:docGrid w:type="lines" w:linePitch="312" w:charSpace="0"/>
        </w:sectPr>
      </w:pPr>
    </w:p>
    <w:p>
      <w:pPr>
        <w:spacing w:before="240" w:after="240" w:line="360" w:lineRule="auto"/>
        <w:ind w:firstLine="4305" w:firstLineChars="2050"/>
        <w:rPr>
          <w:rFonts w:ascii="Arial" w:hAnsi="Arial" w:cs="Arial"/>
          <w:color w:val="000000"/>
        </w:rPr>
      </w:pPr>
      <w:r>
        <w:drawing>
          <wp:inline distT="0" distB="0" distL="0" distR="0">
            <wp:extent cx="3352800" cy="3352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352800" cy="3352800"/>
                    </a:xfrm>
                    <a:prstGeom prst="rect">
                      <a:avLst/>
                    </a:prstGeom>
                    <a:noFill/>
                    <a:ln>
                      <a:noFill/>
                    </a:ln>
                  </pic:spPr>
                </pic:pic>
              </a:graphicData>
            </a:graphic>
          </wp:inline>
        </w:drawing>
      </w:r>
      <w:r>
        <w:rPr>
          <w:rFonts w:ascii="Arial" w:hAnsi="Arial" w:cs="Arial"/>
          <w:color w:val="000000"/>
        </w:rPr>
        <w:t xml:space="preserve"> </w:t>
      </w:r>
    </w:p>
    <w:p>
      <w:pPr>
        <w:spacing w:before="240" w:after="240" w:line="360" w:lineRule="auto"/>
        <w:rPr>
          <w:rFonts w:ascii="Arial" w:hAnsi="Arial" w:cs="Arial"/>
          <w:color w:val="000000"/>
        </w:rPr>
      </w:pPr>
      <w:r>
        <w:rPr>
          <w:rFonts w:ascii="Arial" w:hAnsi="Arial" w:cs="Arial"/>
          <w:b/>
          <w:bCs/>
        </w:rPr>
        <w:t xml:space="preserve">Supplementary Figure 5. </w:t>
      </w:r>
      <w:bookmarkStart w:id="5" w:name="_Hlk63615044"/>
      <w:r>
        <w:rPr>
          <w:rFonts w:ascii="Arial" w:hAnsi="Arial" w:cs="Arial"/>
        </w:rPr>
        <w:t>Volcano plot showing the gene expression differences between immune subtypes. Blue dots, down-regulated genes in subtype2. Red dots, up-regulated genes in subtype2.</w:t>
      </w:r>
      <w:bookmarkEnd w:id="5"/>
    </w:p>
    <w:p>
      <w:pPr>
        <w:spacing w:before="240" w:after="240" w:line="360" w:lineRule="auto"/>
        <w:rPr>
          <w:rFonts w:ascii="Arial" w:hAnsi="Arial" w:cs="Arial"/>
          <w:color w:val="000000"/>
        </w:rPr>
      </w:pPr>
      <w:r>
        <w:rPr>
          <w:rFonts w:ascii="Arial" w:hAnsi="Arial" w:cs="Arial"/>
          <w:color w:val="000000"/>
        </w:rPr>
        <w:t xml:space="preserve"> </w:t>
      </w:r>
    </w:p>
    <w:p>
      <w:pPr>
        <w:widowControl/>
        <w:jc w:val="left"/>
        <w:rPr>
          <w:rFonts w:ascii="Arial" w:hAnsi="Arial" w:cs="Arial"/>
          <w:color w:val="000000"/>
        </w:rPr>
        <w:sectPr>
          <w:pgSz w:w="16838" w:h="11906" w:orient="landscape"/>
          <w:pgMar w:top="1800" w:right="1440" w:bottom="1800" w:left="1440" w:header="720" w:footer="720" w:gutter="0"/>
          <w:cols w:space="720" w:num="1"/>
          <w:docGrid w:type="lines" w:linePitch="312" w:charSpace="0"/>
        </w:sectPr>
      </w:pPr>
    </w:p>
    <w:p>
      <w:pPr>
        <w:spacing w:before="240" w:after="240" w:line="360" w:lineRule="auto"/>
        <w:ind w:firstLine="4200" w:firstLineChars="2000"/>
        <w:rPr>
          <w:rFonts w:ascii="Arial" w:hAnsi="Arial" w:cs="Arial"/>
          <w:color w:val="000000"/>
        </w:rPr>
      </w:pPr>
      <w:r>
        <w:drawing>
          <wp:inline distT="0" distB="0" distL="0" distR="0">
            <wp:extent cx="3457575" cy="34309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462793" cy="3436461"/>
                    </a:xfrm>
                    <a:prstGeom prst="rect">
                      <a:avLst/>
                    </a:prstGeom>
                    <a:noFill/>
                    <a:ln>
                      <a:noFill/>
                    </a:ln>
                  </pic:spPr>
                </pic:pic>
              </a:graphicData>
            </a:graphic>
          </wp:inline>
        </w:drawing>
      </w:r>
      <w:r>
        <w:rPr>
          <w:rFonts w:ascii="Arial" w:hAnsi="Arial" w:cs="Arial"/>
          <w:color w:val="000000"/>
        </w:rPr>
        <w:t xml:space="preserve"> </w:t>
      </w:r>
    </w:p>
    <w:p>
      <w:pPr>
        <w:spacing w:before="240" w:after="240" w:line="360" w:lineRule="auto"/>
        <w:rPr>
          <w:rFonts w:ascii="Arial" w:hAnsi="Arial" w:cs="Arial"/>
          <w:color w:val="000000"/>
        </w:rPr>
      </w:pPr>
      <w:r>
        <w:rPr>
          <w:rFonts w:ascii="Arial" w:hAnsi="Arial" w:cs="Arial"/>
          <w:b/>
          <w:bCs/>
        </w:rPr>
        <w:t xml:space="preserve">Supplementary Figure 6. </w:t>
      </w:r>
      <w:bookmarkStart w:id="6" w:name="_Hlk63615056"/>
      <w:r>
        <w:rPr>
          <w:rFonts w:ascii="Arial" w:hAnsi="Arial" w:cs="Arial"/>
        </w:rPr>
        <w:t>Overall survival results of four hub genes in turquoise module are significantly different between groups (determined by the median value).</w:t>
      </w:r>
      <w:bookmarkEnd w:id="6"/>
    </w:p>
    <w:p>
      <w:pPr>
        <w:spacing w:before="240" w:after="240" w:line="360" w:lineRule="auto"/>
        <w:rPr>
          <w:rFonts w:ascii="Arial" w:hAnsi="Arial" w:cs="Arial"/>
          <w:color w:val="000000"/>
        </w:rPr>
      </w:pPr>
      <w:r>
        <w:rPr>
          <w:rFonts w:ascii="Arial" w:hAnsi="Arial" w:cs="Arial"/>
          <w:color w:val="000000"/>
        </w:rPr>
        <w:t xml:space="preserve"> </w:t>
      </w:r>
    </w:p>
    <w:p>
      <w:pPr>
        <w:widowControl/>
        <w:jc w:val="left"/>
        <w:rPr>
          <w:rFonts w:ascii="Arial" w:hAnsi="Arial" w:cs="Arial"/>
          <w:color w:val="000000"/>
        </w:rPr>
        <w:sectPr>
          <w:pgSz w:w="16838" w:h="11906" w:orient="landscape"/>
          <w:pgMar w:top="1800" w:right="1440" w:bottom="1800" w:left="1440" w:header="720" w:footer="720" w:gutter="0"/>
          <w:cols w:space="720" w:num="1"/>
          <w:docGrid w:type="lines" w:linePitch="312" w:charSpace="0"/>
        </w:sectPr>
      </w:pPr>
    </w:p>
    <w:p>
      <w:pPr>
        <w:spacing w:before="240" w:after="240" w:line="360" w:lineRule="auto"/>
        <w:ind w:firstLine="1470" w:firstLineChars="700"/>
        <w:rPr>
          <w:rFonts w:ascii="Arial" w:hAnsi="Arial" w:cs="Arial"/>
          <w:color w:val="000000"/>
        </w:rPr>
      </w:pPr>
      <w:r>
        <w:drawing>
          <wp:inline distT="0" distB="0" distL="0" distR="0">
            <wp:extent cx="6680200" cy="2771775"/>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705100" cy="2781863"/>
                    </a:xfrm>
                    <a:prstGeom prst="rect">
                      <a:avLst/>
                    </a:prstGeom>
                    <a:noFill/>
                    <a:ln>
                      <a:noFill/>
                    </a:ln>
                  </pic:spPr>
                </pic:pic>
              </a:graphicData>
            </a:graphic>
          </wp:inline>
        </w:drawing>
      </w:r>
      <w:r>
        <w:rPr>
          <w:rFonts w:ascii="Arial" w:hAnsi="Arial" w:cs="Arial"/>
          <w:color w:val="000000"/>
        </w:rPr>
        <w:t xml:space="preserve"> </w:t>
      </w:r>
    </w:p>
    <w:p>
      <w:pPr>
        <w:spacing w:before="240" w:after="240" w:line="360" w:lineRule="auto"/>
        <w:rPr>
          <w:rFonts w:ascii="Arial" w:hAnsi="Arial" w:cs="Arial"/>
          <w:color w:val="000000"/>
        </w:rPr>
      </w:pPr>
      <w:r>
        <w:rPr>
          <w:rFonts w:ascii="Arial" w:hAnsi="Arial" w:cs="Arial"/>
          <w:b/>
          <w:bCs/>
        </w:rPr>
        <w:t xml:space="preserve">Supplementary Figure 7. </w:t>
      </w:r>
      <w:r>
        <w:rPr>
          <w:rFonts w:ascii="Arial" w:hAnsi="Arial" w:cs="Arial"/>
        </w:rPr>
        <w:t>Overall survival results of ten hub genes in blue module are significantly different between groups (determined by the median value).</w:t>
      </w:r>
    </w:p>
    <w:p>
      <w:pPr>
        <w:spacing w:before="240" w:after="240" w:line="360" w:lineRule="auto"/>
        <w:rPr>
          <w:rFonts w:ascii="Arial" w:hAnsi="Arial" w:cs="Arial"/>
          <w:color w:val="000000"/>
        </w:rPr>
        <w:sectPr>
          <w:pgSz w:w="16838" w:h="11906" w:orient="landscape"/>
          <w:pgMar w:top="1800" w:right="1440" w:bottom="1800" w:left="1440" w:header="720" w:footer="720" w:gutter="0"/>
          <w:cols w:space="720" w:num="1"/>
          <w:docGrid w:type="lines" w:linePitch="312" w:charSpace="0"/>
        </w:sectPr>
      </w:pPr>
      <w:r>
        <w:rPr>
          <w:rFonts w:ascii="Arial" w:hAnsi="Arial" w:cs="Arial"/>
          <w:color w:val="000000"/>
        </w:rPr>
        <w:t xml:space="preserve"> </w:t>
      </w:r>
    </w:p>
    <w:p>
      <w:pPr>
        <w:spacing w:before="240" w:after="240" w:line="360" w:lineRule="auto"/>
        <w:rPr>
          <w:rFonts w:ascii="Arial" w:hAnsi="Arial" w:cs="Arial"/>
          <w:color w:val="000000"/>
        </w:rPr>
      </w:pPr>
    </w:p>
    <w:p>
      <w:pPr>
        <w:spacing w:before="240" w:after="240" w:line="360" w:lineRule="auto"/>
        <w:ind w:firstLine="3255" w:firstLineChars="1550"/>
        <w:rPr>
          <w:rFonts w:ascii="Arial" w:hAnsi="Arial" w:cs="Arial"/>
          <w:color w:val="000000"/>
        </w:rPr>
      </w:pPr>
      <w:r>
        <w:drawing>
          <wp:inline distT="0" distB="0" distL="0" distR="0">
            <wp:extent cx="3860800" cy="38608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860800" cy="3860800"/>
                    </a:xfrm>
                    <a:prstGeom prst="rect">
                      <a:avLst/>
                    </a:prstGeom>
                    <a:noFill/>
                    <a:ln>
                      <a:noFill/>
                    </a:ln>
                  </pic:spPr>
                </pic:pic>
              </a:graphicData>
            </a:graphic>
          </wp:inline>
        </w:drawing>
      </w:r>
      <w:r>
        <w:rPr>
          <w:rFonts w:ascii="Arial" w:hAnsi="Arial" w:cs="Arial"/>
          <w:color w:val="000000"/>
        </w:rPr>
        <w:t xml:space="preserve"> </w:t>
      </w:r>
    </w:p>
    <w:p>
      <w:pPr>
        <w:spacing w:before="240" w:after="240"/>
        <w:rPr>
          <w:rFonts w:ascii="Arial" w:hAnsi="Arial" w:cs="Arial"/>
          <w:color w:val="000000"/>
        </w:rPr>
      </w:pPr>
      <w:r>
        <w:rPr>
          <w:rFonts w:ascii="Arial" w:hAnsi="Arial" w:cs="Arial"/>
          <w:b/>
          <w:bCs/>
        </w:rPr>
        <w:t>Supplementary Figure 8.</w:t>
      </w:r>
      <w:r>
        <w:rPr>
          <w:rFonts w:ascii="Arial" w:hAnsi="Arial" w:cs="Arial"/>
        </w:rPr>
        <w:t xml:space="preserve"> Comparison of the tumor immunotherapy indicators between the two immune subtypes in IMvigor210 dataset. Subtype2 tumors had significantly higher CD8A, PDL1, TIGIT, CTLA4, CYT, IFNG, LAG3, PD1 (PDCD1) and TMB than subtype1 tumors (p &lt; 0.05). </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MT">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84E"/>
    <w:rsid w:val="001610DF"/>
    <w:rsid w:val="0041389E"/>
    <w:rsid w:val="00455D5A"/>
    <w:rsid w:val="00512298"/>
    <w:rsid w:val="005A0A12"/>
    <w:rsid w:val="005C77FF"/>
    <w:rsid w:val="0090499F"/>
    <w:rsid w:val="009B0F06"/>
    <w:rsid w:val="00B50BEB"/>
    <w:rsid w:val="00BF4849"/>
    <w:rsid w:val="00E94D40"/>
    <w:rsid w:val="00F373A5"/>
    <w:rsid w:val="00F5184E"/>
    <w:rsid w:val="00F901C7"/>
    <w:rsid w:val="1AA542CB"/>
    <w:rsid w:val="69803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paragraph" w:styleId="2">
    <w:name w:val="heading 1"/>
    <w:basedOn w:val="1"/>
    <w:next w:val="1"/>
    <w:link w:val="9"/>
    <w:qFormat/>
    <w:uiPriority w:val="99"/>
    <w:pPr>
      <w:jc w:val="left"/>
      <w:outlineLvl w:val="0"/>
    </w:pPr>
    <w:rPr>
      <w:rFonts w:eastAsia="宋体"/>
      <w:b/>
      <w:bCs/>
      <w:sz w:val="28"/>
      <w:szCs w:val="28"/>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15"/>
    <w:basedOn w:val="6"/>
    <w:uiPriority w:val="0"/>
    <w:rPr>
      <w:rFonts w:hint="eastAsia" w:ascii="等线" w:hAnsi="等线" w:eastAsia="等线"/>
      <w:color w:val="0000FF"/>
      <w:u w:val="single"/>
    </w:rPr>
  </w:style>
  <w:style w:type="table" w:customStyle="1" w:styleId="8">
    <w:name w:val="网格型浅色1"/>
    <w:basedOn w:val="5"/>
    <w:uiPriority w:val="0"/>
    <w:rPr>
      <w:rFonts w:ascii="Times New Roman" w:hAnsi="Times New Roman" w:eastAsia="Times New Roman" w:cs="Times New Roman"/>
    </w:rPr>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style>
  <w:style w:type="character" w:customStyle="1" w:styleId="9">
    <w:name w:val="标题 1 字符"/>
    <w:basedOn w:val="6"/>
    <w:link w:val="2"/>
    <w:qFormat/>
    <w:uiPriority w:val="99"/>
    <w:rPr>
      <w:rFonts w:ascii="等线" w:hAnsi="等线" w:eastAsia="宋体" w:cs="Times New Roman"/>
      <w:b/>
      <w:bCs/>
      <w:sz w:val="28"/>
      <w:szCs w:val="28"/>
    </w:rPr>
  </w:style>
  <w:style w:type="character" w:customStyle="1" w:styleId="10">
    <w:name w:val="页眉 字符"/>
    <w:basedOn w:val="6"/>
    <w:link w:val="4"/>
    <w:uiPriority w:val="99"/>
    <w:rPr>
      <w:rFonts w:ascii="等线" w:hAnsi="等线" w:eastAsia="等线" w:cs="Times New Roman"/>
      <w:kern w:val="2"/>
      <w:sz w:val="18"/>
      <w:szCs w:val="18"/>
    </w:rPr>
  </w:style>
  <w:style w:type="character" w:customStyle="1" w:styleId="11">
    <w:name w:val="页脚 字符"/>
    <w:basedOn w:val="6"/>
    <w:link w:val="3"/>
    <w:uiPriority w:val="99"/>
    <w:rPr>
      <w:rFonts w:ascii="等线" w:hAnsi="等线" w:eastAsia="等线"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737</Words>
  <Characters>4202</Characters>
  <Lines>35</Lines>
  <Paragraphs>9</Paragraphs>
  <TotalTime>9</TotalTime>
  <ScaleCrop>false</ScaleCrop>
  <LinksUpToDate>false</LinksUpToDate>
  <CharactersWithSpaces>4930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2021-02-06T11:59:00Z</dcterms:created>
  <dc:creator>陈自豪</dc:creator>
  <cp:lastModifiedBy>煜炅</cp:lastModifiedBy>
  <dcterms:modified xsi:type="dcterms:W3CDTF">2021-02-07T12:30:09Z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