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F6E23" w14:textId="1DF715B8" w:rsidR="00D85FAB" w:rsidRDefault="00D85FAB" w:rsidP="00D85FAB">
      <w:pPr>
        <w:spacing w:line="360" w:lineRule="auto"/>
        <w:jc w:val="center"/>
        <w:rPr>
          <w:rFonts w:ascii="Times New Roman" w:hAnsi="Times New Roman"/>
          <w:b/>
          <w:bCs/>
          <w:kern w:val="0"/>
          <w:sz w:val="30"/>
          <w:szCs w:val="30"/>
        </w:rPr>
      </w:pPr>
      <w:r>
        <w:rPr>
          <w:rFonts w:ascii="Times New Roman" w:hAnsi="Times New Roman" w:cs="Times New Roman" w:hint="eastAsia"/>
          <w:b/>
          <w:bCs/>
          <w:sz w:val="30"/>
          <w:szCs w:val="30"/>
        </w:rPr>
        <w:t>The</w:t>
      </w:r>
      <w:r>
        <w:rPr>
          <w:rFonts w:ascii="Times New Roman" w:hAnsi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A</w:t>
      </w:r>
      <w:r>
        <w:rPr>
          <w:rFonts w:ascii="Times New Roman" w:hAnsi="Times New Roman"/>
          <w:b/>
          <w:bCs/>
          <w:sz w:val="30"/>
          <w:szCs w:val="30"/>
        </w:rPr>
        <w:t xml:space="preserve">symmetric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C</w:t>
      </w:r>
      <w:r>
        <w:rPr>
          <w:rFonts w:ascii="Times New Roman" w:hAnsi="Times New Roman"/>
          <w:b/>
          <w:bCs/>
          <w:sz w:val="30"/>
          <w:szCs w:val="30"/>
        </w:rPr>
        <w:t xml:space="preserve">orrelation and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C</w:t>
      </w:r>
      <w:r>
        <w:rPr>
          <w:rFonts w:ascii="Times New Roman" w:hAnsi="Times New Roman"/>
          <w:b/>
          <w:bCs/>
          <w:sz w:val="30"/>
          <w:szCs w:val="30"/>
        </w:rPr>
        <w:t>ausality between the E</w:t>
      </w:r>
      <w:r w:rsidR="002C3F64">
        <w:rPr>
          <w:rFonts w:ascii="Times New Roman" w:hAnsi="Times New Roman"/>
          <w:b/>
          <w:bCs/>
          <w:sz w:val="30"/>
          <w:szCs w:val="30"/>
        </w:rPr>
        <w:t xml:space="preserve">uropean </w:t>
      </w:r>
      <w:proofErr w:type="spellStart"/>
      <w:r>
        <w:rPr>
          <w:rFonts w:ascii="Times New Roman" w:hAnsi="Times New Roman"/>
          <w:b/>
          <w:bCs/>
          <w:sz w:val="30"/>
          <w:szCs w:val="30"/>
        </w:rPr>
        <w:t>U</w:t>
      </w:r>
      <w:r w:rsidR="002C3F64">
        <w:rPr>
          <w:rFonts w:ascii="Times New Roman" w:hAnsi="Times New Roman"/>
          <w:b/>
          <w:bCs/>
          <w:sz w:val="30"/>
          <w:szCs w:val="30"/>
        </w:rPr>
        <w:t>noin</w:t>
      </w:r>
      <w:proofErr w:type="spellEnd"/>
      <w:r>
        <w:rPr>
          <w:rFonts w:ascii="Times New Roman" w:hAnsi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C</w:t>
      </w:r>
      <w:r>
        <w:rPr>
          <w:rFonts w:ascii="Times New Roman" w:hAnsi="Times New Roman"/>
          <w:b/>
          <w:bCs/>
          <w:sz w:val="30"/>
          <w:szCs w:val="30"/>
        </w:rPr>
        <w:t xml:space="preserve">arbon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Market</w:t>
      </w:r>
      <w:r>
        <w:rPr>
          <w:rFonts w:ascii="Times New Roman" w:hAnsi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a</w:t>
      </w:r>
      <w:r>
        <w:rPr>
          <w:rFonts w:ascii="Times New Roman" w:hAnsi="Times New Roman"/>
          <w:b/>
          <w:bCs/>
          <w:sz w:val="30"/>
          <w:szCs w:val="30"/>
        </w:rPr>
        <w:t xml:space="preserve">nd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F</w:t>
      </w:r>
      <w:r>
        <w:rPr>
          <w:rFonts w:ascii="Times New Roman" w:hAnsi="Times New Roman"/>
          <w:b/>
          <w:bCs/>
          <w:sz w:val="30"/>
          <w:szCs w:val="30"/>
        </w:rPr>
        <w:t xml:space="preserve">ossil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E</w:t>
      </w:r>
      <w:r>
        <w:rPr>
          <w:rFonts w:ascii="Times New Roman" w:hAnsi="Times New Roman"/>
          <w:b/>
          <w:bCs/>
          <w:sz w:val="30"/>
          <w:szCs w:val="30"/>
        </w:rPr>
        <w:t xml:space="preserve">nergy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M</w:t>
      </w:r>
      <w:r>
        <w:rPr>
          <w:rFonts w:ascii="Times New Roman" w:hAnsi="Times New Roman"/>
          <w:b/>
          <w:bCs/>
          <w:sz w:val="30"/>
          <w:szCs w:val="30"/>
        </w:rPr>
        <w:t>arket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s</w:t>
      </w:r>
      <w:r>
        <w:rPr>
          <w:rFonts w:ascii="Times New Roman" w:hAnsi="Times New Roman"/>
          <w:b/>
          <w:bCs/>
          <w:sz w:val="30"/>
          <w:szCs w:val="30"/>
        </w:rPr>
        <w:t xml:space="preserve"> before and after COVID-19</w:t>
      </w:r>
    </w:p>
    <w:p w14:paraId="7ECED0E7" w14:textId="77777777" w:rsidR="0005110C" w:rsidRDefault="009360B9">
      <w:pPr>
        <w:widowControl/>
        <w:spacing w:before="100" w:beforeAutospacing="1" w:after="100" w:afterAutospacing="1" w:line="270" w:lineRule="atLeast"/>
        <w:jc w:val="left"/>
        <w:outlineLvl w:val="3"/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8"/>
          <w:szCs w:val="28"/>
        </w:rPr>
        <w:t>Highlight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8"/>
          <w:szCs w:val="28"/>
        </w:rPr>
        <w:t>s</w:t>
      </w:r>
    </w:p>
    <w:p w14:paraId="5F311A0A" w14:textId="17FDC44B" w:rsidR="001B487A" w:rsidRPr="009A09B2" w:rsidRDefault="001B487A" w:rsidP="001B487A">
      <w:pPr>
        <w:spacing w:line="480" w:lineRule="auto"/>
        <w:ind w:left="240" w:hangingChars="100" w:hanging="240"/>
      </w:pPr>
      <w:r>
        <w:rPr>
          <w:rFonts w:ascii="Arial" w:eastAsia="宋体" w:hAnsi="Arial" w:cs="Arial"/>
          <w:color w:val="000000"/>
          <w:kern w:val="0"/>
          <w:sz w:val="24"/>
          <w:szCs w:val="24"/>
        </w:rPr>
        <w:t>►</w:t>
      </w:r>
      <w:r w:rsidRPr="009A09B2">
        <w:rPr>
          <w:rFonts w:ascii="Times New Roman" w:hAnsi="Times New Roman" w:cs="Times New Roman"/>
          <w:sz w:val="24"/>
          <w:szCs w:val="24"/>
        </w:rPr>
        <w:t xml:space="preserve"> </w:t>
      </w:r>
      <w:r w:rsidR="00E85388" w:rsidRPr="00E85388">
        <w:rPr>
          <w:rFonts w:ascii="Times New Roman" w:hAnsi="Times New Roman" w:cs="Times New Roman"/>
          <w:sz w:val="24"/>
          <w:szCs w:val="24"/>
        </w:rPr>
        <w:t xml:space="preserve">A local Gaussian correlation approach is used to analyze the possible asymmetric relationship across the </w:t>
      </w:r>
      <w:r w:rsidR="00E85388" w:rsidRPr="00E85388">
        <w:rPr>
          <w:rFonts w:ascii="Times New Roman" w:hAnsi="Times New Roman" w:cs="Times New Roman" w:hint="eastAsia"/>
          <w:sz w:val="24"/>
          <w:szCs w:val="24"/>
        </w:rPr>
        <w:t>entire</w:t>
      </w:r>
      <w:r w:rsidR="00E85388" w:rsidRPr="00E85388">
        <w:rPr>
          <w:rFonts w:ascii="Times New Roman" w:hAnsi="Times New Roman" w:cs="Times New Roman"/>
          <w:sz w:val="24"/>
          <w:szCs w:val="24"/>
        </w:rPr>
        <w:t xml:space="preserve"> distribution rather than only the conditional mean.</w:t>
      </w:r>
    </w:p>
    <w:p w14:paraId="79C0CFAA" w14:textId="3D501ECC" w:rsidR="0005110C" w:rsidRPr="009A09B2" w:rsidRDefault="009360B9">
      <w:pPr>
        <w:spacing w:line="480" w:lineRule="auto"/>
        <w:ind w:left="240" w:hangingChars="100" w:hanging="240"/>
        <w:rPr>
          <w:rFonts w:ascii="Times New Roman" w:eastAsia="宋体" w:hAnsi="Times New Roman" w:cs="Times New Roman"/>
          <w:sz w:val="24"/>
          <w:szCs w:val="24"/>
        </w:rPr>
      </w:pPr>
      <w:r w:rsidRPr="009A09B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►</w:t>
      </w:r>
      <w:r w:rsidR="00E85388" w:rsidRPr="00E85388"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 </w:t>
      </w:r>
      <w:r w:rsidR="00E85388" w:rsidRPr="00E85388">
        <w:rPr>
          <w:rFonts w:ascii="Times New Roman" w:hAnsi="Times New Roman" w:cs="Times New Roman" w:hint="eastAsia"/>
          <w:sz w:val="24"/>
          <w:szCs w:val="24"/>
        </w:rPr>
        <w:t>B</w:t>
      </w:r>
      <w:r w:rsidR="00E85388" w:rsidRPr="00E85388">
        <w:rPr>
          <w:rFonts w:ascii="Times New Roman" w:hAnsi="Times New Roman" w:cs="Times New Roman"/>
          <w:sz w:val="24"/>
          <w:szCs w:val="24"/>
        </w:rPr>
        <w:t xml:space="preserve">ased on local Gaussian correlations, a bootstrap test for contagion is applied to test the linkage between the </w:t>
      </w:r>
      <w:r w:rsidR="00D85FAB">
        <w:rPr>
          <w:rFonts w:ascii="Times New Roman" w:hAnsi="Times New Roman" w:cs="Times New Roman"/>
          <w:sz w:val="24"/>
          <w:szCs w:val="24"/>
        </w:rPr>
        <w:t>EU carbon</w:t>
      </w:r>
      <w:r w:rsidR="00E85388" w:rsidRPr="00E85388">
        <w:rPr>
          <w:rFonts w:ascii="Times New Roman" w:hAnsi="Times New Roman" w:cs="Times New Roman"/>
          <w:sz w:val="24"/>
          <w:szCs w:val="24"/>
        </w:rPr>
        <w:t xml:space="preserve"> market and </w:t>
      </w:r>
      <w:r w:rsidR="00D85FAB">
        <w:rPr>
          <w:rFonts w:ascii="Times New Roman" w:hAnsi="Times New Roman" w:cs="Times New Roman"/>
          <w:sz w:val="24"/>
          <w:szCs w:val="24"/>
        </w:rPr>
        <w:t xml:space="preserve">fossil energy </w:t>
      </w:r>
      <w:r w:rsidR="00E85388" w:rsidRPr="00E85388">
        <w:rPr>
          <w:rFonts w:ascii="Times New Roman" w:hAnsi="Times New Roman" w:cs="Times New Roman"/>
          <w:sz w:val="24"/>
          <w:szCs w:val="24"/>
        </w:rPr>
        <w:t>market</w:t>
      </w:r>
      <w:r w:rsidR="00D85FAB">
        <w:rPr>
          <w:rFonts w:ascii="Times New Roman" w:hAnsi="Times New Roman" w:cs="Times New Roman"/>
          <w:sz w:val="24"/>
          <w:szCs w:val="24"/>
        </w:rPr>
        <w:t>s</w:t>
      </w:r>
      <w:r w:rsidR="00E85388" w:rsidRPr="00E85388">
        <w:rPr>
          <w:rFonts w:ascii="Times New Roman" w:hAnsi="Times New Roman" w:cs="Times New Roman"/>
          <w:sz w:val="24"/>
          <w:szCs w:val="24"/>
        </w:rPr>
        <w:t>.</w:t>
      </w:r>
    </w:p>
    <w:p w14:paraId="17A1AC0E" w14:textId="694FF360" w:rsidR="00D85FAB" w:rsidRPr="00865913" w:rsidRDefault="009360B9" w:rsidP="003A21D6">
      <w:pPr>
        <w:spacing w:line="480" w:lineRule="auto"/>
        <w:ind w:left="240" w:hangingChars="100" w:hanging="240"/>
        <w:rPr>
          <w:rFonts w:ascii="Times New Roman" w:hAnsi="Times New Roman" w:cs="Times New Roman"/>
          <w:sz w:val="24"/>
          <w:szCs w:val="24"/>
        </w:rPr>
      </w:pPr>
      <w:r w:rsidRPr="00865913">
        <w:rPr>
          <w:rFonts w:ascii="Times New Roman" w:hAnsi="Times New Roman" w:cs="Times New Roman"/>
          <w:sz w:val="24"/>
          <w:szCs w:val="24"/>
        </w:rPr>
        <w:t>►</w:t>
      </w:r>
      <w:r w:rsidR="00983D94" w:rsidRPr="00865913">
        <w:rPr>
          <w:rFonts w:ascii="Times New Roman" w:hAnsi="Times New Roman" w:cs="Times New Roman"/>
          <w:sz w:val="24"/>
          <w:szCs w:val="24"/>
        </w:rPr>
        <w:t xml:space="preserve"> </w:t>
      </w:r>
      <w:r w:rsidR="00D85FAB" w:rsidRPr="00865913">
        <w:rPr>
          <w:rFonts w:ascii="Times New Roman" w:hAnsi="Times New Roman" w:cs="Times New Roman"/>
          <w:sz w:val="24"/>
          <w:szCs w:val="24"/>
        </w:rPr>
        <w:t>A quantile Granger causality approach</w:t>
      </w:r>
      <w:r w:rsidR="00D727E8" w:rsidRPr="00865913">
        <w:rPr>
          <w:rFonts w:ascii="Times New Roman" w:hAnsi="Times New Roman" w:cs="Times New Roman"/>
          <w:sz w:val="24"/>
          <w:szCs w:val="24"/>
        </w:rPr>
        <w:t xml:space="preserve"> instead of linear approach</w:t>
      </w:r>
      <w:r w:rsidR="00D85FAB" w:rsidRPr="00865913">
        <w:rPr>
          <w:rFonts w:ascii="Times New Roman" w:hAnsi="Times New Roman" w:cs="Times New Roman"/>
          <w:sz w:val="24"/>
          <w:szCs w:val="24"/>
        </w:rPr>
        <w:t xml:space="preserve"> is applied to reveal the causality chang</w:t>
      </w:r>
      <w:r w:rsidR="00D727E8" w:rsidRPr="00865913">
        <w:rPr>
          <w:rFonts w:ascii="Times New Roman" w:hAnsi="Times New Roman" w:cs="Times New Roman"/>
          <w:sz w:val="24"/>
          <w:szCs w:val="24"/>
        </w:rPr>
        <w:t>e before and after COVID-19.</w:t>
      </w:r>
      <w:r w:rsidR="00D85FAB" w:rsidRPr="008659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57704" w14:textId="56637E4A" w:rsidR="00D80F49" w:rsidRDefault="00983D94" w:rsidP="00D727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65913">
        <w:rPr>
          <w:rFonts w:ascii="Times New Roman" w:hAnsi="Times New Roman" w:cs="Times New Roman"/>
          <w:sz w:val="24"/>
          <w:szCs w:val="24"/>
        </w:rPr>
        <w:t xml:space="preserve">► </w:t>
      </w:r>
      <w:r w:rsidR="0022689B">
        <w:rPr>
          <w:rFonts w:ascii="Times New Roman" w:hAnsi="Times New Roman" w:cs="Times New Roman"/>
          <w:sz w:val="24"/>
          <w:szCs w:val="24"/>
        </w:rPr>
        <w:t>Capturing</w:t>
      </w:r>
      <w:r w:rsidR="00D80F49">
        <w:rPr>
          <w:rFonts w:ascii="Times New Roman" w:hAnsi="Times New Roman" w:cs="Times New Roman"/>
          <w:sz w:val="24"/>
          <w:szCs w:val="24"/>
        </w:rPr>
        <w:t xml:space="preserve"> </w:t>
      </w:r>
      <w:r w:rsidR="00D80F49">
        <w:rPr>
          <w:rFonts w:ascii="Times New Roman" w:hAnsi="Times New Roman" w:cs="Times New Roman" w:hint="eastAsia"/>
          <w:sz w:val="24"/>
          <w:szCs w:val="24"/>
        </w:rPr>
        <w:t>asy</w:t>
      </w:r>
      <w:r w:rsidR="00D80F49">
        <w:rPr>
          <w:rFonts w:ascii="Times New Roman" w:hAnsi="Times New Roman" w:cs="Times New Roman"/>
          <w:sz w:val="24"/>
          <w:szCs w:val="24"/>
        </w:rPr>
        <w:t xml:space="preserve">mmetric correlation and causality </w:t>
      </w:r>
      <w:r w:rsidR="0022689B">
        <w:rPr>
          <w:rFonts w:ascii="Times New Roman" w:hAnsi="Times New Roman" w:cs="Times New Roman"/>
          <w:sz w:val="24"/>
          <w:szCs w:val="24"/>
        </w:rPr>
        <w:t>between the EU carbon market and energy markets</w:t>
      </w:r>
      <w:r w:rsidR="00D80F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1ACDE8" w14:textId="41F0AE68" w:rsidR="0005110C" w:rsidRPr="00865913" w:rsidRDefault="0005110C" w:rsidP="008659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5110C" w:rsidRPr="00865913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A8FEB" w14:textId="77777777" w:rsidR="00FA5FC2" w:rsidRDefault="00FA5FC2" w:rsidP="003A21D6">
      <w:r>
        <w:separator/>
      </w:r>
    </w:p>
  </w:endnote>
  <w:endnote w:type="continuationSeparator" w:id="0">
    <w:p w14:paraId="2F5CE827" w14:textId="77777777" w:rsidR="00FA5FC2" w:rsidRDefault="00FA5FC2" w:rsidP="003A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CCDC6" w14:textId="77777777" w:rsidR="00FA5FC2" w:rsidRDefault="00FA5FC2" w:rsidP="003A21D6">
      <w:r>
        <w:separator/>
      </w:r>
    </w:p>
  </w:footnote>
  <w:footnote w:type="continuationSeparator" w:id="0">
    <w:p w14:paraId="4D6FCFFD" w14:textId="77777777" w:rsidR="00FA5FC2" w:rsidRDefault="00FA5FC2" w:rsidP="003A2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wNbawNLM0MzQ0NLVU0lEKTi0uzszPAykwrAUA/IjyliwAAAA="/>
  </w:docVars>
  <w:rsids>
    <w:rsidRoot w:val="00BB311A"/>
    <w:rsid w:val="00011BD2"/>
    <w:rsid w:val="0005110C"/>
    <w:rsid w:val="00052312"/>
    <w:rsid w:val="00140B25"/>
    <w:rsid w:val="00181853"/>
    <w:rsid w:val="001B487A"/>
    <w:rsid w:val="001C6922"/>
    <w:rsid w:val="00200CA6"/>
    <w:rsid w:val="00216B81"/>
    <w:rsid w:val="0022689B"/>
    <w:rsid w:val="002601C7"/>
    <w:rsid w:val="002674DF"/>
    <w:rsid w:val="002B3601"/>
    <w:rsid w:val="002C3F64"/>
    <w:rsid w:val="002F273F"/>
    <w:rsid w:val="003A21D6"/>
    <w:rsid w:val="003C7889"/>
    <w:rsid w:val="00421CA0"/>
    <w:rsid w:val="00475351"/>
    <w:rsid w:val="0055198E"/>
    <w:rsid w:val="005A1DE7"/>
    <w:rsid w:val="005F7BD7"/>
    <w:rsid w:val="00645232"/>
    <w:rsid w:val="006757E8"/>
    <w:rsid w:val="006B101B"/>
    <w:rsid w:val="006D0826"/>
    <w:rsid w:val="00756149"/>
    <w:rsid w:val="00786906"/>
    <w:rsid w:val="00865913"/>
    <w:rsid w:val="008B5170"/>
    <w:rsid w:val="008E1E68"/>
    <w:rsid w:val="008E74AC"/>
    <w:rsid w:val="008F6F20"/>
    <w:rsid w:val="0090298E"/>
    <w:rsid w:val="0090519A"/>
    <w:rsid w:val="009338C2"/>
    <w:rsid w:val="009360B9"/>
    <w:rsid w:val="00972757"/>
    <w:rsid w:val="00983D94"/>
    <w:rsid w:val="009A09B2"/>
    <w:rsid w:val="009C1FCA"/>
    <w:rsid w:val="009E52B8"/>
    <w:rsid w:val="00AD2494"/>
    <w:rsid w:val="00B31D74"/>
    <w:rsid w:val="00BB0203"/>
    <w:rsid w:val="00BB2241"/>
    <w:rsid w:val="00BB311A"/>
    <w:rsid w:val="00C22A30"/>
    <w:rsid w:val="00C44628"/>
    <w:rsid w:val="00C62CA5"/>
    <w:rsid w:val="00C802B7"/>
    <w:rsid w:val="00CA30D5"/>
    <w:rsid w:val="00CD1B2F"/>
    <w:rsid w:val="00CF1F09"/>
    <w:rsid w:val="00D2545C"/>
    <w:rsid w:val="00D60DAA"/>
    <w:rsid w:val="00D727E8"/>
    <w:rsid w:val="00D80F49"/>
    <w:rsid w:val="00D85FAB"/>
    <w:rsid w:val="00E564C3"/>
    <w:rsid w:val="00E85388"/>
    <w:rsid w:val="00ED748A"/>
    <w:rsid w:val="00F17C2A"/>
    <w:rsid w:val="00F20FD2"/>
    <w:rsid w:val="00FA5FC2"/>
    <w:rsid w:val="00FA6F27"/>
    <w:rsid w:val="00FF1257"/>
    <w:rsid w:val="05D5292A"/>
    <w:rsid w:val="207A4328"/>
    <w:rsid w:val="69F473FC"/>
    <w:rsid w:val="7BEB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1E2FF"/>
  <w15:docId w15:val="{A561FAA1-21DE-4B76-BB50-3B098C61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8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105</Words>
  <Characters>600</Characters>
  <Application>Microsoft Office Word</Application>
  <DocSecurity>0</DocSecurity>
  <Lines>5</Lines>
  <Paragraphs>1</Paragraphs>
  <ScaleCrop>false</ScaleCrop>
  <Company>Hunan Uni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李素芳</dc:creator>
  <cp:lastModifiedBy>Microsoft Office User</cp:lastModifiedBy>
  <cp:revision>14</cp:revision>
  <dcterms:created xsi:type="dcterms:W3CDTF">2020-03-23T09:01:00Z</dcterms:created>
  <dcterms:modified xsi:type="dcterms:W3CDTF">2022-07-12T03:16:00Z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