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4E76" w:rsidRPr="00434E76" w:rsidRDefault="00434E76" w:rsidP="00151553">
      <w:pPr>
        <w:pStyle w:val="Title"/>
      </w:pPr>
      <w:r w:rsidRPr="00434E76">
        <w:t>Consumption of acetaminophen during pregnancy: a survey on knowledge, attitudes and practices of Lebanese women</w:t>
      </w:r>
    </w:p>
    <w:p w:rsidR="00434E76" w:rsidRPr="00434E76" w:rsidRDefault="00434E76" w:rsidP="00434E76"/>
    <w:p w:rsidR="00434E76" w:rsidRPr="00434E76" w:rsidRDefault="00434E76" w:rsidP="00434E76"/>
    <w:p w:rsidR="00434E76" w:rsidRPr="00434E76" w:rsidRDefault="00434E76" w:rsidP="00434E76">
      <w:pPr>
        <w:rPr>
          <w:b/>
          <w:bCs/>
        </w:rPr>
      </w:pPr>
    </w:p>
    <w:p w:rsidR="00434E76" w:rsidRPr="00151553" w:rsidRDefault="003134D9" w:rsidP="00434E76">
      <w:pPr>
        <w:pStyle w:val="Title1"/>
        <w:rPr>
          <w:rFonts w:asciiTheme="majorBidi" w:hAnsiTheme="majorBidi" w:cstheme="majorBidi"/>
        </w:rPr>
      </w:pPr>
      <w:bookmarkStart w:id="0" w:name="_GoBack"/>
      <w:bookmarkEnd w:id="0"/>
      <w:r>
        <w:rPr>
          <w:rFonts w:asciiTheme="majorBidi" w:hAnsiTheme="majorBidi" w:cstheme="majorBidi"/>
        </w:rPr>
        <w:t>Online Resource</w:t>
      </w:r>
    </w:p>
    <w:p w:rsidR="00434E76" w:rsidRDefault="00434E76" w:rsidP="00434E76">
      <w:pPr>
        <w:pStyle w:val="Title1"/>
      </w:pPr>
    </w:p>
    <w:p w:rsidR="003B1CE9" w:rsidRPr="003B1CE9" w:rsidRDefault="003B1CE9" w:rsidP="003B1CE9">
      <w:pPr>
        <w:pStyle w:val="heading2"/>
        <w:jc w:val="center"/>
        <w:rPr>
          <w:rFonts w:asciiTheme="majorBidi" w:eastAsia="Calibri" w:hAnsiTheme="majorBidi" w:cstheme="majorBidi"/>
          <w:szCs w:val="24"/>
          <w:lang w:eastAsia="en-US"/>
        </w:rPr>
      </w:pPr>
      <w:r w:rsidRPr="003B1CE9">
        <w:rPr>
          <w:rFonts w:asciiTheme="majorBidi" w:eastAsia="Calibri" w:hAnsiTheme="majorBidi" w:cstheme="majorBidi"/>
          <w:szCs w:val="24"/>
          <w:lang w:eastAsia="en-US"/>
        </w:rPr>
        <w:t>Sample size</w:t>
      </w:r>
    </w:p>
    <w:p w:rsidR="003B1CE9" w:rsidRPr="00CE7BDA" w:rsidRDefault="003B1CE9" w:rsidP="003B1CE9">
      <w:pPr>
        <w:overflowPunct/>
        <w:autoSpaceDE/>
        <w:autoSpaceDN/>
        <w:adjustRightInd/>
        <w:spacing w:after="160"/>
        <w:jc w:val="both"/>
        <w:textAlignment w:val="auto"/>
        <w:rPr>
          <w:rFonts w:asciiTheme="majorBidi" w:eastAsia="Calibri" w:hAnsiTheme="majorBidi" w:cstheme="majorBidi"/>
          <w:szCs w:val="24"/>
          <w:lang w:eastAsia="en-US"/>
        </w:rPr>
      </w:pPr>
      <w:r w:rsidRPr="00CE7BDA">
        <w:rPr>
          <w:rFonts w:asciiTheme="majorBidi" w:eastAsia="Calibri" w:hAnsiTheme="majorBidi" w:cstheme="majorBidi"/>
          <w:szCs w:val="24"/>
          <w:lang w:eastAsia="en-US"/>
        </w:rPr>
        <w:tab/>
        <w:t xml:space="preserve">The required sample size was calculated using Epi Info™ version 7.2. Relevant studies have shown that about 72.9% of Lebanese women consumed APAP during pregnancy </w:t>
      </w:r>
      <w:r w:rsidRPr="00CE7BDA">
        <w:rPr>
          <w:rFonts w:asciiTheme="majorBidi" w:eastAsia="MS Mincho" w:hAnsiTheme="majorBidi" w:cstheme="majorBidi"/>
          <w:szCs w:val="24"/>
          <w:lang w:val="fr-FR" w:eastAsia="en-US"/>
        </w:rPr>
        <w:fldChar w:fldCharType="begin"/>
      </w:r>
      <w:r w:rsidRPr="00CE7BDA">
        <w:rPr>
          <w:rFonts w:asciiTheme="majorBidi" w:eastAsia="MS Mincho" w:hAnsiTheme="majorBidi" w:cstheme="majorBidi"/>
          <w:szCs w:val="24"/>
          <w:lang w:eastAsia="en-US"/>
        </w:rPr>
        <w:instrText xml:space="preserve"> ADDIN ZOTERO_ITEM CSL_CITATION {"citationID":"XjUFF2W7","properties":{"formattedCitation":"(Rachidi et al. 2013)","plainCitation":"(Rachidi et al. 2013)","noteIndex":0},"citationItems":[{"id":386,"uris":["http://zotero.org/users/8904680/items/V7SGPSXB"],"uri":["http://zotero.org/users/8904680/items/V7SGPSXB"],"itemData":{"id":386,"type":"article","abstract":"Background: The harmful effects of medication and licit substance use during pregnancy may potentially constitute a major public health concern. Our study aims to assess risky exposure of Lebanese pregnant women to drugs, tobacco, caffeine, and alcohol, and to determine their effect on postnatal outcomes.\nMethods: Women at term were addressed after delivery in five university hospitals of Beirut and Mount Lebanon between February and June 2012. A standardized questionnaire was administered to them. Moreover, medical files of both mothers and their respective newborns were checked to confirm information given by mothers, and to assess the health outcome of the babies.\nResults: Among the interviewed 350 women, active and passive smoking of tobacco (cigarette or water pipe), and consumption of category C, D, and X drugs were common during pregnancy in Lebanon; they were shown to negatively affect the neonatal outcome in multivariate analyses: they significantly decreased Apgar scores and increased the risk of underweight and medical complications of babies (P , 0.05).\nConclusion: Our study demonstrated that Lebanese women were exposed during pregnancy to multiple medications and licit substances that affected the neonates’ health. Our findings have implications for clinical obstetric practice and prevention programs in Lebanon. Efforts should be made to decrease exposure to harmful substances during pregnancy.","source":"ResearchGate","title":"DHPS-44525-risky-exposures-during-pregnancy--a-pilot-study-from-lebanes 051413","author":[{"family":"Rachidi","given":"Samar"},{"family":"Awada","given":"Sanaa"},{"family":"Al-Hajje","given":"Amal"},{"family":"Bawab","given":"Wafaa"},{"family":"Zein","given":"Salam"},{"family":"Saleh","given":"Nadine"},{"family":"Salameh","given":"Pascale"}],"issued":{"date-parts":[["2013",6,1]]}}}],"schema":"https://github.com/citation-style-language/schema/raw/master/csl-citation.json"} </w:instrText>
      </w:r>
      <w:r w:rsidRPr="00CE7BDA">
        <w:rPr>
          <w:rFonts w:asciiTheme="majorBidi" w:eastAsia="MS Mincho" w:hAnsiTheme="majorBidi" w:cstheme="majorBidi"/>
          <w:szCs w:val="24"/>
          <w:lang w:val="fr-FR" w:eastAsia="en-US"/>
        </w:rPr>
        <w:fldChar w:fldCharType="separate"/>
      </w:r>
      <w:r w:rsidRPr="00CE7BDA">
        <w:rPr>
          <w:rFonts w:asciiTheme="majorBidi" w:eastAsia="Calibri" w:hAnsiTheme="majorBidi" w:cstheme="majorBidi"/>
          <w:szCs w:val="24"/>
        </w:rPr>
        <w:t>(Rachidi et al. 2013)</w:t>
      </w:r>
      <w:r w:rsidRPr="00CE7BDA">
        <w:rPr>
          <w:rFonts w:asciiTheme="majorBidi" w:eastAsia="MS Mincho" w:hAnsiTheme="majorBidi" w:cstheme="majorBidi"/>
          <w:szCs w:val="24"/>
          <w:lang w:val="fr-FR" w:eastAsia="en-US"/>
        </w:rPr>
        <w:fldChar w:fldCharType="end"/>
      </w:r>
      <w:r w:rsidRPr="00CE7BDA">
        <w:rPr>
          <w:rFonts w:asciiTheme="majorBidi" w:eastAsia="Calibri" w:hAnsiTheme="majorBidi" w:cstheme="majorBidi"/>
          <w:szCs w:val="24"/>
          <w:lang w:eastAsia="en-US"/>
        </w:rPr>
        <w:t xml:space="preserve">, 45% of the Lebanese pregnant women had a good overall knowledge about APAP use </w:t>
      </w:r>
      <w:r w:rsidRPr="00CE7BDA">
        <w:rPr>
          <w:rFonts w:asciiTheme="majorBidi" w:eastAsia="MS Mincho" w:hAnsiTheme="majorBidi" w:cstheme="majorBidi"/>
          <w:szCs w:val="24"/>
          <w:lang w:val="fr-FR" w:eastAsia="en-US"/>
        </w:rPr>
        <w:fldChar w:fldCharType="begin"/>
      </w:r>
      <w:r w:rsidRPr="00CE7BDA">
        <w:rPr>
          <w:rFonts w:asciiTheme="majorBidi" w:eastAsia="MS Mincho" w:hAnsiTheme="majorBidi" w:cstheme="majorBidi"/>
          <w:szCs w:val="24"/>
          <w:lang w:eastAsia="en-US"/>
        </w:rPr>
        <w:instrText xml:space="preserve"> ADDIN ZOTERO_ITEM CSL_CITATION {"citationID":"ZnIy9Qbv","properties":{"formattedCitation":"(Ramia et al. 2017)","plainCitation":"(Ramia et al. 2017)","noteIndex":0},"citationItems":[{"id":384,"uris":["http://zotero.org/users/8904680/items/79Y9ZS49"],"uri":["http://zotero.org/users/8904680/items/79Y9ZS49"],"itemData":{"id":384,"type":"article-journal","abstract":"Background Patients' knowledge of their medications play a pivotal role in their disease management. Objective Assess the knowledge and practices of Lebanese outpatients regarding their own medication use and risks. Setting Four hundred and sixty community pharmacies across Lebanon. Method It was a cross-sectional study performed from March through May 2016 among Lebanese outpatients, using a self-administered questionnaire. Descriptive statistics were used to calculate all participants' responses. The association between categorical variables were evaluated using Pearson χ2 test or Fisher's exact test. Binary logistic regressions were performed to identify factors associated with medication patients' knowledge and interest. Main outcome measure Ability of the patients to identify own medications' elements: name, strength, dosage regimen, indication, and adverse drug reactions. Results Our study comprised 921 patients, with around 16% taking ≥5 medications/day. Around 56% of our patients showed sub-optimal medication knowledge. Patients' higher educational level, number of chronic diseases, and patient physician interaction were associated with higher medication knowledge. Many patients admitted not discussing their medications each time they visit their physicians (38.7%); not reading the leaflet of each medication they take (61.2%); and not regularly asking their pharmacist about the potential interactions of OTC drugs with prescribed medications (53.9%). Conclusion This study showed suboptimal medication-related knowledge, and suboptimal patient's interactions with primary care givers. Our findings serve as a platform for healthcare providers to understand patients' needs and educate them about medication use and risks.","container-title":"International Journal of Clinical Pharmacy","DOI":"10.1007/s11096-017-0517-4","ISSN":"2210-7711","issue":"5","journalAbbreviation":"Int J Clin Pharm","language":"eng","note":"PMID: 28756580","page":"1084-1094","source":"PubMed","title":"Assessment of patients' knowledge and practices regarding their medication use and risks in Lebanon","volume":"39","author":[{"family":"Ramia","given":"Elsy"},{"family":"Zeenny","given":"Rony M."},{"family":"Hallit","given":"Souheil"},{"family":"Salameh","given":"Pascale"},{"literal":"Order of Pharmacists Scientific Committee – Medication Safety Subcommittee"}],"issued":{"date-parts":[["2017",10]]}}}],"schema":"https://github.com/citation-style-language/schema/raw/master/csl-citation.json"} </w:instrText>
      </w:r>
      <w:r w:rsidRPr="00CE7BDA">
        <w:rPr>
          <w:rFonts w:asciiTheme="majorBidi" w:eastAsia="MS Mincho" w:hAnsiTheme="majorBidi" w:cstheme="majorBidi"/>
          <w:szCs w:val="24"/>
          <w:lang w:val="fr-FR" w:eastAsia="en-US"/>
        </w:rPr>
        <w:fldChar w:fldCharType="separate"/>
      </w:r>
      <w:r w:rsidRPr="00CE7BDA">
        <w:rPr>
          <w:rFonts w:asciiTheme="majorBidi" w:eastAsia="Calibri" w:hAnsiTheme="majorBidi" w:cstheme="majorBidi"/>
          <w:szCs w:val="24"/>
        </w:rPr>
        <w:t>(Ramia et al. 2017)</w:t>
      </w:r>
      <w:r w:rsidRPr="00CE7BDA">
        <w:rPr>
          <w:rFonts w:asciiTheme="majorBidi" w:eastAsia="MS Mincho" w:hAnsiTheme="majorBidi" w:cstheme="majorBidi"/>
          <w:szCs w:val="24"/>
          <w:lang w:val="fr-FR" w:eastAsia="en-US"/>
        </w:rPr>
        <w:fldChar w:fldCharType="end"/>
      </w:r>
      <w:r w:rsidRPr="00CE7BDA">
        <w:rPr>
          <w:rFonts w:asciiTheme="majorBidi" w:eastAsia="Calibri" w:hAnsiTheme="majorBidi" w:cstheme="majorBidi"/>
          <w:szCs w:val="24"/>
          <w:lang w:eastAsia="en-US"/>
        </w:rPr>
        <w:t xml:space="preserve">, while 80% agreed that it would be better for the fetus if they were more careful or stopped taking some drugs during pregnancy </w:t>
      </w:r>
      <w:r w:rsidRPr="00CE7BDA">
        <w:rPr>
          <w:rFonts w:asciiTheme="majorBidi" w:eastAsia="MS Mincho" w:hAnsiTheme="majorBidi" w:cstheme="majorBidi"/>
          <w:szCs w:val="24"/>
          <w:lang w:val="fr-FR" w:eastAsia="en-US"/>
        </w:rPr>
        <w:fldChar w:fldCharType="begin"/>
      </w:r>
      <w:r w:rsidRPr="00CE7BDA">
        <w:rPr>
          <w:rFonts w:asciiTheme="majorBidi" w:eastAsia="MS Mincho" w:hAnsiTheme="majorBidi" w:cstheme="majorBidi"/>
          <w:szCs w:val="24"/>
          <w:lang w:eastAsia="en-US"/>
        </w:rPr>
        <w:instrText xml:space="preserve"> ADDIN ZOTERO_ITEM CSL_CITATION {"citationID":"0jgcvbhz","properties":{"formattedCitation":"(Zaki and Albarraq 2014)","plainCitation":"(Zaki and Albarraq 2014)","noteIndex":0},"citationItems":[{"id":365,"uris":["http://zotero.org/users/8904680/items/EXP5P7AB"],"uri":["http://zotero.org/users/8904680/items/EXP5P7AB"],"itemData":{"id":365,"type":"article-journal","abstract":"Objective\nMedication use during pregnancy is a major concern for most women. The aim of the present study was to assess medication use, knowledge and beliefs about medications among pregnant women in Saudi Arabia.\n\nMethods\nMore than 760 pregnant women, attending the obstetric clinic, filled a semi-structured questionnaire. Data were collected about their sociodemographic background, medication use during pregnancy, medication/pregnancy risk awareness, sources of drug information and beliefs about medications.\n\nResults\nMost women had a positive attitude toward medications in general but they believed pregnant women should be more cautious regarding drug-use during pregnancy. A significant association was found between participants’ education and occupation, and beliefs about medications. In this context, well educated women and those working in a health-related career demonstrated more correct beliefs about medications. Women with health-related occupations were more knowledgeable about the life saving effect of drugs on unborn children. Women indicated inadequate provision of drug-related information from physician and pharmacist; they rely on medication pamphlet to get such information. The most frequently used drugs were paracetamol and vitamins (13.2%). Most pregnant women (59.2%) were able to identify drugs to-be avoided in pregnancy that agreed roughly with FDA categories with 23 hits out of 32. They indicated that newborn anomalies (6.5%) were not attributed to drug-use during pregnancy.\n\nConclusion\nDuring pregnancy, women were more conservative and skeptic toward medication, health-care professionals should be aware of such attitudes when advising pregnant women to take medication.","container-title":"Saudi Pharmaceutical Journal : SPJ","DOI":"10.1016/j.jsps.2013.09.001","ISSN":"1319-0164","issue":"5","journalAbbreviation":"Saudi Pharm J","note":"PMID: 25473330\nPMCID: PMC4246410","page":"419-428","source":"PubMed Central","title":"Use, attitudes and knowledge of medications among pregnant women: A Saudi study","title-short":"Use, attitudes and knowledge of medications among pregnant women","volume":"22","author":[{"family":"Zaki","given":"Noha M."},{"family":"Albarraq","given":"Ahmed A."}],"issued":{"date-parts":[["2014",11]]}}}],"schema":"https://github.com/citation-style-language/schema/raw/master/csl-citation.json"} </w:instrText>
      </w:r>
      <w:r w:rsidRPr="00CE7BDA">
        <w:rPr>
          <w:rFonts w:asciiTheme="majorBidi" w:eastAsia="MS Mincho" w:hAnsiTheme="majorBidi" w:cstheme="majorBidi"/>
          <w:szCs w:val="24"/>
          <w:lang w:val="fr-FR" w:eastAsia="en-US"/>
        </w:rPr>
        <w:fldChar w:fldCharType="separate"/>
      </w:r>
      <w:r w:rsidRPr="00CE7BDA">
        <w:rPr>
          <w:rFonts w:asciiTheme="majorBidi" w:eastAsia="Calibri" w:hAnsiTheme="majorBidi" w:cstheme="majorBidi"/>
          <w:szCs w:val="24"/>
        </w:rPr>
        <w:t>(Zaki and Albarraq 2014)</w:t>
      </w:r>
      <w:r w:rsidRPr="00CE7BDA">
        <w:rPr>
          <w:rFonts w:asciiTheme="majorBidi" w:eastAsia="MS Mincho" w:hAnsiTheme="majorBidi" w:cstheme="majorBidi"/>
          <w:szCs w:val="24"/>
          <w:lang w:val="fr-FR" w:eastAsia="en-US"/>
        </w:rPr>
        <w:fldChar w:fldCharType="end"/>
      </w:r>
      <w:r w:rsidRPr="00CE7BDA">
        <w:rPr>
          <w:rFonts w:asciiTheme="majorBidi" w:eastAsia="Calibri" w:hAnsiTheme="majorBidi" w:cstheme="majorBidi"/>
          <w:szCs w:val="24"/>
          <w:lang w:eastAsia="en-US"/>
        </w:rPr>
        <w:t xml:space="preserve">. A 95% confidence interval and a 5% margin of error were fixed for the sample size calculation taking into account the expected percentage that would give the highest minimum sample size (i.e. 45% by </w:t>
      </w:r>
      <w:proofErr w:type="spellStart"/>
      <w:r w:rsidRPr="00CE7BDA">
        <w:rPr>
          <w:rFonts w:asciiTheme="majorBidi" w:eastAsia="Calibri" w:hAnsiTheme="majorBidi" w:cstheme="majorBidi"/>
          <w:szCs w:val="24"/>
          <w:lang w:eastAsia="en-US"/>
        </w:rPr>
        <w:t>Ramia</w:t>
      </w:r>
      <w:proofErr w:type="spellEnd"/>
      <w:r w:rsidRPr="00CE7BDA">
        <w:rPr>
          <w:rFonts w:asciiTheme="majorBidi" w:eastAsia="Calibri" w:hAnsiTheme="majorBidi" w:cstheme="majorBidi"/>
          <w:szCs w:val="24"/>
          <w:lang w:eastAsia="en-US"/>
        </w:rPr>
        <w:t xml:space="preserve"> et al). Thus, a minimum of 380 participants were required. </w:t>
      </w:r>
    </w:p>
    <w:p w:rsidR="003B1CE9" w:rsidRDefault="003B1CE9" w:rsidP="003B1CE9"/>
    <w:p w:rsidR="003B1CE9" w:rsidRPr="003B1CE9" w:rsidRDefault="003B1CE9" w:rsidP="003B1CE9">
      <w:pPr>
        <w:pStyle w:val="heading2"/>
        <w:jc w:val="center"/>
        <w:rPr>
          <w:rFonts w:asciiTheme="majorBidi" w:eastAsia="Calibri" w:hAnsiTheme="majorBidi" w:cstheme="majorBidi"/>
          <w:szCs w:val="24"/>
          <w:lang w:eastAsia="en-US"/>
        </w:rPr>
      </w:pPr>
      <w:r w:rsidRPr="003B1CE9">
        <w:rPr>
          <w:rFonts w:asciiTheme="majorBidi" w:eastAsia="Calibri" w:hAnsiTheme="majorBidi" w:cstheme="majorBidi"/>
          <w:szCs w:val="24"/>
          <w:lang w:eastAsia="en-US"/>
        </w:rPr>
        <w:t>Study tool</w:t>
      </w:r>
    </w:p>
    <w:p w:rsidR="003B1CE9" w:rsidRDefault="003B1CE9" w:rsidP="003B1CE9">
      <w:pPr>
        <w:rPr>
          <w:rFonts w:asciiTheme="majorBidi" w:eastAsia="Calibri" w:hAnsiTheme="majorBidi" w:cstheme="majorBidi"/>
          <w:szCs w:val="24"/>
          <w:lang w:eastAsia="en-US"/>
        </w:rPr>
      </w:pPr>
      <w:r w:rsidRPr="00CE7BDA">
        <w:rPr>
          <w:rFonts w:asciiTheme="majorBidi" w:eastAsia="Calibri" w:hAnsiTheme="majorBidi" w:cstheme="majorBidi"/>
          <w:szCs w:val="24"/>
          <w:lang w:eastAsia="en-US"/>
        </w:rPr>
        <w:t xml:space="preserve">The survey questionnaire was established after reviewing the literature </w:t>
      </w:r>
      <w:r w:rsidRPr="00CE7BDA">
        <w:rPr>
          <w:rFonts w:asciiTheme="majorBidi" w:eastAsia="Calibri" w:hAnsiTheme="majorBidi" w:cstheme="majorBidi"/>
          <w:szCs w:val="24"/>
          <w:lang w:val="fr-FR" w:eastAsia="en-US"/>
        </w:rPr>
        <w:fldChar w:fldCharType="begin"/>
      </w:r>
      <w:r w:rsidRPr="00CE7BDA">
        <w:rPr>
          <w:rFonts w:asciiTheme="majorBidi" w:eastAsia="Calibri" w:hAnsiTheme="majorBidi" w:cstheme="majorBidi"/>
          <w:szCs w:val="24"/>
          <w:lang w:eastAsia="en-US"/>
        </w:rPr>
        <w:instrText xml:space="preserve"> ADDIN ZOTERO_ITEM CSL_CITATION {"citationID":"jepYHxpa","properties":{"formattedCitation":"(Brandlistuen et al. 2013; Lupattelli et al. 2014; Zaki and Albarraq 2014; Mouhieddine et al. 2015; Kontogiorgis et al. 2016; Devkota et al. 2017; Navaro et al. 2018; Amundsen et al. 2019; de Waard et al. 2019; Atmadani et al. 2020)","plainCitation":"(Brandlistuen et al. 2013; Lupattelli et al. 2014; Zaki and Albarraq 2014; Mouhieddine et al. 2015; Kontogiorgis et al. 2016; Devkota et al. 2017; Navaro et al. 2018; Amundsen et al. 2019; de Waard et al. 2019; Atmadani et al. 2020)","noteIndex":0},"citationItems":[{"id":281,"uris":["http://zotero.org/users/8904680/items/KKQVDFM3"],"uri":["http://zotero.org/users/8904680/items/KKQVDFM3"],"itemData":{"id":281,"type":"article-journal","abstract":"OBJECTIVES: To examine risk perception, beliefs about migraine medications and medical adherence among pregnant and breastfeeding women with migraine.\nDESIGN AND SETTING: Cross-sectional study conducted in Norway from October 2013 to February 2014. Data were collected via an anonymous, electronic questionnaire.\nPARTICIPANTS: Women with migraine, either pregnant or having delivered within the previous 18 months.\nMAIN OUTCOMES: Women's perception of teratogenic risk (numeric rating scale 0-10) was obtained for 14 different drugs/substances, including medications commonly used in the acute treatment of migraine. Women's perspectives on migraine drug therapy were assessed by 10 statements from the Beliefs about Medicines Questionnaire (BMQ-Specific) and six pregnancy/breastfeeding-specific statements. Adherence to migraine treatment during pregnancy and breastfeeding period was assessed by maternal self-report.\nRESULTS: The study population included 401 women with migraine, of which 140 were pregnant and 261 were new mothers. More than 70% of the women reported use of migraine medications during pregnancy. Still, the majority severely overestimated the risk associated with migraine medications and were concerned about using medications to manage their migraine during pregnancy and breastfeeding. Almost 9 out of 10 women had at some point deliberately avoided using migraine medications during their pregnancy. Women reporting use of migraine medications, however, were more positive and overestimated to a lesser extent the risks of using such medications in pregnancy compared with their counterparts.\nCONCLUSIONS: Women with migraine severely overestimated the risk associated with migraine pharmacotherapy in pregnancy. The majority of women were concerned about use of migraine medications during pregnancy and breastfeeding and reported non-adherence to needed treatment. More attention should be focused on women's beliefs and concerns regarding migraine pharmacotherapy during pregnancy and breastfeeding in order to improve management of disease, reduce unfounded concerns and enhance adherence to needed treatment.","container-title":"BMJ open","DOI":"10.1136/bmjopen-2018-026690","ISSN":"2044-6055","issue":"2","journalAbbreviation":"BMJ Open","language":"eng","note":"PMID: 30819714\nPMCID: PMC6398664","page":"e026690","source":"PubMed","title":"Risk perception, beliefs about medicines and medical adherence among pregnant and breastfeeding women with migraine: findings from a cross-sectional study in Norway","title-short":"Risk perception, beliefs about medicines and medical adherence among pregnant and breastfeeding women with migraine","volume":"9","author":[{"family":"Amundsen","given":"Siri"},{"family":"Øvrebø","given":"Torunn Gudmestad"},{"family":"Amble","given":"Netta Marie Skretteberg"},{"family":"Poole","given":"Anne Christine"},{"family":"Nordeng","given":"Hedvig"}],"issued":{"date-parts":[["2019"]],"season":"27"}}},{"id":529,"uris":["http://zotero.org/users/8904680/items/ZW8F9I2V"],"uri":["http://zotero.org/users/8904680/items/ZW8F9I2V"],"itemData":{"id":529,"type":"article-journal","abstract":"Self-medication with over-the-counter (OTC) drugs is an important public health concern, especially in the vulnerable population of pregnant women due to potential risks to both the mother and fetus. Few studies have studied how factors, such as knowledge, affect self-medication. This study investigated self-medication and its associated factors among pregnant women attending healthcare services in Malang, Indonesia.","container-title":"BMC Pregnancy and Childbirth","DOI":"10.1186/s12884-020-2736-2","ISSN":"1471-2393","issue":"1","journalAbbreviation":"BMC Pregnancy and Childbirth","page":"42","source":"BioMed Central","title":"Self-medication and knowledge among pregnant women attending primary healthcare services in Malang, Indonesia: a cross-sectional study","title-short":"Self-medication and knowledge among pregnant women attending primary healthcare services in Malang, Indonesia","volume":"20","author":[{"family":"Atmadani","given":"Rizka Novia"},{"family":"Nkoka","given":"Owen"},{"family":"Yunita","given":"Sendi Lia"},{"family":"Chen","given":"Yi-Hua"}],"issued":{"date-parts":[["2020",1,16]]}}},{"id":266,"uris":["http://zotero.org/users/8904680/items/JESBM9HB"],"uri":["http://zotero.org/users/8904680/items/JESBM9HB"],"itemData":{"id":266,"type":"article-journal","abstract":"BACKGROUND: Paracetamol is used extensively during pregnancy, but studies regarding the potential neurodevelopmental sequelae of foetal paracetamol exposure are lacking. Method Between 1999 and 2008 all pregnant Norwegian women were eligible for recruitment into the prospective Norwegian Mother and Child Cohort Study. The mothers were asked to report on their use of paracetamol at gestational weeks 17 and 30 and at 6 months postpartum. We used data on 48 631 children whose mothers returned the 3-year follow-up questionnaire by May 2011. Within this sample were 2919 same-sex sibling pairs who were used to adjust for familial and genetic factors. We modelled psychomotor development (communication, fine and gross motor development), externalizing and internalizing behaviour problems, and temperament (emotionality, activity, sociability and shyness) based on prenatal paracetamol exposure using generalized linear regression, adjusting for a number of factors, including febrile illness, infections and co-medication use during pregnancy.\nRESULTS: The sibling-control analysis revealed that children exposed to prenatal paracetamol for more than 28 days had poorer gross motor development [β 0.24, 95% confidence interval (CI) 0.12-0.51], communication (β 0.20, 95% CI 0.01-0.39), externalizing behaviour (β 0.28, 95% CI 0.15-0.42), internalizing behaviour (β 0.14, 95% CI 0.01-0.28), and higher activity levels (β 0.24, 95% CI 0.11-0.38). Children exposed prenatally to short-term use of paracetamol (1-27 days) also had poorer gross motor outcomes (β 0.10, 95% CI 0.02-0.19), but the effects were smaller than with long-term use. Ibuprofen exposure was not associated with neurodevelopmental outcomes.\nCONCLUSION: Children exposed to long-term use of paracetamol during pregnancy had substantially adverse developmental outcomes at 3 years of age.","container-title":"International Journal of Epidemiology","DOI":"10.1093/ije/dyt183","ISSN":"1464-3685","issue":"6","journalAbbreviation":"Int J Epidemiol","language":"eng","note":"PMID: 24163279\nPMCID: PMC3887567","page":"1702-1713","source":"PubMed","title":"Prenatal paracetamol exposure and child neurodevelopment: a sibling-controlled cohort study","title-short":"Prenatal paracetamol exposure and child neurodevelopment","volume":"42","author":[{"family":"Brandlistuen","given":"Ragnhild Eek"},{"family":"Ystrom","given":"Eivind"},{"family":"Nulman","given":"Irena"},{"family":"Koren","given":"Gideon"},{"family":"Nordeng","given":"Hedvig"}],"issued":{"date-parts":[["2013",12]]}}},{"id":227,"uris":["http://zotero.org/users/8904680/items/GZZWPWBH"],"uri":["http://zotero.org/users/8904680/items/GZZWPWBH"],"itemData":{"id":227,"type":"article-journal","abstract":"Background:Medication use during pregnancy and lactation can be unavoidable, but knowledge on safety for the fetus or breastfed infant is limited among patients and healthcare providers.Research aim:This study aimed to determine (a) the prevalence of medication use in pregnant and lactating women in a tertiary academic center, (b) the types and safety of these medicines, and (c) the influence of medication use on initiation of breastfeeding.Methods:This study used a cross-sectional survey among women (N = 292) who underwent high-risk or low-risk deliveries. Data about their use of prescribed, over-the-counter, and homeopathic medication during pregnancy were obtained through a structured interview, followed by a questionnaire during lactation. Safety was classified according to the risk classification system from the Dutch Teratological Information Service.Results:Overall, 95.5% of participants used medication. One third of participants used at least one medicine with an unknown risk for the fetus. Teratogenic medication was used by 6.5% of participants, whereas 29.5% used medication with a (suspected) pharmacological effect on the fetus. Lactation was initiated by 258 (88.7%) participants, of which 84.2% used medication while breastfeeding. In 3.8% of participants, this medication was classified unsafe, but none used medication with an unknown risk. One-third of the nonlactating participants decided not to initiate breastfeeding because of medication use. In 70% of participants, this decision was appropriate.Conclusion:The prevalence of overall use of medication in Dutch pregnant and lactating women admitted to a tertiary center was high. There is an urgent need for pharmacometric studies for determination of the safe use of the most frequently used medicines during pregnancy or lactation.","container-title":"Journal of Human Lactation","DOI":"10.1177/0890334418775630","ISSN":"0890-3344","issue":"1","journalAbbreviation":"J Hum Lact","language":"en","page":"154-164","source":"SAGE Journals","title":"Medication Use During Pregnancy and Lactation in a Dutch Population","volume":"35","author":[{"family":"Waard","given":"Marita","non-dropping-particle":"de"},{"family":"Blomjous","given":"Birgit S."},{"family":"Hol","given":"Marinka L. F."},{"family":"Sie","given":"Sintha D."},{"family":"Corpeleijn","given":"Willemijn E."},{"family":"Goudoever","given":"Johannes (Hans) B.","non-dropping-particle":"van"},{"family":"Weissenbruch","given":"Mirjam M.","non-dropping-particle":"van"}],"issued":{"date-parts":[["2019",2,1]]}}},{"id":368,"uris":["http://zotero.org/users/8904680/items/2SCWBHW4"],"uri":["http://zotero.org/users/8904680/items/2SCWBHW4"],"itemData":{"id":368,"type":"article-journal","abstract":"Counseling has a significant role in improving knowledge, attitude and practice outcomes of pregnant women towards medication use. Proper counseling thus could be beneficial to prevent any medication related misadventure during pregnancy. The present study was aimed to assess the knowledge, attitude and practice (KAP) of pregnant women towards their medications, to provide counseling regarding their understanding of medication use during pregnancy and evaluate the impacts of such counseling.","container-title":"BMC Pregnancy and Childbirth","DOI":"10.1186/s12884-017-1316-6","ISSN":"1471-2393","issue":"1","journalAbbreviation":"BMC Pregnancy and Childbirth","page":"131","source":"BioMed Central","title":"Impacts of counseling on knowledge, attitude and practice of medication use during pregnancy","volume":"17","author":[{"family":"Devkota","given":"Ramesh"},{"family":"Khan","given":"G. M."},{"family":"Alam","given":"Kadir"},{"family":"Sapkota","given":"Binaya"},{"family":"Devkota","given":"Deepa"}],"issued":{"date-parts":[["2017",4,27]]}}},{"id":526,"uris":["http://zotero.org/users/8904680/items/3RFR82NJ"],"uri":["http://zotero.org/users/8904680/items/3RFR82NJ"],"itemData":{"id":526,"type":"article-journal","abstract":"INTRODUCTION: Non-prescription over-the-counter (OTC) drugs are widely used by patients to control aches, pain, and fever. One of the most frequently used OTC medications worldwide is paracetamol (acetaminophen). The aim of the present study was to fill the current knowledge gap regarding the beliefs and attitudes of people in Greece associated with the use of paracetamol during the years of financial crisis.\nMETHODS: The present study employed a sample of individuals visiting community pharmacies in the second largest city of Greece, Thessaloniki. All participants anonymously answered a questionnaire regarding their beliefs and characteristics of paracetamol consumption. Their answers were then statistically analyzed.\nRESULTS: The generic paracetamol compound was shown to be more well known than the original. A significant percentage of participants, ranging between 9.9% and 33.7%, falsely believed that certain medications [mainly non-steroidal anti-inflammatory drugs (NSAIDs)] contained paracetamol. Participants' age, level of education, and gender were shown to be predictive of this false belief. Additionally, 11.1% of participants believed that the maximum allowed daily dose of paracetamol was higher than the correct one. Better educated individuals were less likely to consume alcohol in parallel with paracetamol (odd ratio 0.230, 95% confidence interval 0.058-0.916, P = 0.037).\nCONCLUSION: Paracetamol is commonly used, both in its original and generic forms. However, a significant number of individuals confuse it with NSAIDs. Age, level of education, and gender are important determinants of the characteristics of paracetamol consumption. It seems that patients prefer to take paracetamol on their own decision during the financial crisis.","container-title":"Pain and Therapy","DOI":"10.1007/s40122-015-0042-x","ISSN":"2193-8237","issue":"1","journalAbbreviation":"Pain Ther","language":"eng","note":"PMID: 26696539\nPMCID: PMC4912963","page":"19-28","source":"PubMed","title":"Estimating Consumers' Knowledge and Attitudes Towards Over-The-Counter Analgesic Medication in Greece in the Years of Financial Crisis: The Case of Paracetamol","title-short":"Estimating Consumers' Knowledge and Attitudes Towards Over-The-Counter Analgesic Medication in Greece in the Years of Financial Crisis","volume":"5","author":[{"family":"Kontogiorgis","given":"Christos"},{"family":"Nena","given":"Evangelia"},{"family":"Berberoglou","given":"Eleftherios"},{"family":"Moschoni","given":"Kyriaki"},{"family":"Polyzois","given":"Spyros"},{"family":"Tselemponis","given":"Athanasios"},{"family":"Constantinidis","given":"Theodoros C."}],"issued":{"date-parts":[["2016",6]]}}},{"id":213,"uris":["http://zotero.org/users/8904680/items/TP5UGSRK"],"uri":["http://zotero.org/users/8904680/items/TP5UGSRK"],"itemData":{"id":213,"type":"article-journal","abstract":"Objectives\nIntercountry comparability between studies on medication use in pregnancy is difficult due to dissimilarities in study design and methodology. This study aimed to examine patterns and factors associated with medications use in pregnancy from a multinational perspective, with emphasis on type of medication utilised and indication for use.\n\nDesign\nCross-sectional, web-based study performed within the period from 1 October 2011 to 29 February 2012. Uniform collection of drug utilisation data was performed via an anonymous online questionnaire.\n\nSetting\nMultinational study in Europe (Western, Northern and Eastern), North and South America and Australia.\n\nParticipants\nPregnant women and new mothers with children less than 1 year of age.\n\nPrimary and secondary outcome measures\nPrevalence of and factors associated with medication use for acute/short-term illnesses, chronic/long-term disorders and over-the-counter (OTC) medication use.\n\nResults\nThe study population included 9459 women, of which 81.2% reported use of at least one medication (prescribed or OTC) during pregnancy. Overall, OTC medication use occurred in 66.9% of the pregnancies, whereas 68.4% and 17% of women reported use of at least one medication for treatment of acute/short-term illnesses and chronic/long-term disorders, respectively. The extent of self-reported medicated illnesses and types of medication used by indication varied across regions, especially in relation to urinary tract infections, depression or OTC nasal sprays. Women with higher age or lower educational level, housewives or women with an unplanned pregnancy were those most often reporting use of medication for chronic/long-term disorders. Immigrant women in Western (adjusted OR (aOR): 0.55, 95% CI 0.34 to 0.87) and Northern Europe (aOR: 0.50, 95% CI 0.31 to 0.83) were less likely to report use of medication for chronic/long-term disorders during pregnancy than non-immigrants.\n\nConclusions\nIn this study, the majority of women in Europe, North America, South America and Australia used at least one medication during pregnancy. There was a substantial inter-region variability in the types of medication used.","container-title":"BMJ Open","DOI":"10.1136/bmjopen-2013-004365","ISSN":"2044-6055","issue":"2","journalAbbreviation":"BMJ Open","note":"PMID: 24534260\nPMCID: PMC3927801","source":"PubMed Central","title":"Medication use in pregnancy: a cross-sectional, multinational web-based study","title-short":"Medication use in pregnancy","URL":"https://www.ncbi.nlm.nih.gov/pmc/articles/PMC3927801/","volume":"4","author":[{"family":"Lupattelli","given":"A"},{"family":"Spigset","given":"O"},{"family":"Twigg","given":"M J"},{"family":"Zagorodnikova","given":"K"},{"family":"Mårdby","given":"A C"},{"family":"Moretti","given":"M E"},{"family":"Drozd","given":"M"},{"family":"Panchaud","given":"A"},{"family":"Hämeen-Anttila","given":"K"},{"family":"Rieutord","given":"A"},{"family":"Gjergja Juraski","given":"R"},{"family":"Odalovic","given":"M"},{"family":"Kennedy","given":"D"},{"family":"Rudolf","given":"G"},{"family":"Juch","given":"H"},{"family":"Passier","given":"A"},{"family":"Björnsdóttir","given":"I"},{"family":"Nordeng","given":"H"}],"accessed":{"date-parts":[["2020",3,23]]},"issued":{"date-parts":[["2014",2,15]]}}},{"id":523,"uris":["http://zotero.org/users/8904680/items/PNVWM7CM"],"uri":["http://zotero.org/users/8904680/items/PNVWM7CM"],"itemData":{"id":523,"type":"article-journal","abstract":"Antibiotic-resistant bacteria has become a global phenomenon, mainly due to the inappropriate use of antibiotics. There are no studies in Lebanon to assess the public's knowledge, attitudes and practices (KAP) of antibiotic usage. A cross-sectional study was carried out using a self-administered questionnaire completed by a random convenience sample of 500 people. Nearly half of the respondents (46.1%) demonstrated moderate knowledge levels, while 40.6% demonstrated moderate attitudes. Although 80.2% knew that antibiotics are anti-bacterial, 73.5% did not know that antibiotics are not anti-viral. Moreover, 68.3% of respondents reported consuming antibiotics 1-3 times per year, while 22.4% consumed antibiotics on their own accord. Approximately 66.7% realized that abusing antibiotics could lead to resistance. Participant knowledge and attitudes were significantly associated with monthly family income, educational level, place of residency, having medical insurance, working in the health sector or having a relative working in the health sector. Nation-wide awareness campaigns targeting susceptible demographics should be initiated.","container-title":"Journal of Infection and Public Health","DOI":"10.1016/j.jiph.2014.07.010","ISSN":"1876-035X","issue":"1","journalAbbreviation":"J Infect Public Health","language":"eng","note":"PMID: 25154919","page":"20-31","source":"PubMed","title":"Assessing the Lebanese population for their knowledge, attitudes and practices of antibiotic usage","volume":"8","author":[{"family":"Mouhieddine","given":"Tarek H."},{"family":"Olleik","given":"Zeinab"},{"family":"Itani","given":"Muhieddine M."},{"family":"Kawtharani","given":"Soumayah"},{"family":"Nassar","given":"Hussein"},{"family":"Hassoun","given":"Rached"},{"family":"Houmani","given":"Zeinab"},{"family":"El Zein","given":"Zeinab"},{"family":"Fakih","given":"Ramy"},{"family":"Mortada","given":"Ibrahim K."},{"family":"Mohsen","given":"Youssef"},{"family":"Kanafani","given":"Zeina"},{"family":"Tamim","given":"Hani"}],"issued":{"date-parts":[["2015",2]]}}},{"id":373,"uris":["http://zotero.org/users/8904680/items/BYCJB3BR"],"uri":["http://zotero.org/users/8904680/items/BYCJB3BR"],"itemData":{"id":373,"type":"article-journal","abstract":"The study assessed knowledge, attitudes, and medication use of a random sample of pregnant women attending outpatient Gynecology and Obstetrics clinics at randomly selected public General and Teaching hospitals in Naples, Italy. A total of 503 women participated. Those more likely to know that a pregnant woman with chronic condition must discuss whether or not to take a medication with the physician were Italian, aged 31-40 years, employed, with no history of abortion, having had a medical problem within the previous year, with a better self-perceived health status, who knew how to use medications during pregnancy, and who needed information on medications. The knowledge of the potential risk of using non-prescribed medications during pregnancy was significantly higher in employed women, who received information from physicians, who knew how to use medications during pregnancy, and who knew the possible damages related to medications use. More than half had used at least one medication. Those aged 26-35 years, Italian, non-graduated, in the third trimester, having had a medical problem within the previous year, with a risky pregnancy, and with a knowledge that women with chronic condition must discuss whether or not to take a medication with the physician were more likely to use medication. Less than half had used medication without a physician's advice. Those who were more likely to self-medicate were older, Italian, multiparous, with no history of abortion, who knew that women with chronic condition must discuss whether or not to take a medication with the physician, who did not know the potential risk of using non-prescribed medication during pregnancy, who had used prescribed medication during pregnancy, and who needed information about medications. Educational programs for women about medication use are important to increase their knowledge of the potential risks to the pregnant women and the unborn child in order to reduce self-medication.","container-title":"PloS One","DOI":"10.1371/journal.pone.0198618","ISSN":"1932-6203","issue":"6","journalAbbreviation":"PLoS ONE","language":"eng","note":"PMID: 29920515\nPMCID: PMC6007931","page":"e0198618","source":"PubMed","title":"Knowledge, attitudes, and practice regarding medication use in pregnant women in Southern Italy","volume":"13","author":[{"family":"Navaro","given":"Monica"},{"family":"Vezzosi","given":"Luigi"},{"family":"Santagati","given":"Gabriella"},{"family":"Angelillo","given":"Italo Francesco"},{"literal":"Collaborative Working Group"}],"issued":{"date-parts":[["2018"]]}}},{"id":365,"uris":["http://zotero.org/users/8904680/items/EXP5P7AB"],"uri":["http://zotero.org/users/8904680/items/EXP5P7AB"],"itemData":{"id":365,"type":"article-journal","abstract":"Objective\nMedication use during pregnancy is a major concern for most women. The aim of the present study was to assess medication use, knowledge and beliefs about medications among pregnant women in Saudi Arabia.\n\nMethods\nMore than 760 pregnant women, attending the obstetric clinic, filled a semi-structured questionnaire. Data were collected about their sociodemographic background, medication use during pregnancy, medication/pregnancy risk awareness, sources of drug information and beliefs about medications.\n\nResults\nMost women had a positive attitude toward medications in general but they believed pregnant women should be more cautious regarding drug-use during pregnancy. A significant association was found between participants’ education and occupation, and beliefs about medications. In this context, well educated women and those working in a health-related career demonstrated more correct beliefs about medications. Women with health-related occupations were more knowledgeable about the life saving effect of drugs on unborn children. Women indicated inadequate provision of drug-related information from physician and pharmacist; they rely on medication pamphlet to get such information. The most frequently used drugs were paracetamol and vitamins (13.2%). Most pregnant women (59.2%) were able to identify drugs to-be avoided in pregnancy that agreed roughly with FDA categories with 23 hits out of 32. They indicated that newborn anomalies (6.5%) were not attributed to drug-use during pregnancy.\n\nConclusion\nDuring pregnancy, women were more conservative and skeptic toward medication, health-care professionals should be aware of such attitudes when advising pregnant women to take medication.","container-title":"Saudi Pharmaceutical Journal : SPJ","DOI":"10.1016/j.jsps.2013.09.001","ISSN":"1319-0164","issue":"5","journalAbbreviation":"Saudi Pharm J","note":"PMID: 25473330\nPMCID: PMC4246410","page":"419-428","source":"PubMed Central","title":"Use, attitudes and knowledge of medications among pregnant women: A Saudi study","title-short":"Use, attitudes and knowledge of medications among pregnant women","volume":"22","author":[{"family":"Zaki","given":"Noha M."},{"family":"Albarraq","given":"Ahmed A."}],"issued":{"date-parts":[["2014",11]]}}}],"schema":"https://github.com/citation-style-language/schema/raw/master/csl-citation.json"} </w:instrText>
      </w:r>
      <w:r w:rsidRPr="00CE7BDA">
        <w:rPr>
          <w:rFonts w:asciiTheme="majorBidi" w:eastAsia="Calibri" w:hAnsiTheme="majorBidi" w:cstheme="majorBidi"/>
          <w:szCs w:val="24"/>
          <w:lang w:val="fr-FR" w:eastAsia="en-US"/>
        </w:rPr>
        <w:fldChar w:fldCharType="separate"/>
      </w:r>
      <w:r w:rsidRPr="00CE7BDA">
        <w:rPr>
          <w:rFonts w:asciiTheme="majorBidi" w:eastAsia="Calibri" w:hAnsiTheme="majorBidi" w:cstheme="majorBidi"/>
          <w:szCs w:val="24"/>
        </w:rPr>
        <w:t>(Brandlistuen et al. 2013; Lupattelli et al. 2014; Zaki and Albarraq 2014; Mouhieddine et al. 2015; Kontogiorgis et al. 2016; Devkota et al. 2017; Navaro et al. 2018; Amundsen et al. 2019; de Waard et al. 2019; Atmadani et al. 2020)</w:t>
      </w:r>
      <w:r w:rsidRPr="00CE7BDA">
        <w:rPr>
          <w:rFonts w:asciiTheme="majorBidi" w:eastAsia="Calibri" w:hAnsiTheme="majorBidi" w:cstheme="majorBidi"/>
          <w:szCs w:val="24"/>
          <w:lang w:eastAsia="en-US"/>
        </w:rPr>
        <w:fldChar w:fldCharType="end"/>
      </w:r>
      <w:r w:rsidRPr="00CE7BDA">
        <w:rPr>
          <w:rFonts w:asciiTheme="majorBidi" w:eastAsia="Calibri" w:hAnsiTheme="majorBidi" w:cstheme="majorBidi"/>
          <w:szCs w:val="24"/>
          <w:lang w:eastAsia="en-US"/>
        </w:rPr>
        <w:t xml:space="preserve"> and consulting experts’ opinion (two midwives and one gynecologist).</w:t>
      </w:r>
      <w:r>
        <w:rPr>
          <w:rFonts w:asciiTheme="majorBidi" w:eastAsia="Calibri" w:hAnsiTheme="majorBidi" w:cstheme="majorBidi"/>
          <w:szCs w:val="24"/>
          <w:lang w:eastAsia="en-US"/>
        </w:rPr>
        <w:t xml:space="preserve"> It </w:t>
      </w:r>
      <w:r w:rsidRPr="00C152C5">
        <w:rPr>
          <w:rFonts w:asciiTheme="majorBidi" w:eastAsia="Calibri" w:hAnsiTheme="majorBidi" w:cstheme="majorBidi"/>
          <w:szCs w:val="24"/>
          <w:lang w:eastAsia="en-US"/>
        </w:rPr>
        <w:t>was originally constructed in English then translated into Arabic by the main investigator. To be noted that a certified translator and another investigator compared and verified the two versions separately. Finally, both versions have been tested using a pilot study on 15 individuals and minimal changes have been made.</w:t>
      </w:r>
      <w:r>
        <w:rPr>
          <w:rFonts w:asciiTheme="majorBidi" w:eastAsia="Calibri" w:hAnsiTheme="majorBidi" w:cstheme="majorBidi"/>
          <w:szCs w:val="24"/>
          <w:lang w:eastAsia="en-US"/>
        </w:rPr>
        <w:t xml:space="preserve"> The 8 sections was: </w:t>
      </w:r>
    </w:p>
    <w:p w:rsidR="003B1CE9" w:rsidRPr="003B1CE9" w:rsidRDefault="003B1CE9" w:rsidP="003B1CE9">
      <w:pPr>
        <w:pStyle w:val="heading3"/>
        <w:jc w:val="center"/>
        <w:rPr>
          <w:rFonts w:asciiTheme="majorBidi" w:eastAsia="Calibri" w:hAnsiTheme="majorBidi" w:cstheme="majorBidi"/>
          <w:b/>
          <w:bCs/>
          <w:szCs w:val="24"/>
          <w:lang w:eastAsia="en-US"/>
        </w:rPr>
      </w:pPr>
      <w:r w:rsidRPr="003B1CE9">
        <w:rPr>
          <w:rFonts w:asciiTheme="majorBidi" w:eastAsia="Calibri" w:hAnsiTheme="majorBidi" w:cstheme="majorBidi"/>
          <w:b/>
          <w:bCs/>
          <w:szCs w:val="24"/>
          <w:lang w:eastAsia="en-US"/>
        </w:rPr>
        <w:lastRenderedPageBreak/>
        <w:t>Information concerning the pregnancy</w:t>
      </w:r>
    </w:p>
    <w:p w:rsidR="003B1CE9" w:rsidRPr="00CE7BDA" w:rsidRDefault="003B1CE9" w:rsidP="003B1CE9">
      <w:pPr>
        <w:overflowPunct/>
        <w:autoSpaceDE/>
        <w:autoSpaceDN/>
        <w:adjustRightInd/>
        <w:spacing w:after="160"/>
        <w:jc w:val="both"/>
        <w:textAlignment w:val="auto"/>
        <w:rPr>
          <w:rFonts w:asciiTheme="majorBidi" w:eastAsia="Calibri" w:hAnsiTheme="majorBidi" w:cstheme="majorBidi"/>
          <w:szCs w:val="24"/>
          <w:lang w:eastAsia="en-US"/>
        </w:rPr>
      </w:pPr>
      <w:r w:rsidRPr="00CE7BDA">
        <w:rPr>
          <w:rFonts w:asciiTheme="majorBidi" w:eastAsia="Calibri" w:hAnsiTheme="majorBidi" w:cstheme="majorBidi"/>
          <w:szCs w:val="24"/>
          <w:lang w:eastAsia="en-US"/>
        </w:rPr>
        <w:tab/>
        <w:t>This part includes the age of the participants, the previous number of pregnancies, births, and abortions as well as the complications experienced in previous pregnancies. The term of pregnancies was assessed by calculating the gestational age of the pregnancy (the date of the last menstruation and the expected date of delivery were collected for those women currently pregnant) or by asking those who delivered in the last 12 months if the baby was born before or after 9 months / 36 weeks. Multiple pregnancy (twins, triplets, etc.) was also mentioned.</w:t>
      </w:r>
    </w:p>
    <w:p w:rsidR="003B1CE9" w:rsidRPr="003B1CE9" w:rsidRDefault="003B1CE9" w:rsidP="003B1CE9">
      <w:pPr>
        <w:pStyle w:val="heading3"/>
        <w:jc w:val="center"/>
        <w:rPr>
          <w:rFonts w:asciiTheme="majorBidi" w:eastAsia="Calibri" w:hAnsiTheme="majorBidi" w:cstheme="majorBidi"/>
          <w:b/>
          <w:bCs/>
          <w:szCs w:val="24"/>
          <w:lang w:eastAsia="en-US"/>
        </w:rPr>
      </w:pPr>
      <w:r w:rsidRPr="003B1CE9">
        <w:rPr>
          <w:rFonts w:asciiTheme="majorBidi" w:eastAsia="Calibri" w:hAnsiTheme="majorBidi" w:cstheme="majorBidi"/>
          <w:b/>
          <w:bCs/>
          <w:szCs w:val="24"/>
          <w:lang w:eastAsia="en-US"/>
        </w:rPr>
        <w:t>Health problems and use of drugs during pregnancy</w:t>
      </w:r>
    </w:p>
    <w:p w:rsidR="003B1CE9" w:rsidRPr="00CE7BDA" w:rsidRDefault="003B1CE9" w:rsidP="003B1CE9">
      <w:pPr>
        <w:overflowPunct/>
        <w:autoSpaceDE/>
        <w:autoSpaceDN/>
        <w:adjustRightInd/>
        <w:spacing w:after="160"/>
        <w:jc w:val="both"/>
        <w:textAlignment w:val="auto"/>
        <w:rPr>
          <w:rFonts w:asciiTheme="majorBidi" w:eastAsia="Calibri" w:hAnsiTheme="majorBidi" w:cstheme="majorBidi"/>
          <w:szCs w:val="24"/>
          <w:lang w:eastAsia="en-US"/>
        </w:rPr>
      </w:pPr>
      <w:r w:rsidRPr="00CE7BDA">
        <w:rPr>
          <w:rFonts w:asciiTheme="majorBidi" w:eastAsia="Calibri" w:hAnsiTheme="majorBidi" w:cstheme="majorBidi"/>
          <w:szCs w:val="24"/>
          <w:lang w:eastAsia="en-US"/>
        </w:rPr>
        <w:tab/>
        <w:t xml:space="preserve">The participants were asked to specify if they had any chronic problems or complications during the last / current pregnancy, as well as to specify the drugs taken, the duration of their consumption during pregnancy and the dose used. In addition, somatic symptoms (stomach pain, back pain, headache, dizziness, etc.) and the intake of dietary supplements were assessed. </w:t>
      </w:r>
    </w:p>
    <w:p w:rsidR="003B1CE9" w:rsidRPr="003B1CE9" w:rsidRDefault="003B1CE9" w:rsidP="003B1CE9">
      <w:pPr>
        <w:pStyle w:val="heading3"/>
        <w:jc w:val="center"/>
        <w:rPr>
          <w:rFonts w:asciiTheme="majorBidi" w:eastAsia="Calibri" w:hAnsiTheme="majorBidi" w:cstheme="majorBidi"/>
          <w:b/>
          <w:bCs/>
          <w:szCs w:val="24"/>
          <w:lang w:eastAsia="en-US"/>
        </w:rPr>
      </w:pPr>
      <w:r w:rsidRPr="003B1CE9">
        <w:rPr>
          <w:rFonts w:asciiTheme="majorBidi" w:eastAsia="Calibri" w:hAnsiTheme="majorBidi" w:cstheme="majorBidi"/>
          <w:b/>
          <w:bCs/>
          <w:szCs w:val="24"/>
          <w:lang w:eastAsia="en-US"/>
        </w:rPr>
        <w:t>Consumption of APAP among participants</w:t>
      </w:r>
    </w:p>
    <w:p w:rsidR="003B1CE9" w:rsidRPr="00CE7BDA" w:rsidRDefault="003B1CE9" w:rsidP="003B1CE9">
      <w:pPr>
        <w:overflowPunct/>
        <w:autoSpaceDE/>
        <w:autoSpaceDN/>
        <w:adjustRightInd/>
        <w:spacing w:after="160"/>
        <w:jc w:val="both"/>
        <w:textAlignment w:val="auto"/>
        <w:rPr>
          <w:rFonts w:asciiTheme="majorBidi" w:eastAsia="Calibri" w:hAnsiTheme="majorBidi" w:cstheme="majorBidi"/>
          <w:szCs w:val="24"/>
          <w:lang w:eastAsia="en-US"/>
        </w:rPr>
      </w:pPr>
      <w:r w:rsidRPr="00CE7BDA">
        <w:rPr>
          <w:rFonts w:asciiTheme="majorBidi" w:eastAsia="Calibri" w:hAnsiTheme="majorBidi" w:cstheme="majorBidi"/>
          <w:szCs w:val="24"/>
          <w:lang w:eastAsia="en-US"/>
        </w:rPr>
        <w:tab/>
        <w:t xml:space="preserve">The participants were asked about any consumption of APAP during pregnancy. They had also to specify during which month(s) they used APAP, for how many days per month, its indication, the average and maximum number of tablets taken per day, the tablets dosage in milligrams, and finally, the person that prescribed the medication. </w:t>
      </w:r>
    </w:p>
    <w:p w:rsidR="003B1CE9" w:rsidRPr="003B1CE9" w:rsidRDefault="003B1CE9" w:rsidP="003B1CE9">
      <w:pPr>
        <w:pStyle w:val="heading3"/>
        <w:jc w:val="center"/>
        <w:rPr>
          <w:rFonts w:asciiTheme="majorBidi" w:eastAsia="Calibri" w:hAnsiTheme="majorBidi" w:cstheme="majorBidi"/>
          <w:b/>
          <w:bCs/>
          <w:szCs w:val="24"/>
          <w:lang w:eastAsia="en-US"/>
        </w:rPr>
      </w:pPr>
      <w:r w:rsidRPr="003B1CE9">
        <w:rPr>
          <w:rFonts w:asciiTheme="majorBidi" w:eastAsia="Calibri" w:hAnsiTheme="majorBidi" w:cstheme="majorBidi"/>
          <w:b/>
          <w:bCs/>
          <w:szCs w:val="24"/>
          <w:lang w:eastAsia="en-US"/>
        </w:rPr>
        <w:t>Women's knowledge of APAP</w:t>
      </w:r>
    </w:p>
    <w:p w:rsidR="003B1CE9" w:rsidRPr="00CE7BDA" w:rsidRDefault="003B1CE9" w:rsidP="003B1CE9">
      <w:pPr>
        <w:overflowPunct/>
        <w:autoSpaceDE/>
        <w:autoSpaceDN/>
        <w:adjustRightInd/>
        <w:spacing w:after="160"/>
        <w:jc w:val="both"/>
        <w:textAlignment w:val="auto"/>
        <w:rPr>
          <w:rFonts w:asciiTheme="majorBidi" w:eastAsia="Calibri" w:hAnsiTheme="majorBidi" w:cstheme="majorBidi"/>
          <w:szCs w:val="24"/>
          <w:lang w:eastAsia="en-US"/>
        </w:rPr>
      </w:pPr>
      <w:r w:rsidRPr="00CE7BDA">
        <w:rPr>
          <w:rFonts w:asciiTheme="majorBidi" w:eastAsia="Calibri" w:hAnsiTheme="majorBidi" w:cstheme="majorBidi"/>
          <w:szCs w:val="24"/>
          <w:lang w:eastAsia="en-US"/>
        </w:rPr>
        <w:tab/>
        <w:t xml:space="preserve">In this section, participant’s knowledge about APAP was assessed, specifically its indications, the maximum daily dose allowed for pregnant women, the potential side effects on pregnancy and newborn baby, the risk of mortality with an overdose, and the possibility of using APAP with alcohol. A knowledge score (Cronbach α = 0.686) was created using a principal component analysis (PCA). This generated score was compared to the literacy score measured by “the Brief Health Literacy Screening items” (SBSQ) scale </w:t>
      </w:r>
      <w:r w:rsidRPr="00CE7BDA">
        <w:rPr>
          <w:rFonts w:asciiTheme="majorBidi" w:eastAsia="Calibri" w:hAnsiTheme="majorBidi" w:cstheme="majorBidi"/>
          <w:szCs w:val="24"/>
          <w:lang w:eastAsia="en-US"/>
        </w:rPr>
        <w:fldChar w:fldCharType="begin"/>
      </w:r>
      <w:r w:rsidRPr="00CE7BDA">
        <w:rPr>
          <w:rFonts w:asciiTheme="majorBidi" w:eastAsia="Calibri" w:hAnsiTheme="majorBidi" w:cstheme="majorBidi"/>
          <w:szCs w:val="24"/>
          <w:lang w:eastAsia="en-US"/>
        </w:rPr>
        <w:instrText xml:space="preserve"> ADDIN ZOTERO_ITEM CSL_CITATION {"citationID":"XpgxrDur","properties":{"formattedCitation":"(Chew et al. 2004)","plainCitation":"(Chew et al. 2004)","noteIndex":0},"citationItems":[{"id":532,"uris":["http://zotero.org/users/8904680/items/KB2YRFFR"],"uri":["http://zotero.org/users/8904680/items/KB2YRFFR"],"itemData":{"id":532,"type":"article-journal","abstract":"BACKGROUND AND OBJECTIVES: No practical method for identifying patients with low heath literacy exists. We sought to develop screening questions for identifying patients with inadequate or marginal health literacy.\nMETHODS: Patients (n=332) at a VA preoperative clinic completed in-person interviews that included 16 health literacy screening questions on a 5-point Likert scale, followed by a validated health literacy measure, the Short Test of Functional Health Literacy in Adults (STOHFLA). Based on the STOFHLA, patients were classified as having either inadequate, marginal, or adequate health literacy. Each of the 16 screening questions was evaluated and compared to two comparison standards: (1) inadequate health literacy and (2) inadequate or marginal health literacy on the STOHFLA.\nRESULTS: Fifteen participants (4.5%) had inadequate health literacy and 25 (7.5%) had marginal health literacy on the STOHFLA. Three of the screening questions, \"How often do you have someone help you read hospital materials?\" \"How confident are you filling out medical forms by yourself?\" and \"How often do you have problems learning about your medical condition because of difficulty understanding written information?\" were effective in detecting inadequate health literacy (area under the receiver operating characteristic curve of 0.87, 0.80, and 0.76, respectively). These questions were weaker for identifying patients with marginal health literacy.\nCONCLUSIONS: Three questions were each effective screening tests for inadequate health literacy in this population.","container-title":"Family Medicine","ISSN":"0742-3225","issue":"8","journalAbbreviation":"Fam Med","language":"eng","note":"PMID: 15343421","page":"588-594","source":"PubMed","title":"Brief questions to identify patients with inadequate health literacy","volume":"36","author":[{"family":"Chew","given":"Lisa D."},{"family":"Bradley","given":"Katharine A."},{"family":"Boyko","given":"Edward J."}],"issued":{"date-parts":[["2004",9]]}}}],"schema":"https://github.com/citation-style-language/schema/raw/master/csl-citation.json"} </w:instrText>
      </w:r>
      <w:r w:rsidRPr="00CE7BDA">
        <w:rPr>
          <w:rFonts w:asciiTheme="majorBidi" w:eastAsia="Calibri" w:hAnsiTheme="majorBidi" w:cstheme="majorBidi"/>
          <w:szCs w:val="24"/>
          <w:lang w:eastAsia="en-US"/>
        </w:rPr>
        <w:fldChar w:fldCharType="separate"/>
      </w:r>
      <w:r w:rsidRPr="00CE7BDA">
        <w:rPr>
          <w:rFonts w:asciiTheme="majorBidi" w:eastAsia="Calibri" w:hAnsiTheme="majorBidi" w:cstheme="majorBidi"/>
          <w:szCs w:val="24"/>
        </w:rPr>
        <w:t>(Chew et al. 2004)</w:t>
      </w:r>
      <w:r w:rsidRPr="00CE7BDA">
        <w:rPr>
          <w:rFonts w:asciiTheme="majorBidi" w:eastAsia="Calibri" w:hAnsiTheme="majorBidi" w:cstheme="majorBidi"/>
          <w:szCs w:val="24"/>
          <w:lang w:eastAsia="en-US"/>
        </w:rPr>
        <w:fldChar w:fldCharType="end"/>
      </w:r>
      <w:r w:rsidRPr="00CE7BDA">
        <w:rPr>
          <w:rFonts w:asciiTheme="majorBidi" w:eastAsia="Calibri" w:hAnsiTheme="majorBidi" w:cstheme="majorBidi"/>
          <w:szCs w:val="24"/>
          <w:lang w:eastAsia="en-US"/>
        </w:rPr>
        <w:t xml:space="preserve">. To be noted that SBSQ is a self-rated health literacy scale consisting of three questions “How often do you have someone help you read hospital materials?”, “How confident are you filling out medical forms by yourself?” and “How often do you have problems learning about your </w:t>
      </w:r>
      <w:r w:rsidRPr="00CE7BDA">
        <w:rPr>
          <w:rFonts w:asciiTheme="majorBidi" w:eastAsia="Calibri" w:hAnsiTheme="majorBidi" w:cstheme="majorBidi"/>
          <w:szCs w:val="24"/>
          <w:lang w:eastAsia="en-US"/>
        </w:rPr>
        <w:lastRenderedPageBreak/>
        <w:t xml:space="preserve">medical condition because of difficulty understanding written information?”. These questions are used to detect marginal or inadequate health literacy (area under the ROC curve of 0.87, 0.80 and 0.76, respectively) </w:t>
      </w:r>
      <w:r w:rsidRPr="00CE7BDA">
        <w:rPr>
          <w:rFonts w:asciiTheme="majorBidi" w:eastAsia="Calibri" w:hAnsiTheme="majorBidi" w:cstheme="majorBidi"/>
          <w:szCs w:val="24"/>
          <w:lang w:eastAsia="en-US"/>
        </w:rPr>
        <w:fldChar w:fldCharType="begin"/>
      </w:r>
      <w:r w:rsidRPr="00CE7BDA">
        <w:rPr>
          <w:rFonts w:asciiTheme="majorBidi" w:eastAsia="Calibri" w:hAnsiTheme="majorBidi" w:cstheme="majorBidi"/>
          <w:szCs w:val="24"/>
          <w:lang w:eastAsia="en-US"/>
        </w:rPr>
        <w:instrText xml:space="preserve"> ADDIN ZOTERO_ITEM CSL_CITATION {"citationID":"OF9DMAgM","properties":{"formattedCitation":"(Chew et al. 2004)","plainCitation":"(Chew et al. 2004)","noteIndex":0},"citationItems":[{"id":532,"uris":["http://zotero.org/users/8904680/items/KB2YRFFR"],"uri":["http://zotero.org/users/8904680/items/KB2YRFFR"],"itemData":{"id":532,"type":"article-journal","abstract":"BACKGROUND AND OBJECTIVES: No practical method for identifying patients with low heath literacy exists. We sought to develop screening questions for identifying patients with inadequate or marginal health literacy.\nMETHODS: Patients (n=332) at a VA preoperative clinic completed in-person interviews that included 16 health literacy screening questions on a 5-point Likert scale, followed by a validated health literacy measure, the Short Test of Functional Health Literacy in Adults (STOHFLA). Based on the STOFHLA, patients were classified as having either inadequate, marginal, or adequate health literacy. Each of the 16 screening questions was evaluated and compared to two comparison standards: (1) inadequate health literacy and (2) inadequate or marginal health literacy on the STOHFLA.\nRESULTS: Fifteen participants (4.5%) had inadequate health literacy and 25 (7.5%) had marginal health literacy on the STOHFLA. Three of the screening questions, \"How often do you have someone help you read hospital materials?\" \"How confident are you filling out medical forms by yourself?\" and \"How often do you have problems learning about your medical condition because of difficulty understanding written information?\" were effective in detecting inadequate health literacy (area under the receiver operating characteristic curve of 0.87, 0.80, and 0.76, respectively). These questions were weaker for identifying patients with marginal health literacy.\nCONCLUSIONS: Three questions were each effective screening tests for inadequate health literacy in this population.","container-title":"Family Medicine","ISSN":"0742-3225","issue":"8","journalAbbreviation":"Fam Med","language":"eng","note":"PMID: 15343421","page":"588-594","source":"PubMed","title":"Brief questions to identify patients with inadequate health literacy","volume":"36","author":[{"family":"Chew","given":"Lisa D."},{"family":"Bradley","given":"Katharine A."},{"family":"Boyko","given":"Edward J."}],"issued":{"date-parts":[["2004",9]]}}}],"schema":"https://github.com/citation-style-language/schema/raw/master/csl-citation.json"} </w:instrText>
      </w:r>
      <w:r w:rsidRPr="00CE7BDA">
        <w:rPr>
          <w:rFonts w:asciiTheme="majorBidi" w:eastAsia="Calibri" w:hAnsiTheme="majorBidi" w:cstheme="majorBidi"/>
          <w:szCs w:val="24"/>
          <w:lang w:eastAsia="en-US"/>
        </w:rPr>
        <w:fldChar w:fldCharType="separate"/>
      </w:r>
      <w:r w:rsidRPr="00CE7BDA">
        <w:rPr>
          <w:rFonts w:asciiTheme="majorBidi" w:eastAsia="Calibri" w:hAnsiTheme="majorBidi" w:cstheme="majorBidi"/>
          <w:szCs w:val="24"/>
        </w:rPr>
        <w:t>(Chew et al. 2004)</w:t>
      </w:r>
      <w:r w:rsidRPr="00CE7BDA">
        <w:rPr>
          <w:rFonts w:asciiTheme="majorBidi" w:eastAsia="Calibri" w:hAnsiTheme="majorBidi" w:cstheme="majorBidi"/>
          <w:szCs w:val="24"/>
          <w:lang w:eastAsia="en-US"/>
        </w:rPr>
        <w:fldChar w:fldCharType="end"/>
      </w:r>
      <w:r w:rsidRPr="00CE7BDA">
        <w:rPr>
          <w:rFonts w:asciiTheme="majorBidi" w:eastAsia="Calibri" w:hAnsiTheme="majorBidi" w:cstheme="majorBidi"/>
          <w:szCs w:val="24"/>
          <w:lang w:eastAsia="en-US"/>
        </w:rPr>
        <w:t xml:space="preserve">. In addition, this scale has been validated in Lebanon </w:t>
      </w:r>
      <w:r w:rsidRPr="00CE7BDA">
        <w:rPr>
          <w:rFonts w:asciiTheme="majorBidi" w:eastAsia="Calibri" w:hAnsiTheme="majorBidi" w:cstheme="majorBidi"/>
          <w:szCs w:val="24"/>
          <w:lang w:eastAsia="en-US"/>
        </w:rPr>
        <w:fldChar w:fldCharType="begin"/>
      </w:r>
      <w:r w:rsidRPr="00CE7BDA">
        <w:rPr>
          <w:rFonts w:asciiTheme="majorBidi" w:eastAsia="Calibri" w:hAnsiTheme="majorBidi" w:cstheme="majorBidi"/>
          <w:szCs w:val="24"/>
          <w:lang w:eastAsia="en-US"/>
        </w:rPr>
        <w:instrText xml:space="preserve"> ADDIN ZOTERO_ITEM CSL_CITATION {"citationID":"ofmCEIEY","properties":{"formattedCitation":"(Fadda et al. 2018)","plainCitation":"(Fadda et al. 2018)","noteIndex":0},"citationItems":[{"id":534,"uris":["http://zotero.org/users/8904680/items/Z7CS2BHU"],"uri":["http://zotero.org/users/8904680/items/Z7CS2BHU"],"itemData":{"id":534,"type":"article-journal","abstract":"Health literacy is an important predictor of health status, health behaviours, and other health outcomes. However, research on health literacy in the Arab world is scarce and no health literacy tool has been validated to test the health literacy level of the Lebanese population so far. The aim of this study was to validate Arabic translations of three commonly used health literacy assessment tools, the S-TOFHLA, the REALM-R, and the Brief Health Literacy Screening items. The tools were linguistically and culturally adapted to the Lebanese context, and 250 face-to-face interviews were conducted in an outpatient clinic in Beirut, Lebanon, between April and June 2015. The General Self-Efficacy Scale and socio-demographic questions such as gender, age, origin, education and chronic condition were included to assess predictive validity. Reliability of the instruments was found to be low to high (Cronbach's α =0 .94 for the S-TOFHLA, Cronbach's α = 0.46 for the REALM-R). Younger and highly educated participants scored higher on the S-TOFHLA. The Brief Health Literacy Screening items were significantly correlated with age, education, self-efficacy and the S-TOFHLA, reinforcing the convergent and predictive validity of the two tools. Results indicate that the S-TOFHLA and the three screening questions are a valuable tool to measure health literacy in Lebanon and, allowing for minimal adaptations according to each country's healthcare system, in the entire Arabic-speaking area.","container-title":"Health Promotion International","DOI":"10.1093/heapro/daw079","ISSN":"1460-2245","issue":"2","journalAbbreviation":"Health Promot Int","language":"eng","note":"PMID: 27651348","page":"261-267","source":"PubMed","title":"Validation of three Arabic health literacy assessment tools in Lebanon","volume":"33","author":[{"family":"Fadda","given":"Marta"},{"family":"Kanj","given":"Mayada"},{"family":"Kabakian-Khasholian","given":"Tamar"},{"family":"Johannes Schulz","given":"Peter"}],"issued":{"date-parts":[["2018",4,1]]}}}],"schema":"https://github.com/citation-style-language/schema/raw/master/csl-citation.json"} </w:instrText>
      </w:r>
      <w:r w:rsidRPr="00CE7BDA">
        <w:rPr>
          <w:rFonts w:asciiTheme="majorBidi" w:eastAsia="Calibri" w:hAnsiTheme="majorBidi" w:cstheme="majorBidi"/>
          <w:szCs w:val="24"/>
          <w:lang w:eastAsia="en-US"/>
        </w:rPr>
        <w:fldChar w:fldCharType="separate"/>
      </w:r>
      <w:r w:rsidRPr="00CE7BDA">
        <w:rPr>
          <w:rFonts w:asciiTheme="majorBidi" w:eastAsia="Calibri" w:hAnsiTheme="majorBidi" w:cstheme="majorBidi"/>
          <w:szCs w:val="24"/>
        </w:rPr>
        <w:t>(Fadda et al. 2018)</w:t>
      </w:r>
      <w:r w:rsidRPr="00CE7BDA">
        <w:rPr>
          <w:rFonts w:asciiTheme="majorBidi" w:eastAsia="Calibri" w:hAnsiTheme="majorBidi" w:cstheme="majorBidi"/>
          <w:szCs w:val="24"/>
          <w:lang w:eastAsia="en-US"/>
        </w:rPr>
        <w:fldChar w:fldCharType="end"/>
      </w:r>
      <w:r w:rsidRPr="00CE7BDA">
        <w:rPr>
          <w:rFonts w:asciiTheme="majorBidi" w:eastAsia="Calibri" w:hAnsiTheme="majorBidi" w:cstheme="majorBidi"/>
          <w:szCs w:val="24"/>
          <w:lang w:eastAsia="en-US"/>
        </w:rPr>
        <w:t xml:space="preserve">. </w:t>
      </w:r>
      <w:r w:rsidRPr="00CE7BDA">
        <w:rPr>
          <w:rFonts w:asciiTheme="majorBidi" w:eastAsia="Calibri" w:hAnsiTheme="majorBidi" w:cstheme="majorBidi"/>
          <w:szCs w:val="24"/>
          <w:lang w:val="en" w:eastAsia="en-US"/>
        </w:rPr>
        <w:t>A score was assigned ranging from 0 (presence of reading or comprehension problems and a lack of confidence in filling out medical forms) to 4 points (absence of reading or learning problems and extreme confidence in filling out medical forms). Then, these scores were added and a 12 point scale was obtained. A higher score indicates better health literacy.</w:t>
      </w:r>
      <w:r w:rsidRPr="00CE7BDA">
        <w:rPr>
          <w:rFonts w:asciiTheme="majorBidi" w:eastAsia="Calibri" w:hAnsiTheme="majorBidi" w:cstheme="majorBidi"/>
          <w:szCs w:val="24"/>
          <w:lang w:eastAsia="en-US"/>
        </w:rPr>
        <w:tab/>
      </w:r>
    </w:p>
    <w:p w:rsidR="003B1CE9" w:rsidRPr="0064351F" w:rsidRDefault="003B1CE9" w:rsidP="0064351F">
      <w:pPr>
        <w:pStyle w:val="heading3"/>
        <w:jc w:val="center"/>
        <w:rPr>
          <w:rFonts w:asciiTheme="majorBidi" w:eastAsia="Calibri" w:hAnsiTheme="majorBidi" w:cstheme="majorBidi"/>
          <w:b/>
          <w:bCs/>
          <w:szCs w:val="24"/>
          <w:lang w:eastAsia="en-US"/>
        </w:rPr>
      </w:pPr>
      <w:r w:rsidRPr="0064351F">
        <w:rPr>
          <w:rFonts w:asciiTheme="majorBidi" w:eastAsia="Calibri" w:hAnsiTheme="majorBidi" w:cstheme="majorBidi"/>
          <w:b/>
          <w:bCs/>
          <w:szCs w:val="24"/>
          <w:lang w:eastAsia="en-US"/>
        </w:rPr>
        <w:t>Attitudes of women towards the use of APAP during pregnancy</w:t>
      </w:r>
    </w:p>
    <w:p w:rsidR="003B1CE9" w:rsidRPr="00CE7BDA" w:rsidRDefault="003B1CE9" w:rsidP="003B1CE9">
      <w:pPr>
        <w:overflowPunct/>
        <w:autoSpaceDE/>
        <w:autoSpaceDN/>
        <w:adjustRightInd/>
        <w:spacing w:after="160"/>
        <w:jc w:val="both"/>
        <w:textAlignment w:val="auto"/>
        <w:rPr>
          <w:rFonts w:asciiTheme="majorBidi" w:eastAsia="Calibri" w:hAnsiTheme="majorBidi" w:cstheme="majorBidi"/>
          <w:szCs w:val="24"/>
          <w:lang w:eastAsia="en-US"/>
        </w:rPr>
      </w:pPr>
      <w:r w:rsidRPr="00CE7BDA">
        <w:rPr>
          <w:rFonts w:asciiTheme="majorBidi" w:eastAsia="Calibri" w:hAnsiTheme="majorBidi" w:cstheme="majorBidi"/>
          <w:szCs w:val="24"/>
          <w:lang w:eastAsia="en-US"/>
        </w:rPr>
        <w:tab/>
        <w:t>The attitudes of pregnant women regarding APAP were assessed by asking women to rate the degree of their agreement or disagreement using the five item Likert scale with any statement regarding the use of APAP during pregnancy, its safety and the effects of its use on pregnancy and offspring. Women were also asked to specify from zero (Not harmful) to ten (very harmful), the degree of perceived toxicity of APAP and other substances for the fetus.</w:t>
      </w:r>
    </w:p>
    <w:p w:rsidR="003B1CE9" w:rsidRPr="0064351F" w:rsidRDefault="003B1CE9" w:rsidP="0064351F">
      <w:pPr>
        <w:pStyle w:val="heading3"/>
        <w:jc w:val="center"/>
        <w:rPr>
          <w:rFonts w:asciiTheme="majorBidi" w:eastAsia="Calibri" w:hAnsiTheme="majorBidi" w:cstheme="majorBidi"/>
          <w:b/>
          <w:bCs/>
          <w:szCs w:val="24"/>
          <w:lang w:eastAsia="en-US"/>
        </w:rPr>
      </w:pPr>
      <w:r w:rsidRPr="0064351F">
        <w:rPr>
          <w:rFonts w:asciiTheme="majorBidi" w:eastAsia="Calibri" w:hAnsiTheme="majorBidi" w:cstheme="majorBidi"/>
          <w:b/>
          <w:bCs/>
          <w:szCs w:val="24"/>
          <w:lang w:eastAsia="en-US"/>
        </w:rPr>
        <w:t>Sources of information</w:t>
      </w:r>
    </w:p>
    <w:p w:rsidR="003B1CE9" w:rsidRPr="00CE7BDA" w:rsidRDefault="003B1CE9" w:rsidP="003B1CE9">
      <w:pPr>
        <w:overflowPunct/>
        <w:autoSpaceDE/>
        <w:autoSpaceDN/>
        <w:adjustRightInd/>
        <w:spacing w:after="160"/>
        <w:jc w:val="both"/>
        <w:textAlignment w:val="auto"/>
        <w:rPr>
          <w:rFonts w:asciiTheme="majorBidi" w:eastAsia="Calibri" w:hAnsiTheme="majorBidi" w:cstheme="majorBidi"/>
          <w:szCs w:val="24"/>
          <w:lang w:eastAsia="en-US"/>
        </w:rPr>
      </w:pPr>
      <w:r w:rsidRPr="00CE7BDA">
        <w:rPr>
          <w:rFonts w:asciiTheme="majorBidi" w:eastAsia="Calibri" w:hAnsiTheme="majorBidi" w:cstheme="majorBidi"/>
          <w:szCs w:val="24"/>
          <w:lang w:eastAsia="en-US"/>
        </w:rPr>
        <w:tab/>
        <w:t>Women were asked to specify the source of their medical information (whether her physician, her family, the internet, etc.), the concordance of the received information between the different sources, their behavior in case of contradictory information, the most and the least trustworthy source. The women were also asked if they usually read the medication’s leaflet.</w:t>
      </w:r>
    </w:p>
    <w:p w:rsidR="003B1CE9" w:rsidRPr="0064351F" w:rsidRDefault="003B1CE9" w:rsidP="0064351F">
      <w:pPr>
        <w:pStyle w:val="heading3"/>
        <w:jc w:val="center"/>
        <w:rPr>
          <w:rFonts w:asciiTheme="majorBidi" w:eastAsia="Calibri" w:hAnsiTheme="majorBidi" w:cstheme="majorBidi"/>
          <w:b/>
          <w:bCs/>
          <w:szCs w:val="24"/>
          <w:lang w:eastAsia="en-US"/>
        </w:rPr>
      </w:pPr>
      <w:r w:rsidRPr="0064351F">
        <w:rPr>
          <w:rFonts w:asciiTheme="majorBidi" w:eastAsia="Calibri" w:hAnsiTheme="majorBidi" w:cstheme="majorBidi"/>
          <w:b/>
          <w:bCs/>
          <w:szCs w:val="24"/>
          <w:lang w:eastAsia="en-US"/>
        </w:rPr>
        <w:t>Personal information</w:t>
      </w:r>
    </w:p>
    <w:p w:rsidR="003B1CE9" w:rsidRPr="00CE7BDA" w:rsidRDefault="003B1CE9" w:rsidP="003B1CE9">
      <w:pPr>
        <w:overflowPunct/>
        <w:autoSpaceDE/>
        <w:autoSpaceDN/>
        <w:adjustRightInd/>
        <w:spacing w:after="160"/>
        <w:jc w:val="both"/>
        <w:textAlignment w:val="auto"/>
        <w:rPr>
          <w:rFonts w:asciiTheme="majorBidi" w:eastAsia="Calibri" w:hAnsiTheme="majorBidi" w:cstheme="majorBidi"/>
          <w:szCs w:val="24"/>
          <w:lang w:eastAsia="en-US"/>
        </w:rPr>
      </w:pPr>
      <w:r w:rsidRPr="00CE7BDA">
        <w:rPr>
          <w:rFonts w:asciiTheme="majorBidi" w:eastAsia="Calibri" w:hAnsiTheme="majorBidi" w:cstheme="majorBidi"/>
          <w:szCs w:val="24"/>
          <w:lang w:eastAsia="en-US"/>
        </w:rPr>
        <w:tab/>
        <w:t>We asked for the educational level and the professional status of the participant and her partner, the household monthly income, the number of rooms in the house, and the number of family members living in the house.</w:t>
      </w:r>
    </w:p>
    <w:p w:rsidR="003B1CE9" w:rsidRDefault="003B1CE9" w:rsidP="003B1CE9"/>
    <w:p w:rsidR="00434E76" w:rsidRPr="00151553" w:rsidRDefault="00434E76" w:rsidP="00434E76">
      <w:pPr>
        <w:pStyle w:val="heading1"/>
        <w:jc w:val="center"/>
        <w:rPr>
          <w:sz w:val="24"/>
          <w:szCs w:val="16"/>
        </w:rPr>
      </w:pPr>
    </w:p>
    <w:p w:rsidR="00434E76" w:rsidRPr="00434E76" w:rsidRDefault="00434E76" w:rsidP="00434E76">
      <w:pPr>
        <w:rPr>
          <w:b/>
          <w:bCs/>
        </w:rPr>
      </w:pPr>
    </w:p>
    <w:p w:rsidR="00434E76" w:rsidRPr="00151553" w:rsidRDefault="003B1CE9" w:rsidP="003B1CE9">
      <w:pPr>
        <w:pStyle w:val="heading2"/>
        <w:jc w:val="center"/>
        <w:rPr>
          <w:rFonts w:asciiTheme="majorBidi" w:hAnsiTheme="majorBidi" w:cstheme="majorBidi"/>
          <w:szCs w:val="24"/>
        </w:rPr>
      </w:pPr>
      <w:r>
        <w:rPr>
          <w:rFonts w:asciiTheme="majorBidi" w:hAnsiTheme="majorBidi" w:cstheme="majorBidi"/>
          <w:szCs w:val="24"/>
        </w:rPr>
        <w:lastRenderedPageBreak/>
        <w:t>Generating a knowledge score: Principal Component Analysis</w:t>
      </w:r>
    </w:p>
    <w:p w:rsidR="00434E76" w:rsidRPr="003B1CE9" w:rsidRDefault="00434E76" w:rsidP="003B1CE9">
      <w:pPr>
        <w:jc w:val="both"/>
        <w:rPr>
          <w:rFonts w:asciiTheme="majorBidi" w:hAnsiTheme="majorBidi" w:cstheme="majorBidi"/>
          <w:szCs w:val="24"/>
          <w:lang w:val="en"/>
        </w:rPr>
      </w:pPr>
      <w:r w:rsidRPr="00151553">
        <w:rPr>
          <w:rFonts w:asciiTheme="majorBidi" w:hAnsiTheme="majorBidi" w:cstheme="majorBidi"/>
          <w:szCs w:val="24"/>
          <w:lang w:val="en"/>
        </w:rPr>
        <w:t xml:space="preserve">A PCA with a </w:t>
      </w:r>
      <w:proofErr w:type="spellStart"/>
      <w:proofErr w:type="gramStart"/>
      <w:r w:rsidRPr="00151553">
        <w:rPr>
          <w:rFonts w:asciiTheme="majorBidi" w:hAnsiTheme="majorBidi" w:cstheme="majorBidi"/>
          <w:szCs w:val="24"/>
          <w:lang w:val="en"/>
        </w:rPr>
        <w:t>Promax</w:t>
      </w:r>
      <w:proofErr w:type="spellEnd"/>
      <w:proofErr w:type="gramEnd"/>
      <w:r w:rsidRPr="00151553">
        <w:rPr>
          <w:rFonts w:asciiTheme="majorBidi" w:hAnsiTheme="majorBidi" w:cstheme="majorBidi"/>
          <w:szCs w:val="24"/>
          <w:lang w:val="en"/>
        </w:rPr>
        <w:t xml:space="preserve"> rotation was carried out to assess the construct validity of the different dimensions of the APAP knowledge items. The adequacy of the Kaiser-Meyer-</w:t>
      </w:r>
      <w:proofErr w:type="spellStart"/>
      <w:r w:rsidRPr="00151553">
        <w:rPr>
          <w:rFonts w:asciiTheme="majorBidi" w:hAnsiTheme="majorBidi" w:cstheme="majorBidi"/>
          <w:szCs w:val="24"/>
          <w:lang w:val="en"/>
        </w:rPr>
        <w:t>Olkin</w:t>
      </w:r>
      <w:proofErr w:type="spellEnd"/>
      <w:r w:rsidRPr="00151553">
        <w:rPr>
          <w:rFonts w:asciiTheme="majorBidi" w:hAnsiTheme="majorBidi" w:cstheme="majorBidi"/>
          <w:szCs w:val="24"/>
          <w:lang w:val="en"/>
        </w:rPr>
        <w:t xml:space="preserve"> (KMO) and of the sample by Bartlett Tester was ensured. Furthermore, the reliability of the construction was assessed and Cronbach's α was calculated. Afterwards, the score was generated then compared to the literacy score. This is how the Receiver Operating Characteristic (ROC) curve was sketched to determine the optimal cutoff point that would predict a high knowledge score. The sensitivity (Se) and specificity (</w:t>
      </w:r>
      <w:proofErr w:type="spellStart"/>
      <w:r w:rsidRPr="00151553">
        <w:rPr>
          <w:rFonts w:asciiTheme="majorBidi" w:hAnsiTheme="majorBidi" w:cstheme="majorBidi"/>
          <w:szCs w:val="24"/>
          <w:lang w:val="en"/>
        </w:rPr>
        <w:t>Sp</w:t>
      </w:r>
      <w:proofErr w:type="spellEnd"/>
      <w:r w:rsidRPr="00151553">
        <w:rPr>
          <w:rFonts w:asciiTheme="majorBidi" w:hAnsiTheme="majorBidi" w:cstheme="majorBidi"/>
          <w:szCs w:val="24"/>
          <w:lang w:val="en"/>
        </w:rPr>
        <w:t>) for the generated score were calculated to assess the validity of the criteria. Notably, several constructs were made by including the influencing factors of the women’s knowledge, but the validity and reliability of the score were not improved.</w:t>
      </w:r>
    </w:p>
    <w:p w:rsidR="00434E76" w:rsidRPr="003B1CE9" w:rsidRDefault="00434E76" w:rsidP="003B1CE9">
      <w:pPr>
        <w:pStyle w:val="heading2"/>
        <w:jc w:val="center"/>
        <w:rPr>
          <w:rFonts w:asciiTheme="majorBidi" w:hAnsiTheme="majorBidi" w:cstheme="majorBidi"/>
          <w:i/>
          <w:iCs/>
          <w:szCs w:val="24"/>
        </w:rPr>
      </w:pPr>
      <w:r w:rsidRPr="003B1CE9">
        <w:rPr>
          <w:rFonts w:asciiTheme="majorBidi" w:hAnsiTheme="majorBidi" w:cstheme="majorBidi"/>
          <w:i/>
          <w:iCs/>
          <w:szCs w:val="24"/>
        </w:rPr>
        <w:t>Validity and reliability of the knowledge score</w:t>
      </w:r>
    </w:p>
    <w:p w:rsidR="00434E76" w:rsidRPr="00151553" w:rsidRDefault="00434E76" w:rsidP="00434E76">
      <w:pPr>
        <w:jc w:val="both"/>
        <w:rPr>
          <w:rFonts w:asciiTheme="majorBidi" w:hAnsiTheme="majorBidi" w:cstheme="majorBidi"/>
          <w:szCs w:val="24"/>
        </w:rPr>
      </w:pPr>
      <w:r w:rsidRPr="00151553">
        <w:rPr>
          <w:rFonts w:asciiTheme="majorBidi" w:hAnsiTheme="majorBidi" w:cstheme="majorBidi"/>
          <w:szCs w:val="24"/>
        </w:rPr>
        <w:t>A PCA was carried out, thus the 30 variables assessing the APAP’s knowledge of women were entered. In fact, 24 items were kept and were allocated over 8 factors, explaining 65.61% of the total variance. This index had good reliability with a Cronbach α equal to 0.686 (Table 1).</w:t>
      </w:r>
    </w:p>
    <w:p w:rsidR="00434E76" w:rsidRPr="00151553" w:rsidRDefault="00434E76" w:rsidP="00434E76">
      <w:pPr>
        <w:jc w:val="both"/>
        <w:rPr>
          <w:rFonts w:asciiTheme="majorBidi" w:hAnsiTheme="majorBidi" w:cstheme="majorBidi"/>
          <w:szCs w:val="24"/>
        </w:rPr>
      </w:pPr>
    </w:p>
    <w:p w:rsidR="0064351F" w:rsidRPr="003B1CE9" w:rsidRDefault="0064351F" w:rsidP="0064351F">
      <w:pPr>
        <w:pStyle w:val="heading2"/>
        <w:jc w:val="center"/>
        <w:rPr>
          <w:rFonts w:asciiTheme="majorBidi" w:hAnsiTheme="majorBidi" w:cstheme="majorBidi"/>
          <w:i/>
          <w:iCs/>
        </w:rPr>
      </w:pPr>
      <w:r w:rsidRPr="003B1CE9">
        <w:rPr>
          <w:rFonts w:asciiTheme="majorBidi" w:hAnsiTheme="majorBidi" w:cstheme="majorBidi"/>
          <w:i/>
          <w:iCs/>
        </w:rPr>
        <w:t>Knowledge score thresholds and proprieties</w:t>
      </w:r>
    </w:p>
    <w:p w:rsidR="0064351F" w:rsidRPr="00151553" w:rsidRDefault="0064351F" w:rsidP="0064351F">
      <w:pPr>
        <w:jc w:val="both"/>
      </w:pPr>
      <w:r w:rsidRPr="00151553">
        <w:rPr>
          <w:lang w:val="en"/>
        </w:rPr>
        <w:t>The ROC curve was illustrated in figure 1. The area under the curve was equal to 0.656 (</w:t>
      </w:r>
      <w:r w:rsidRPr="00151553">
        <w:t xml:space="preserve">0.580-0.732; p &lt;0.001). The determination of </w:t>
      </w:r>
      <w:proofErr w:type="spellStart"/>
      <w:r w:rsidRPr="00151553">
        <w:t>Youden</w:t>
      </w:r>
      <w:proofErr w:type="spellEnd"/>
      <w:r w:rsidRPr="00151553">
        <w:t xml:space="preserve"> Index (J) an optimal cut-point of 11.5 with a Se equal 60.3% and </w:t>
      </w:r>
      <w:proofErr w:type="spellStart"/>
      <w:r w:rsidRPr="00151553">
        <w:t>Sp</w:t>
      </w:r>
      <w:proofErr w:type="spellEnd"/>
      <w:r w:rsidRPr="00151553">
        <w:t xml:space="preserve"> equal 68%. However, we were able to identify 2 cut-points having Se and </w:t>
      </w:r>
      <w:proofErr w:type="spellStart"/>
      <w:r w:rsidRPr="00151553">
        <w:t>Sp</w:t>
      </w:r>
      <w:proofErr w:type="spellEnd"/>
      <w:r w:rsidRPr="00151553">
        <w:t xml:space="preserve"> around 90%. The first one was equal to 8.5 (Se= 91.4% and </w:t>
      </w:r>
      <w:proofErr w:type="spellStart"/>
      <w:r w:rsidRPr="00151553">
        <w:t>Sp</w:t>
      </w:r>
      <w:proofErr w:type="spellEnd"/>
      <w:r w:rsidRPr="00151553">
        <w:t xml:space="preserve">= 18.6%) and the second one equal to 14.5 (Se=15.5% and </w:t>
      </w:r>
      <w:proofErr w:type="spellStart"/>
      <w:r w:rsidRPr="00151553">
        <w:t>Sp</w:t>
      </w:r>
      <w:proofErr w:type="spellEnd"/>
      <w:r w:rsidRPr="00151553">
        <w:t xml:space="preserve">=93%). Thereby, this score has been divided into 3 categories for descriptive purposes. </w:t>
      </w:r>
    </w:p>
    <w:p w:rsidR="0064351F" w:rsidRDefault="0064351F">
      <w:pPr>
        <w:overflowPunct/>
        <w:autoSpaceDE/>
        <w:autoSpaceDN/>
        <w:adjustRightInd/>
        <w:spacing w:line="240" w:lineRule="auto"/>
        <w:textAlignment w:val="auto"/>
        <w:rPr>
          <w:rFonts w:eastAsia="Calibri"/>
          <w:b/>
          <w:bCs/>
          <w:sz w:val="22"/>
          <w:szCs w:val="22"/>
          <w:lang w:eastAsia="en-US"/>
        </w:rPr>
      </w:pPr>
      <w:r>
        <w:rPr>
          <w:rFonts w:eastAsia="Calibri"/>
          <w:b/>
          <w:bCs/>
          <w:sz w:val="22"/>
          <w:szCs w:val="22"/>
          <w:lang w:eastAsia="en-US"/>
        </w:rPr>
        <w:br w:type="page"/>
      </w:r>
    </w:p>
    <w:p w:rsidR="0064351F" w:rsidRDefault="0064351F">
      <w:pPr>
        <w:overflowPunct/>
        <w:autoSpaceDE/>
        <w:autoSpaceDN/>
        <w:adjustRightInd/>
        <w:spacing w:line="240" w:lineRule="auto"/>
        <w:textAlignment w:val="auto"/>
        <w:rPr>
          <w:rFonts w:eastAsia="Calibri"/>
          <w:b/>
          <w:bCs/>
          <w:sz w:val="22"/>
          <w:szCs w:val="22"/>
          <w:lang w:eastAsia="en-US"/>
        </w:rPr>
      </w:pPr>
    </w:p>
    <w:p w:rsidR="0064351F" w:rsidRPr="003B1CE9" w:rsidRDefault="0064351F" w:rsidP="0064351F">
      <w:pPr>
        <w:jc w:val="center"/>
        <w:rPr>
          <w:b/>
          <w:bCs/>
        </w:rPr>
      </w:pPr>
      <w:r w:rsidRPr="003B1CE9">
        <w:rPr>
          <w:b/>
          <w:bCs/>
        </w:rPr>
        <w:t>References</w:t>
      </w:r>
    </w:p>
    <w:p w:rsidR="0064351F" w:rsidRDefault="0064351F" w:rsidP="0064351F">
      <w:pPr>
        <w:jc w:val="center"/>
      </w:pPr>
    </w:p>
    <w:p w:rsidR="0064351F" w:rsidRPr="003B1CE9" w:rsidRDefault="0064351F" w:rsidP="0064351F">
      <w:pPr>
        <w:pStyle w:val="Bibliography"/>
      </w:pPr>
      <w:r>
        <w:fldChar w:fldCharType="begin"/>
      </w:r>
      <w:r>
        <w:instrText xml:space="preserve"> ADDIN ZOTERO_BIBL {"uncited":[],"omitted":[],"custom":[]} CSL_BIBLIOGRAPHY </w:instrText>
      </w:r>
      <w:r>
        <w:fldChar w:fldCharType="separate"/>
      </w:r>
      <w:r w:rsidRPr="003B1CE9">
        <w:t>Amundsen S, Øvrebø TG, Amble NMS, Poole AC, Nordeng H (2019) Risk perception, beliefs about medicines and medical adherence among pregnant and breastfeeding women with migraine: findings from a cross-sectional study in Norway. BMJ Open 9:e026690. https://doi.org/10.1136/bmjopen-2018-026690</w:t>
      </w:r>
    </w:p>
    <w:p w:rsidR="0064351F" w:rsidRPr="003B1CE9" w:rsidRDefault="0064351F" w:rsidP="0064351F">
      <w:pPr>
        <w:pStyle w:val="Bibliography"/>
      </w:pPr>
      <w:r w:rsidRPr="003B1CE9">
        <w:t>Atmadani RN, Nkoka O, Yunita SL, Chen Y-H (2020) Self-medication and knowledge among pregnant women attending primary healthcare services in Malang, Indonesia: a cross-sectional study. BMC Pregnancy and Childbirth 20:42. https://doi.org/10.1186/s12884-020-2736-2</w:t>
      </w:r>
    </w:p>
    <w:p w:rsidR="0064351F" w:rsidRPr="003B1CE9" w:rsidRDefault="0064351F" w:rsidP="0064351F">
      <w:pPr>
        <w:pStyle w:val="Bibliography"/>
      </w:pPr>
      <w:r w:rsidRPr="003B1CE9">
        <w:t>Brandlistuen RE, Ystrom E, Nulman I, Koren G, Nordeng H (2013) Prenatal paracetamol exposure and child neurodevelopment: a sibling-controlled cohort study. Int J Epidemiol 42:1702–1713. https://doi.org/10.1093/ije/dyt183</w:t>
      </w:r>
    </w:p>
    <w:p w:rsidR="0064351F" w:rsidRPr="003B1CE9" w:rsidRDefault="0064351F" w:rsidP="0064351F">
      <w:pPr>
        <w:pStyle w:val="Bibliography"/>
      </w:pPr>
      <w:r w:rsidRPr="003B1CE9">
        <w:t>Chew LD, Bradley KA, Boyko EJ (2004) Brief questions to identify patients with inadequate health literacy. Fam Med 36:588–594</w:t>
      </w:r>
    </w:p>
    <w:p w:rsidR="0064351F" w:rsidRPr="003B1CE9" w:rsidRDefault="0064351F" w:rsidP="0064351F">
      <w:pPr>
        <w:pStyle w:val="Bibliography"/>
      </w:pPr>
      <w:r w:rsidRPr="003B1CE9">
        <w:t>de Waard M, Blomjous BS, Hol MLF, Sie SD, Corpeleijn WE, van Goudoever J (Hans) B, van Weissenbruch MM (2019) Medication Use During Pregnancy and Lactation in a Dutch Population. J Hum Lact 35:154–164. https://doi.org/10.1177/0890334418775630</w:t>
      </w:r>
    </w:p>
    <w:p w:rsidR="0064351F" w:rsidRPr="003B1CE9" w:rsidRDefault="0064351F" w:rsidP="0064351F">
      <w:pPr>
        <w:pStyle w:val="Bibliography"/>
      </w:pPr>
      <w:r w:rsidRPr="003B1CE9">
        <w:t>Devkota R, Khan GM, Alam K, Sapkota B, Devkota D (2017) Impacts of counseling on knowledge, attitude and practice of medication use during pregnancy. BMC Pregnancy and Childbirth 17:131. https://doi.org/10.1186/s12884-017-1316-6</w:t>
      </w:r>
    </w:p>
    <w:p w:rsidR="0064351F" w:rsidRPr="003B1CE9" w:rsidRDefault="0064351F" w:rsidP="0064351F">
      <w:pPr>
        <w:pStyle w:val="Bibliography"/>
      </w:pPr>
      <w:r w:rsidRPr="003B1CE9">
        <w:t>Fadda M, Kanj M, Kabakian-Khasholian T, Johannes Schulz P (2018) Validation of three Arabic health literacy assessment tools in Lebanon. Health Promot Int 33:261–267. https://doi.org/10.1093/heapro/daw079</w:t>
      </w:r>
    </w:p>
    <w:p w:rsidR="0064351F" w:rsidRPr="003B1CE9" w:rsidRDefault="0064351F" w:rsidP="0064351F">
      <w:pPr>
        <w:pStyle w:val="Bibliography"/>
      </w:pPr>
      <w:r w:rsidRPr="003B1CE9">
        <w:t>Kontogiorgis C, Nena E, Berberoglou E, Moschoni K, Polyzois S, Tselemponis A, Constantinidis TC (2016) Estimating Consumers’ Knowledge and Attitudes Towards Over-The-Counter Analgesic Medication in Greece in the Years of Financial Crisis: The Case of Paracetamol. Pain Ther 5:19–28. https://doi.org/10.1007/s40122-015-0042-x</w:t>
      </w:r>
    </w:p>
    <w:p w:rsidR="0064351F" w:rsidRPr="003B1CE9" w:rsidRDefault="0064351F" w:rsidP="0064351F">
      <w:pPr>
        <w:pStyle w:val="Bibliography"/>
      </w:pPr>
      <w:r w:rsidRPr="003B1CE9">
        <w:t>Lupattelli A, Spigset O, Twigg MJ, Zagorodnikova K, Mårdby AC, Moretti ME, Drozd M, Panchaud A, Hämeen-Anttila K, Rieutord A, Gjergja Juraski R, Odalovic M, Kennedy D, Rudolf G, Juch H, Passier A, Björnsdóttir I, Nordeng H (2014) Medication use in pregnancy: a cross-sectional, multinational web-based study. BMJ Open 4. https://doi.org/10.1136/bmjopen-2013-004365</w:t>
      </w:r>
    </w:p>
    <w:p w:rsidR="0064351F" w:rsidRPr="003B1CE9" w:rsidRDefault="0064351F" w:rsidP="0064351F">
      <w:pPr>
        <w:pStyle w:val="Bibliography"/>
      </w:pPr>
      <w:r w:rsidRPr="003B1CE9">
        <w:t>Mouhieddine TH, Olleik Z, Itani MM, Kawtharani S, Nassar H, Hassoun R, Houmani Z, El Zein Z, Fakih R, Mortada IK, Mohsen Y, Kanafani Z, Tamim H (2015) Assessing the Lebanese population for their knowledge, attitudes and practices of antibiotic usage. J Infect Public Health 8:20–31. https://doi.org/10.1016/j.jiph.2014.07.010</w:t>
      </w:r>
    </w:p>
    <w:p w:rsidR="0064351F" w:rsidRPr="003B1CE9" w:rsidRDefault="0064351F" w:rsidP="0064351F">
      <w:pPr>
        <w:pStyle w:val="Bibliography"/>
      </w:pPr>
      <w:r w:rsidRPr="003B1CE9">
        <w:lastRenderedPageBreak/>
        <w:t>Navaro M, Vezzosi L, Santagati G, Angelillo IF, Collaborative Working Group (2018) Knowledge, attitudes, and practice regarding medication use in pregnant women in Southern Italy. PLoS ONE 13:e0198618. https://doi.org/10.1371/journal.pone.0198618</w:t>
      </w:r>
    </w:p>
    <w:p w:rsidR="0064351F" w:rsidRPr="003B1CE9" w:rsidRDefault="0064351F" w:rsidP="0064351F">
      <w:pPr>
        <w:pStyle w:val="Bibliography"/>
      </w:pPr>
      <w:r w:rsidRPr="003B1CE9">
        <w:t>Rachidi S, Awada S, Al-Hajje A, Bawab W, Zein S, Saleh N, Salameh P (2013) DHPS-44525-risky-exposures-during-pregnancy--a-pilot-study-from-lebanes 051413</w:t>
      </w:r>
    </w:p>
    <w:p w:rsidR="0064351F" w:rsidRPr="003B1CE9" w:rsidRDefault="0064351F" w:rsidP="0064351F">
      <w:pPr>
        <w:pStyle w:val="Bibliography"/>
      </w:pPr>
      <w:r w:rsidRPr="003B1CE9">
        <w:t>Ramia E, Zeenny RM, Hallit S, Salameh P, Order of Pharmacists Scientific Committee – Medication Safety Subcommittee (2017) Assessment of patients’ knowledge and practices regarding their medication use and risks in Lebanon. Int J Clin Pharm 39:1084–1094. https://doi.org/10.1007/s11096-017-0517-4</w:t>
      </w:r>
    </w:p>
    <w:p w:rsidR="0064351F" w:rsidRPr="003B1CE9" w:rsidRDefault="0064351F" w:rsidP="0064351F">
      <w:pPr>
        <w:pStyle w:val="Bibliography"/>
      </w:pPr>
      <w:r w:rsidRPr="003B1CE9">
        <w:t>Zaki NM, Albarraq AA (2014) Use, attitudes and knowledge of medications among pregnant women: A Saudi study. Saudi Pharm J 22:419–428. https://doi.org/10.1016/j.jsps.2013.09.001</w:t>
      </w:r>
    </w:p>
    <w:p w:rsidR="00434E76" w:rsidRDefault="0064351F" w:rsidP="0064351F">
      <w:pPr>
        <w:overflowPunct/>
        <w:autoSpaceDE/>
        <w:autoSpaceDN/>
        <w:adjustRightInd/>
        <w:spacing w:line="240" w:lineRule="auto"/>
        <w:textAlignment w:val="auto"/>
        <w:rPr>
          <w:rFonts w:eastAsia="Calibri"/>
          <w:b/>
          <w:bCs/>
          <w:sz w:val="22"/>
          <w:szCs w:val="22"/>
          <w:lang w:eastAsia="en-US"/>
        </w:rPr>
      </w:pPr>
      <w:r>
        <w:fldChar w:fldCharType="end"/>
      </w:r>
      <w:r w:rsidR="00434E76">
        <w:rPr>
          <w:rFonts w:eastAsia="Calibri"/>
          <w:b/>
          <w:bCs/>
          <w:sz w:val="22"/>
          <w:szCs w:val="22"/>
          <w:lang w:eastAsia="en-US"/>
        </w:rPr>
        <w:br w:type="page"/>
      </w:r>
    </w:p>
    <w:p w:rsidR="0064351F" w:rsidRPr="0064351F" w:rsidRDefault="0064351F" w:rsidP="0064351F">
      <w:pPr>
        <w:pStyle w:val="tablelegend"/>
        <w:jc w:val="center"/>
        <w:rPr>
          <w:rFonts w:eastAsia="Calibri"/>
          <w:b/>
          <w:bCs/>
          <w:sz w:val="24"/>
          <w:szCs w:val="24"/>
          <w:lang w:eastAsia="en-US"/>
        </w:rPr>
      </w:pPr>
      <w:r w:rsidRPr="0064351F">
        <w:rPr>
          <w:rFonts w:eastAsia="Calibri"/>
          <w:b/>
          <w:bCs/>
          <w:sz w:val="24"/>
          <w:szCs w:val="24"/>
          <w:lang w:eastAsia="en-US"/>
        </w:rPr>
        <w:lastRenderedPageBreak/>
        <w:t>Tables &amp; figures</w:t>
      </w:r>
    </w:p>
    <w:p w:rsidR="0064351F" w:rsidRDefault="0064351F" w:rsidP="00434E76">
      <w:pPr>
        <w:pStyle w:val="tablelegend"/>
        <w:rPr>
          <w:rFonts w:eastAsia="Calibri"/>
          <w:sz w:val="24"/>
          <w:szCs w:val="24"/>
          <w:lang w:eastAsia="en-US"/>
        </w:rPr>
      </w:pPr>
    </w:p>
    <w:p w:rsidR="00434E76" w:rsidRPr="00151553" w:rsidRDefault="00434E76" w:rsidP="00434E76">
      <w:pPr>
        <w:pStyle w:val="tablelegend"/>
        <w:rPr>
          <w:rFonts w:eastAsia="Calibri"/>
          <w:sz w:val="24"/>
          <w:szCs w:val="24"/>
          <w:lang w:eastAsia="en-US"/>
        </w:rPr>
      </w:pPr>
      <w:r w:rsidRPr="00151553">
        <w:rPr>
          <w:rFonts w:eastAsia="Calibri"/>
          <w:sz w:val="24"/>
          <w:szCs w:val="24"/>
          <w:lang w:eastAsia="en-US"/>
        </w:rPr>
        <w:t>Table 1: Validity and reliability of knowledge score</w:t>
      </w:r>
    </w:p>
    <w:tbl>
      <w:tblPr>
        <w:tblW w:w="9635" w:type="dxa"/>
        <w:tblInd w:w="-905" w:type="dxa"/>
        <w:tblBorders>
          <w:top w:val="single" w:sz="4" w:space="0" w:color="auto"/>
          <w:left w:val="single" w:sz="4" w:space="0" w:color="auto"/>
          <w:bottom w:val="single" w:sz="4" w:space="0" w:color="auto"/>
          <w:right w:val="single" w:sz="4" w:space="0" w:color="auto"/>
        </w:tblBorders>
        <w:tblLayout w:type="fixed"/>
        <w:tblCellMar>
          <w:left w:w="0" w:type="dxa"/>
          <w:right w:w="0" w:type="dxa"/>
        </w:tblCellMar>
        <w:tblLook w:val="04A0" w:firstRow="1" w:lastRow="0" w:firstColumn="1" w:lastColumn="0" w:noHBand="0" w:noVBand="1"/>
      </w:tblPr>
      <w:tblGrid>
        <w:gridCol w:w="3780"/>
        <w:gridCol w:w="720"/>
        <w:gridCol w:w="720"/>
        <w:gridCol w:w="810"/>
        <w:gridCol w:w="810"/>
        <w:gridCol w:w="720"/>
        <w:gridCol w:w="720"/>
        <w:gridCol w:w="630"/>
        <w:gridCol w:w="725"/>
      </w:tblGrid>
      <w:tr w:rsidR="00434E76" w:rsidRPr="00434E76" w:rsidTr="00434E76">
        <w:trPr>
          <w:cantSplit/>
          <w:trHeight w:val="341"/>
        </w:trPr>
        <w:tc>
          <w:tcPr>
            <w:tcW w:w="378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434E76" w:rsidRPr="00434E76" w:rsidRDefault="00434E76" w:rsidP="00434E76">
            <w:pPr>
              <w:overflowPunct/>
              <w:spacing w:line="256" w:lineRule="auto"/>
              <w:ind w:left="60" w:right="60"/>
              <w:jc w:val="center"/>
              <w:textAlignment w:val="auto"/>
              <w:rPr>
                <w:rFonts w:eastAsia="Calibri"/>
                <w:b/>
                <w:bCs/>
                <w:sz w:val="20"/>
                <w:lang w:eastAsia="en-US"/>
              </w:rPr>
            </w:pPr>
            <w:r w:rsidRPr="00434E76">
              <w:rPr>
                <w:rFonts w:eastAsia="Calibri"/>
                <w:b/>
                <w:bCs/>
                <w:sz w:val="20"/>
                <w:lang w:eastAsia="en-US"/>
              </w:rPr>
              <w:t>Items</w:t>
            </w:r>
          </w:p>
        </w:tc>
        <w:tc>
          <w:tcPr>
            <w:tcW w:w="5855" w:type="dxa"/>
            <w:gridSpan w:val="8"/>
            <w:tcBorders>
              <w:top w:val="single" w:sz="4" w:space="0" w:color="auto"/>
              <w:left w:val="single" w:sz="4" w:space="0" w:color="auto"/>
              <w:bottom w:val="nil"/>
              <w:right w:val="single" w:sz="4" w:space="0" w:color="auto"/>
            </w:tcBorders>
            <w:shd w:val="clear" w:color="auto" w:fill="F2F2F2" w:themeFill="background1" w:themeFillShade="F2"/>
            <w:vAlign w:val="center"/>
            <w:hideMark/>
          </w:tcPr>
          <w:p w:rsidR="00434E76" w:rsidRPr="00434E76" w:rsidRDefault="00434E76" w:rsidP="00434E76">
            <w:pPr>
              <w:overflowPunct/>
              <w:spacing w:line="256" w:lineRule="auto"/>
              <w:ind w:left="60" w:right="60"/>
              <w:jc w:val="center"/>
              <w:textAlignment w:val="auto"/>
              <w:rPr>
                <w:rFonts w:eastAsia="Calibri"/>
                <w:b/>
                <w:bCs/>
                <w:sz w:val="20"/>
                <w:lang w:eastAsia="en-US"/>
              </w:rPr>
            </w:pPr>
            <w:r w:rsidRPr="00434E76">
              <w:rPr>
                <w:rFonts w:eastAsia="Calibri"/>
                <w:b/>
                <w:bCs/>
                <w:sz w:val="20"/>
                <w:lang w:eastAsia="en-US"/>
              </w:rPr>
              <w:t>Factors</w:t>
            </w:r>
          </w:p>
        </w:tc>
      </w:tr>
      <w:tr w:rsidR="00434E76" w:rsidRPr="00434E76" w:rsidTr="00434E76">
        <w:trPr>
          <w:cantSplit/>
          <w:trHeight w:val="90"/>
        </w:trPr>
        <w:tc>
          <w:tcPr>
            <w:tcW w:w="378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434E76" w:rsidRPr="00434E76" w:rsidRDefault="00434E76" w:rsidP="00434E76">
            <w:pPr>
              <w:overflowPunct/>
              <w:autoSpaceDE/>
              <w:autoSpaceDN/>
              <w:adjustRightInd/>
              <w:spacing w:line="256" w:lineRule="auto"/>
              <w:textAlignment w:val="auto"/>
              <w:rPr>
                <w:rFonts w:eastAsia="Calibri"/>
                <w:b/>
                <w:bCs/>
                <w:sz w:val="20"/>
                <w:lang w:eastAsia="en-US"/>
              </w:rPr>
            </w:pPr>
          </w:p>
        </w:tc>
        <w:tc>
          <w:tcPr>
            <w:tcW w:w="720" w:type="dxa"/>
            <w:tcBorders>
              <w:top w:val="nil"/>
              <w:left w:val="single" w:sz="4" w:space="0" w:color="auto"/>
              <w:bottom w:val="single" w:sz="4" w:space="0" w:color="auto"/>
              <w:right w:val="nil"/>
            </w:tcBorders>
            <w:shd w:val="clear" w:color="auto" w:fill="F2F2F2" w:themeFill="background1" w:themeFillShade="F2"/>
            <w:vAlign w:val="center"/>
            <w:hideMark/>
          </w:tcPr>
          <w:p w:rsidR="00434E76" w:rsidRPr="00434E76" w:rsidRDefault="00434E76" w:rsidP="00434E76">
            <w:pPr>
              <w:overflowPunct/>
              <w:spacing w:line="256" w:lineRule="auto"/>
              <w:ind w:left="60" w:right="60"/>
              <w:jc w:val="center"/>
              <w:textAlignment w:val="auto"/>
              <w:rPr>
                <w:rFonts w:eastAsia="Calibri"/>
                <w:b/>
                <w:bCs/>
                <w:sz w:val="20"/>
                <w:lang w:eastAsia="en-US"/>
              </w:rPr>
            </w:pPr>
            <w:r w:rsidRPr="00434E76">
              <w:rPr>
                <w:rFonts w:eastAsia="Calibri"/>
                <w:b/>
                <w:bCs/>
                <w:sz w:val="20"/>
                <w:lang w:eastAsia="en-US"/>
              </w:rPr>
              <w:t>1</w:t>
            </w:r>
          </w:p>
        </w:tc>
        <w:tc>
          <w:tcPr>
            <w:tcW w:w="720" w:type="dxa"/>
            <w:tcBorders>
              <w:top w:val="nil"/>
              <w:left w:val="nil"/>
              <w:bottom w:val="single" w:sz="4" w:space="0" w:color="auto"/>
              <w:right w:val="nil"/>
            </w:tcBorders>
            <w:shd w:val="clear" w:color="auto" w:fill="F2F2F2" w:themeFill="background1" w:themeFillShade="F2"/>
            <w:vAlign w:val="center"/>
            <w:hideMark/>
          </w:tcPr>
          <w:p w:rsidR="00434E76" w:rsidRPr="00434E76" w:rsidRDefault="00434E76" w:rsidP="00434E76">
            <w:pPr>
              <w:overflowPunct/>
              <w:spacing w:line="256" w:lineRule="auto"/>
              <w:ind w:left="60" w:right="60"/>
              <w:jc w:val="center"/>
              <w:textAlignment w:val="auto"/>
              <w:rPr>
                <w:rFonts w:eastAsia="Calibri"/>
                <w:b/>
                <w:bCs/>
                <w:sz w:val="20"/>
                <w:lang w:val="fr-FR" w:eastAsia="en-US"/>
              </w:rPr>
            </w:pPr>
            <w:r w:rsidRPr="00434E76">
              <w:rPr>
                <w:rFonts w:eastAsia="Calibri"/>
                <w:b/>
                <w:bCs/>
                <w:sz w:val="20"/>
                <w:lang w:val="fr-FR" w:eastAsia="en-US"/>
              </w:rPr>
              <w:t>2</w:t>
            </w:r>
          </w:p>
        </w:tc>
        <w:tc>
          <w:tcPr>
            <w:tcW w:w="810" w:type="dxa"/>
            <w:tcBorders>
              <w:top w:val="nil"/>
              <w:left w:val="nil"/>
              <w:bottom w:val="single" w:sz="4" w:space="0" w:color="auto"/>
              <w:right w:val="nil"/>
            </w:tcBorders>
            <w:shd w:val="clear" w:color="auto" w:fill="F2F2F2" w:themeFill="background1" w:themeFillShade="F2"/>
            <w:vAlign w:val="center"/>
            <w:hideMark/>
          </w:tcPr>
          <w:p w:rsidR="00434E76" w:rsidRPr="00434E76" w:rsidRDefault="00434E76" w:rsidP="00434E76">
            <w:pPr>
              <w:overflowPunct/>
              <w:spacing w:line="256" w:lineRule="auto"/>
              <w:ind w:left="60" w:right="60"/>
              <w:jc w:val="center"/>
              <w:textAlignment w:val="auto"/>
              <w:rPr>
                <w:rFonts w:eastAsia="Calibri"/>
                <w:b/>
                <w:bCs/>
                <w:sz w:val="20"/>
                <w:lang w:val="fr-FR" w:eastAsia="en-US"/>
              </w:rPr>
            </w:pPr>
            <w:r w:rsidRPr="00434E76">
              <w:rPr>
                <w:rFonts w:eastAsia="Calibri"/>
                <w:b/>
                <w:bCs/>
                <w:sz w:val="20"/>
                <w:lang w:val="fr-FR" w:eastAsia="en-US"/>
              </w:rPr>
              <w:t>3</w:t>
            </w:r>
          </w:p>
        </w:tc>
        <w:tc>
          <w:tcPr>
            <w:tcW w:w="810" w:type="dxa"/>
            <w:tcBorders>
              <w:top w:val="nil"/>
              <w:left w:val="nil"/>
              <w:bottom w:val="single" w:sz="4" w:space="0" w:color="auto"/>
              <w:right w:val="nil"/>
            </w:tcBorders>
            <w:shd w:val="clear" w:color="auto" w:fill="F2F2F2" w:themeFill="background1" w:themeFillShade="F2"/>
            <w:vAlign w:val="center"/>
            <w:hideMark/>
          </w:tcPr>
          <w:p w:rsidR="00434E76" w:rsidRPr="00434E76" w:rsidRDefault="00434E76" w:rsidP="00434E76">
            <w:pPr>
              <w:overflowPunct/>
              <w:spacing w:line="256" w:lineRule="auto"/>
              <w:ind w:left="60" w:right="60"/>
              <w:jc w:val="center"/>
              <w:textAlignment w:val="auto"/>
              <w:rPr>
                <w:rFonts w:eastAsia="Calibri"/>
                <w:b/>
                <w:bCs/>
                <w:sz w:val="20"/>
                <w:lang w:val="fr-FR" w:eastAsia="en-US"/>
              </w:rPr>
            </w:pPr>
            <w:r w:rsidRPr="00434E76">
              <w:rPr>
                <w:rFonts w:eastAsia="Calibri"/>
                <w:b/>
                <w:bCs/>
                <w:sz w:val="20"/>
                <w:lang w:val="fr-FR" w:eastAsia="en-US"/>
              </w:rPr>
              <w:t>4</w:t>
            </w:r>
          </w:p>
        </w:tc>
        <w:tc>
          <w:tcPr>
            <w:tcW w:w="720" w:type="dxa"/>
            <w:tcBorders>
              <w:top w:val="nil"/>
              <w:left w:val="nil"/>
              <w:bottom w:val="single" w:sz="4" w:space="0" w:color="auto"/>
              <w:right w:val="nil"/>
            </w:tcBorders>
            <w:shd w:val="clear" w:color="auto" w:fill="F2F2F2" w:themeFill="background1" w:themeFillShade="F2"/>
            <w:vAlign w:val="center"/>
            <w:hideMark/>
          </w:tcPr>
          <w:p w:rsidR="00434E76" w:rsidRPr="00434E76" w:rsidRDefault="00434E76" w:rsidP="00434E76">
            <w:pPr>
              <w:overflowPunct/>
              <w:spacing w:line="256" w:lineRule="auto"/>
              <w:ind w:left="60" w:right="60"/>
              <w:jc w:val="center"/>
              <w:textAlignment w:val="auto"/>
              <w:rPr>
                <w:rFonts w:eastAsia="Calibri"/>
                <w:b/>
                <w:bCs/>
                <w:sz w:val="20"/>
                <w:lang w:val="fr-FR" w:eastAsia="en-US"/>
              </w:rPr>
            </w:pPr>
            <w:r w:rsidRPr="00434E76">
              <w:rPr>
                <w:rFonts w:eastAsia="Calibri"/>
                <w:b/>
                <w:bCs/>
                <w:sz w:val="20"/>
                <w:lang w:val="fr-FR" w:eastAsia="en-US"/>
              </w:rPr>
              <w:t>5</w:t>
            </w:r>
          </w:p>
        </w:tc>
        <w:tc>
          <w:tcPr>
            <w:tcW w:w="720" w:type="dxa"/>
            <w:tcBorders>
              <w:top w:val="nil"/>
              <w:left w:val="nil"/>
              <w:bottom w:val="single" w:sz="4" w:space="0" w:color="auto"/>
              <w:right w:val="nil"/>
            </w:tcBorders>
            <w:shd w:val="clear" w:color="auto" w:fill="F2F2F2" w:themeFill="background1" w:themeFillShade="F2"/>
            <w:vAlign w:val="center"/>
            <w:hideMark/>
          </w:tcPr>
          <w:p w:rsidR="00434E76" w:rsidRPr="00434E76" w:rsidRDefault="00434E76" w:rsidP="00434E76">
            <w:pPr>
              <w:overflowPunct/>
              <w:spacing w:line="256" w:lineRule="auto"/>
              <w:ind w:left="60" w:right="60"/>
              <w:jc w:val="center"/>
              <w:textAlignment w:val="auto"/>
              <w:rPr>
                <w:rFonts w:eastAsia="Calibri"/>
                <w:b/>
                <w:bCs/>
                <w:sz w:val="20"/>
                <w:lang w:val="fr-FR" w:eastAsia="en-US"/>
              </w:rPr>
            </w:pPr>
            <w:r w:rsidRPr="00434E76">
              <w:rPr>
                <w:rFonts w:eastAsia="Calibri"/>
                <w:b/>
                <w:bCs/>
                <w:sz w:val="20"/>
                <w:lang w:val="fr-FR" w:eastAsia="en-US"/>
              </w:rPr>
              <w:t>6</w:t>
            </w:r>
          </w:p>
        </w:tc>
        <w:tc>
          <w:tcPr>
            <w:tcW w:w="630" w:type="dxa"/>
            <w:tcBorders>
              <w:top w:val="nil"/>
              <w:left w:val="nil"/>
              <w:bottom w:val="single" w:sz="4" w:space="0" w:color="auto"/>
              <w:right w:val="nil"/>
            </w:tcBorders>
            <w:shd w:val="clear" w:color="auto" w:fill="F2F2F2" w:themeFill="background1" w:themeFillShade="F2"/>
            <w:vAlign w:val="center"/>
            <w:hideMark/>
          </w:tcPr>
          <w:p w:rsidR="00434E76" w:rsidRPr="00434E76" w:rsidRDefault="00434E76" w:rsidP="00434E76">
            <w:pPr>
              <w:overflowPunct/>
              <w:spacing w:line="256" w:lineRule="auto"/>
              <w:ind w:left="60" w:right="60"/>
              <w:jc w:val="center"/>
              <w:textAlignment w:val="auto"/>
              <w:rPr>
                <w:rFonts w:eastAsia="Calibri"/>
                <w:b/>
                <w:bCs/>
                <w:sz w:val="20"/>
                <w:lang w:val="fr-FR" w:eastAsia="en-US"/>
              </w:rPr>
            </w:pPr>
            <w:r w:rsidRPr="00434E76">
              <w:rPr>
                <w:rFonts w:eastAsia="Calibri"/>
                <w:b/>
                <w:bCs/>
                <w:sz w:val="20"/>
                <w:lang w:val="fr-FR" w:eastAsia="en-US"/>
              </w:rPr>
              <w:t>7</w:t>
            </w:r>
          </w:p>
        </w:tc>
        <w:tc>
          <w:tcPr>
            <w:tcW w:w="725" w:type="dxa"/>
            <w:tcBorders>
              <w:top w:val="nil"/>
              <w:left w:val="nil"/>
              <w:bottom w:val="single" w:sz="4" w:space="0" w:color="auto"/>
              <w:right w:val="single" w:sz="4" w:space="0" w:color="auto"/>
            </w:tcBorders>
            <w:shd w:val="clear" w:color="auto" w:fill="F2F2F2" w:themeFill="background1" w:themeFillShade="F2"/>
            <w:vAlign w:val="center"/>
            <w:hideMark/>
          </w:tcPr>
          <w:p w:rsidR="00434E76" w:rsidRPr="00434E76" w:rsidRDefault="00434E76" w:rsidP="00434E76">
            <w:pPr>
              <w:overflowPunct/>
              <w:spacing w:line="256" w:lineRule="auto"/>
              <w:ind w:left="60" w:right="60"/>
              <w:jc w:val="center"/>
              <w:textAlignment w:val="auto"/>
              <w:rPr>
                <w:rFonts w:eastAsia="Calibri"/>
                <w:b/>
                <w:bCs/>
                <w:sz w:val="20"/>
                <w:lang w:val="fr-FR" w:eastAsia="en-US"/>
              </w:rPr>
            </w:pPr>
            <w:r w:rsidRPr="00434E76">
              <w:rPr>
                <w:rFonts w:eastAsia="Calibri"/>
                <w:b/>
                <w:bCs/>
                <w:sz w:val="20"/>
                <w:lang w:val="fr-FR" w:eastAsia="en-US"/>
              </w:rPr>
              <w:t>8</w:t>
            </w:r>
          </w:p>
        </w:tc>
      </w:tr>
      <w:tr w:rsidR="00434E76" w:rsidRPr="00434E76" w:rsidTr="00434E76">
        <w:trPr>
          <w:cantSplit/>
        </w:trPr>
        <w:tc>
          <w:tcPr>
            <w:tcW w:w="3780" w:type="dxa"/>
            <w:tcBorders>
              <w:top w:val="single" w:sz="4" w:space="0" w:color="auto"/>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Propriety : antiemetic’s</w:t>
            </w:r>
          </w:p>
        </w:tc>
        <w:tc>
          <w:tcPr>
            <w:tcW w:w="720" w:type="dxa"/>
            <w:tcBorders>
              <w:top w:val="single" w:sz="4" w:space="0" w:color="auto"/>
              <w:left w:val="single" w:sz="4" w:space="0" w:color="auto"/>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eastAsia="en-US"/>
              </w:rPr>
            </w:pPr>
            <w:r w:rsidRPr="00434E76">
              <w:rPr>
                <w:rFonts w:ascii="Calibri" w:eastAsia="Calibri" w:hAnsi="Calibri" w:cs="Calibri"/>
                <w:color w:val="010205"/>
                <w:sz w:val="20"/>
                <w:lang w:eastAsia="en-US"/>
              </w:rPr>
              <w:t>0.812</w:t>
            </w:r>
          </w:p>
        </w:tc>
        <w:tc>
          <w:tcPr>
            <w:tcW w:w="720" w:type="dxa"/>
            <w:tcBorders>
              <w:top w:val="single" w:sz="4" w:space="0" w:color="auto"/>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single" w:sz="4" w:space="0" w:color="auto"/>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single" w:sz="4" w:space="0" w:color="auto"/>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single" w:sz="4" w:space="0" w:color="auto"/>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single" w:sz="4" w:space="0" w:color="auto"/>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630" w:type="dxa"/>
            <w:tcBorders>
              <w:top w:val="single" w:sz="4" w:space="0" w:color="auto"/>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5" w:type="dxa"/>
            <w:tcBorders>
              <w:top w:val="single" w:sz="4" w:space="0" w:color="auto"/>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 xml:space="preserve">Propriety : antidiarrheal </w:t>
            </w:r>
          </w:p>
        </w:tc>
        <w:tc>
          <w:tcPr>
            <w:tcW w:w="720" w:type="dxa"/>
            <w:tcBorders>
              <w:top w:val="nil"/>
              <w:left w:val="single" w:sz="4" w:space="0" w:color="auto"/>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eastAsia="en-US"/>
              </w:rPr>
            </w:pPr>
            <w:r w:rsidRPr="00434E76">
              <w:rPr>
                <w:rFonts w:ascii="Calibri" w:eastAsia="Calibri" w:hAnsi="Calibri" w:cs="Calibri"/>
                <w:color w:val="010205"/>
                <w:sz w:val="20"/>
                <w:lang w:eastAsia="en-US"/>
              </w:rPr>
              <w:t>0.810</w:t>
            </w: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63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5" w:type="dxa"/>
            <w:tcBorders>
              <w:top w:val="nil"/>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 xml:space="preserve">Propriety : antibiotics </w:t>
            </w:r>
          </w:p>
        </w:tc>
        <w:tc>
          <w:tcPr>
            <w:tcW w:w="720" w:type="dxa"/>
            <w:tcBorders>
              <w:top w:val="nil"/>
              <w:left w:val="single" w:sz="4" w:space="0" w:color="auto"/>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eastAsia="en-US"/>
              </w:rPr>
            </w:pPr>
            <w:r w:rsidRPr="00434E76">
              <w:rPr>
                <w:rFonts w:ascii="Calibri" w:eastAsia="Calibri" w:hAnsi="Calibri" w:cs="Calibri"/>
                <w:color w:val="010205"/>
                <w:sz w:val="20"/>
                <w:lang w:eastAsia="en-US"/>
              </w:rPr>
              <w:t>0.742</w:t>
            </w: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63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5" w:type="dxa"/>
            <w:tcBorders>
              <w:top w:val="nil"/>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Propriety : anti-ulcer</w:t>
            </w:r>
          </w:p>
        </w:tc>
        <w:tc>
          <w:tcPr>
            <w:tcW w:w="720" w:type="dxa"/>
            <w:tcBorders>
              <w:top w:val="nil"/>
              <w:left w:val="single" w:sz="4" w:space="0" w:color="auto"/>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eastAsia="en-US"/>
              </w:rPr>
            </w:pPr>
            <w:r w:rsidRPr="00434E76">
              <w:rPr>
                <w:rFonts w:ascii="Calibri" w:eastAsia="Calibri" w:hAnsi="Calibri" w:cs="Calibri"/>
                <w:color w:val="010205"/>
                <w:sz w:val="20"/>
                <w:lang w:eastAsia="en-US"/>
              </w:rPr>
              <w:t>0.723</w:t>
            </w: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63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5" w:type="dxa"/>
            <w:tcBorders>
              <w:top w:val="nil"/>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Effect : eye damage</w:t>
            </w:r>
          </w:p>
        </w:tc>
        <w:tc>
          <w:tcPr>
            <w:tcW w:w="720" w:type="dxa"/>
            <w:tcBorders>
              <w:top w:val="nil"/>
              <w:left w:val="single" w:sz="4" w:space="0" w:color="auto"/>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eastAsia="en-US"/>
              </w:rPr>
            </w:pPr>
            <w:r w:rsidRPr="00434E76">
              <w:rPr>
                <w:rFonts w:ascii="Calibri" w:eastAsia="Calibri" w:hAnsi="Calibri" w:cs="Calibri"/>
                <w:color w:val="010205"/>
                <w:sz w:val="20"/>
                <w:lang w:eastAsia="en-US"/>
              </w:rPr>
              <w:t>-0.695</w:t>
            </w: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63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5" w:type="dxa"/>
            <w:tcBorders>
              <w:top w:val="nil"/>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 xml:space="preserve">Propriety : sleep aid </w:t>
            </w:r>
          </w:p>
        </w:tc>
        <w:tc>
          <w:tcPr>
            <w:tcW w:w="720" w:type="dxa"/>
            <w:tcBorders>
              <w:top w:val="nil"/>
              <w:left w:val="single" w:sz="4" w:space="0" w:color="auto"/>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eastAsia="en-US"/>
              </w:rPr>
            </w:pPr>
            <w:r w:rsidRPr="00434E76">
              <w:rPr>
                <w:rFonts w:ascii="Calibri" w:eastAsia="Calibri" w:hAnsi="Calibri" w:cs="Calibri"/>
                <w:color w:val="010205"/>
                <w:sz w:val="20"/>
                <w:lang w:eastAsia="en-US"/>
              </w:rPr>
              <w:t>0.547</w:t>
            </w: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63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5" w:type="dxa"/>
            <w:tcBorders>
              <w:top w:val="nil"/>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Safety during pregnancy</w:t>
            </w:r>
          </w:p>
        </w:tc>
        <w:tc>
          <w:tcPr>
            <w:tcW w:w="720" w:type="dxa"/>
            <w:tcBorders>
              <w:top w:val="nil"/>
              <w:left w:val="single" w:sz="4" w:space="0" w:color="auto"/>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val="fr-FR" w:eastAsia="en-US"/>
              </w:rPr>
            </w:pPr>
            <w:r w:rsidRPr="00434E76">
              <w:rPr>
                <w:rFonts w:ascii="Calibri" w:eastAsia="Calibri" w:hAnsi="Calibri" w:cs="Calibri"/>
                <w:color w:val="010205"/>
                <w:sz w:val="20"/>
                <w:lang w:val="fr-FR" w:eastAsia="en-US"/>
              </w:rPr>
              <w:t>0.819</w:t>
            </w: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63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5" w:type="dxa"/>
            <w:tcBorders>
              <w:top w:val="nil"/>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Stage of pregnancy in which APAP can be use</w:t>
            </w:r>
          </w:p>
        </w:tc>
        <w:tc>
          <w:tcPr>
            <w:tcW w:w="720" w:type="dxa"/>
            <w:tcBorders>
              <w:top w:val="nil"/>
              <w:left w:val="single" w:sz="4" w:space="0" w:color="auto"/>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val="fr-FR" w:eastAsia="en-US"/>
              </w:rPr>
            </w:pPr>
            <w:r w:rsidRPr="00434E76">
              <w:rPr>
                <w:rFonts w:ascii="Calibri" w:eastAsia="Calibri" w:hAnsi="Calibri" w:cs="Calibri"/>
                <w:color w:val="010205"/>
                <w:sz w:val="20"/>
                <w:lang w:val="fr-FR" w:eastAsia="en-US"/>
              </w:rPr>
              <w:t>0.688</w:t>
            </w: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63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5" w:type="dxa"/>
            <w:tcBorders>
              <w:top w:val="nil"/>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 xml:space="preserve">Propriety : analgesic </w:t>
            </w:r>
          </w:p>
        </w:tc>
        <w:tc>
          <w:tcPr>
            <w:tcW w:w="720" w:type="dxa"/>
            <w:tcBorders>
              <w:top w:val="nil"/>
              <w:left w:val="single" w:sz="4" w:space="0" w:color="auto"/>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val="fr-FR" w:eastAsia="en-US"/>
              </w:rPr>
            </w:pPr>
            <w:r w:rsidRPr="00434E76">
              <w:rPr>
                <w:rFonts w:ascii="Calibri" w:eastAsia="Calibri" w:hAnsi="Calibri" w:cs="Calibri"/>
                <w:color w:val="010205"/>
                <w:sz w:val="20"/>
                <w:lang w:val="fr-FR" w:eastAsia="en-US"/>
              </w:rPr>
              <w:t>0.652</w:t>
            </w: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63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5" w:type="dxa"/>
            <w:tcBorders>
              <w:top w:val="nil"/>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proofErr w:type="spellStart"/>
            <w:r w:rsidRPr="00434E76">
              <w:rPr>
                <w:rFonts w:eastAsia="Calibri"/>
                <w:sz w:val="19"/>
                <w:szCs w:val="19"/>
                <w:lang w:eastAsia="en-US"/>
              </w:rPr>
              <w:t>Spasfon</w:t>
            </w:r>
            <w:proofErr w:type="spellEnd"/>
            <w:r w:rsidRPr="00434E76">
              <w:rPr>
                <w:rFonts w:eastAsia="Calibri"/>
                <w:sz w:val="19"/>
                <w:szCs w:val="19"/>
                <w:lang w:eastAsia="en-US"/>
              </w:rPr>
              <w:t xml:space="preserve"> is a type of APAP</w:t>
            </w:r>
          </w:p>
        </w:tc>
        <w:tc>
          <w:tcPr>
            <w:tcW w:w="720" w:type="dxa"/>
            <w:tcBorders>
              <w:top w:val="nil"/>
              <w:left w:val="single" w:sz="4" w:space="0" w:color="auto"/>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810" w:type="dxa"/>
            <w:tcBorders>
              <w:top w:val="nil"/>
              <w:left w:val="nil"/>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val="fr-FR" w:eastAsia="en-US"/>
              </w:rPr>
            </w:pPr>
            <w:r w:rsidRPr="00434E76">
              <w:rPr>
                <w:rFonts w:ascii="Calibri" w:eastAsia="Calibri" w:hAnsi="Calibri" w:cs="Calibri"/>
                <w:color w:val="010205"/>
                <w:sz w:val="20"/>
                <w:lang w:val="fr-FR" w:eastAsia="en-US"/>
              </w:rPr>
              <w:t>0.820</w:t>
            </w: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63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5" w:type="dxa"/>
            <w:tcBorders>
              <w:top w:val="nil"/>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tabs>
                <w:tab w:val="left" w:pos="2790"/>
              </w:tabs>
              <w:overflowPunct/>
              <w:spacing w:line="256" w:lineRule="auto"/>
              <w:ind w:left="60" w:right="60"/>
              <w:textAlignment w:val="auto"/>
              <w:rPr>
                <w:rFonts w:eastAsia="Calibri"/>
                <w:sz w:val="19"/>
                <w:szCs w:val="19"/>
                <w:lang w:eastAsia="en-US"/>
              </w:rPr>
            </w:pPr>
            <w:proofErr w:type="spellStart"/>
            <w:r w:rsidRPr="00434E76">
              <w:rPr>
                <w:rFonts w:eastAsia="Calibri"/>
                <w:sz w:val="19"/>
                <w:szCs w:val="19"/>
                <w:lang w:eastAsia="en-US"/>
              </w:rPr>
              <w:t>Profenid</w:t>
            </w:r>
            <w:proofErr w:type="spellEnd"/>
            <w:r w:rsidRPr="00434E76">
              <w:rPr>
                <w:rFonts w:eastAsia="Calibri"/>
                <w:sz w:val="19"/>
                <w:szCs w:val="19"/>
                <w:lang w:eastAsia="en-US"/>
              </w:rPr>
              <w:t xml:space="preserve"> is a type of APAP</w:t>
            </w:r>
          </w:p>
        </w:tc>
        <w:tc>
          <w:tcPr>
            <w:tcW w:w="720" w:type="dxa"/>
            <w:tcBorders>
              <w:top w:val="nil"/>
              <w:left w:val="single" w:sz="4" w:space="0" w:color="auto"/>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810" w:type="dxa"/>
            <w:tcBorders>
              <w:top w:val="nil"/>
              <w:left w:val="nil"/>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val="fr-FR" w:eastAsia="en-US"/>
              </w:rPr>
            </w:pPr>
            <w:r w:rsidRPr="00434E76">
              <w:rPr>
                <w:rFonts w:ascii="Calibri" w:eastAsia="Calibri" w:hAnsi="Calibri" w:cs="Calibri"/>
                <w:color w:val="010205"/>
                <w:sz w:val="20"/>
                <w:lang w:val="fr-FR" w:eastAsia="en-US"/>
              </w:rPr>
              <w:t>0.766</w:t>
            </w: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63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5" w:type="dxa"/>
            <w:tcBorders>
              <w:top w:val="nil"/>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 xml:space="preserve">Propriety : antipyretic </w:t>
            </w:r>
          </w:p>
        </w:tc>
        <w:tc>
          <w:tcPr>
            <w:tcW w:w="720" w:type="dxa"/>
            <w:tcBorders>
              <w:top w:val="nil"/>
              <w:left w:val="single" w:sz="4" w:space="0" w:color="auto"/>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val="fr-FR" w:eastAsia="en-US"/>
              </w:rPr>
            </w:pPr>
            <w:r w:rsidRPr="00434E76">
              <w:rPr>
                <w:rFonts w:ascii="Calibri" w:eastAsia="Calibri" w:hAnsi="Calibri" w:cs="Calibri"/>
                <w:color w:val="010205"/>
                <w:sz w:val="20"/>
                <w:lang w:val="fr-FR" w:eastAsia="en-US"/>
              </w:rPr>
              <w:t>0.443</w:t>
            </w: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63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5" w:type="dxa"/>
            <w:tcBorders>
              <w:top w:val="nil"/>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Effect : malformations</w:t>
            </w:r>
          </w:p>
        </w:tc>
        <w:tc>
          <w:tcPr>
            <w:tcW w:w="720" w:type="dxa"/>
            <w:tcBorders>
              <w:top w:val="nil"/>
              <w:left w:val="single" w:sz="4" w:space="0" w:color="auto"/>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val="fr-FR" w:eastAsia="en-US"/>
              </w:rPr>
            </w:pPr>
            <w:r w:rsidRPr="00434E76">
              <w:rPr>
                <w:rFonts w:ascii="Calibri" w:eastAsia="Calibri" w:hAnsi="Calibri" w:cs="Calibri"/>
                <w:color w:val="010205"/>
                <w:sz w:val="20"/>
                <w:lang w:val="fr-FR" w:eastAsia="en-US"/>
              </w:rPr>
              <w:t>0.851</w:t>
            </w: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63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5" w:type="dxa"/>
            <w:tcBorders>
              <w:top w:val="nil"/>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Effect : asthma</w:t>
            </w:r>
          </w:p>
        </w:tc>
        <w:tc>
          <w:tcPr>
            <w:tcW w:w="720" w:type="dxa"/>
            <w:tcBorders>
              <w:top w:val="nil"/>
              <w:left w:val="single" w:sz="4" w:space="0" w:color="auto"/>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val="fr-FR" w:eastAsia="en-US"/>
              </w:rPr>
            </w:pPr>
            <w:r w:rsidRPr="00434E76">
              <w:rPr>
                <w:rFonts w:ascii="Calibri" w:eastAsia="Calibri" w:hAnsi="Calibri" w:cs="Calibri"/>
                <w:color w:val="010205"/>
                <w:sz w:val="20"/>
                <w:lang w:val="fr-FR" w:eastAsia="en-US"/>
              </w:rPr>
              <w:t>0.837</w:t>
            </w: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63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5" w:type="dxa"/>
            <w:tcBorders>
              <w:top w:val="nil"/>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Effect : growth retardation</w:t>
            </w:r>
          </w:p>
        </w:tc>
        <w:tc>
          <w:tcPr>
            <w:tcW w:w="720" w:type="dxa"/>
            <w:tcBorders>
              <w:top w:val="nil"/>
              <w:left w:val="single" w:sz="4" w:space="0" w:color="auto"/>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val="fr-FR" w:eastAsia="en-US"/>
              </w:rPr>
            </w:pPr>
            <w:r w:rsidRPr="00434E76">
              <w:rPr>
                <w:rFonts w:ascii="Calibri" w:eastAsia="Calibri" w:hAnsi="Calibri" w:cs="Calibri"/>
                <w:color w:val="010205"/>
                <w:sz w:val="20"/>
                <w:lang w:val="fr-FR" w:eastAsia="en-US"/>
              </w:rPr>
              <w:t>0.542</w:t>
            </w: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63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5" w:type="dxa"/>
            <w:tcBorders>
              <w:top w:val="nil"/>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Possible effect for woman</w:t>
            </w:r>
          </w:p>
        </w:tc>
        <w:tc>
          <w:tcPr>
            <w:tcW w:w="720" w:type="dxa"/>
            <w:tcBorders>
              <w:top w:val="nil"/>
              <w:left w:val="single" w:sz="4" w:space="0" w:color="auto"/>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val="fr-FR" w:eastAsia="en-US"/>
              </w:rPr>
            </w:pPr>
            <w:r w:rsidRPr="00434E76">
              <w:rPr>
                <w:rFonts w:ascii="Calibri" w:eastAsia="Calibri" w:hAnsi="Calibri" w:cs="Calibri"/>
                <w:color w:val="010205"/>
                <w:sz w:val="20"/>
                <w:lang w:val="fr-FR" w:eastAsia="en-US"/>
              </w:rPr>
              <w:t>0.921</w:t>
            </w: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63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5" w:type="dxa"/>
            <w:tcBorders>
              <w:top w:val="nil"/>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 xml:space="preserve">Possible effect for fetus </w:t>
            </w:r>
          </w:p>
        </w:tc>
        <w:tc>
          <w:tcPr>
            <w:tcW w:w="720" w:type="dxa"/>
            <w:tcBorders>
              <w:top w:val="nil"/>
              <w:left w:val="single" w:sz="4" w:space="0" w:color="auto"/>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val="fr-FR" w:eastAsia="en-US"/>
              </w:rPr>
            </w:pPr>
            <w:r w:rsidRPr="00434E76">
              <w:rPr>
                <w:rFonts w:ascii="Calibri" w:eastAsia="Calibri" w:hAnsi="Calibri" w:cs="Calibri"/>
                <w:color w:val="010205"/>
                <w:sz w:val="20"/>
                <w:lang w:val="fr-FR" w:eastAsia="en-US"/>
              </w:rPr>
              <w:t>0.734</w:t>
            </w: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63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5" w:type="dxa"/>
            <w:tcBorders>
              <w:top w:val="nil"/>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Effect : kidney damage</w:t>
            </w:r>
          </w:p>
        </w:tc>
        <w:tc>
          <w:tcPr>
            <w:tcW w:w="720" w:type="dxa"/>
            <w:tcBorders>
              <w:top w:val="nil"/>
              <w:left w:val="single" w:sz="4" w:space="0" w:color="auto"/>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val="fr-FR" w:eastAsia="en-US"/>
              </w:rPr>
            </w:pPr>
            <w:r w:rsidRPr="00434E76">
              <w:rPr>
                <w:rFonts w:ascii="Calibri" w:eastAsia="Calibri" w:hAnsi="Calibri" w:cs="Calibri"/>
                <w:color w:val="010205"/>
                <w:sz w:val="20"/>
                <w:lang w:val="fr-FR" w:eastAsia="en-US"/>
              </w:rPr>
              <w:t>0.588</w:t>
            </w: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63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5" w:type="dxa"/>
            <w:tcBorders>
              <w:top w:val="nil"/>
              <w:left w:val="nil"/>
              <w:bottom w:val="nil"/>
              <w:right w:val="single" w:sz="4" w:space="0" w:color="auto"/>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val="fr-FR" w:eastAsia="en-US"/>
              </w:rPr>
            </w:pPr>
            <w:r w:rsidRPr="00434E76">
              <w:rPr>
                <w:rFonts w:ascii="Calibri" w:eastAsia="Calibri" w:hAnsi="Calibri" w:cs="Calibri"/>
                <w:color w:val="010205"/>
                <w:sz w:val="20"/>
                <w:lang w:val="fr-FR" w:eastAsia="en-US"/>
              </w:rPr>
              <w:t>-0.435</w:t>
            </w: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Effect : autism</w:t>
            </w:r>
          </w:p>
        </w:tc>
        <w:tc>
          <w:tcPr>
            <w:tcW w:w="720" w:type="dxa"/>
            <w:tcBorders>
              <w:top w:val="nil"/>
              <w:left w:val="single" w:sz="4" w:space="0" w:color="auto"/>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val="fr-FR" w:eastAsia="en-US"/>
              </w:rPr>
            </w:pPr>
            <w:r w:rsidRPr="00434E76">
              <w:rPr>
                <w:rFonts w:ascii="Calibri" w:eastAsia="Calibri" w:hAnsi="Calibri" w:cs="Calibri"/>
                <w:color w:val="010205"/>
                <w:sz w:val="20"/>
                <w:lang w:val="fr-FR" w:eastAsia="en-US"/>
              </w:rPr>
              <w:t>0.801</w:t>
            </w:r>
          </w:p>
        </w:tc>
        <w:tc>
          <w:tcPr>
            <w:tcW w:w="63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5" w:type="dxa"/>
            <w:tcBorders>
              <w:top w:val="nil"/>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Effect : hyperactivity</w:t>
            </w:r>
          </w:p>
        </w:tc>
        <w:tc>
          <w:tcPr>
            <w:tcW w:w="720" w:type="dxa"/>
            <w:tcBorders>
              <w:top w:val="nil"/>
              <w:left w:val="single" w:sz="4" w:space="0" w:color="auto"/>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val="fr-FR" w:eastAsia="en-US"/>
              </w:rPr>
            </w:pPr>
            <w:r w:rsidRPr="00434E76">
              <w:rPr>
                <w:rFonts w:ascii="Calibri" w:eastAsia="Calibri" w:hAnsi="Calibri" w:cs="Calibri"/>
                <w:color w:val="010205"/>
                <w:sz w:val="20"/>
                <w:lang w:val="fr-FR" w:eastAsia="en-US"/>
              </w:rPr>
              <w:t>0.648</w:t>
            </w:r>
          </w:p>
        </w:tc>
        <w:tc>
          <w:tcPr>
            <w:tcW w:w="63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5" w:type="dxa"/>
            <w:tcBorders>
              <w:top w:val="nil"/>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 xml:space="preserve">APAP and death </w:t>
            </w:r>
          </w:p>
        </w:tc>
        <w:tc>
          <w:tcPr>
            <w:tcW w:w="720" w:type="dxa"/>
            <w:tcBorders>
              <w:top w:val="nil"/>
              <w:left w:val="single" w:sz="4" w:space="0" w:color="auto"/>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630" w:type="dxa"/>
            <w:tcBorders>
              <w:top w:val="nil"/>
              <w:left w:val="nil"/>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val="fr-FR" w:eastAsia="en-US"/>
              </w:rPr>
            </w:pPr>
            <w:r w:rsidRPr="00434E76">
              <w:rPr>
                <w:rFonts w:ascii="Calibri" w:eastAsia="Calibri" w:hAnsi="Calibri" w:cs="Calibri"/>
                <w:color w:val="010205"/>
                <w:sz w:val="20"/>
                <w:lang w:val="fr-FR" w:eastAsia="en-US"/>
              </w:rPr>
              <w:t>0.734</w:t>
            </w:r>
          </w:p>
        </w:tc>
        <w:tc>
          <w:tcPr>
            <w:tcW w:w="725" w:type="dxa"/>
            <w:tcBorders>
              <w:top w:val="nil"/>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Effect : liver damage</w:t>
            </w:r>
          </w:p>
        </w:tc>
        <w:tc>
          <w:tcPr>
            <w:tcW w:w="720" w:type="dxa"/>
            <w:tcBorders>
              <w:top w:val="nil"/>
              <w:left w:val="single" w:sz="4" w:space="0" w:color="auto"/>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c>
          <w:tcPr>
            <w:tcW w:w="630" w:type="dxa"/>
            <w:tcBorders>
              <w:top w:val="nil"/>
              <w:left w:val="nil"/>
              <w:bottom w:val="nil"/>
              <w:right w:val="nil"/>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val="fr-FR" w:eastAsia="en-US"/>
              </w:rPr>
            </w:pPr>
            <w:r w:rsidRPr="00434E76">
              <w:rPr>
                <w:rFonts w:ascii="Calibri" w:eastAsia="Calibri" w:hAnsi="Calibri" w:cs="Calibri"/>
                <w:color w:val="010205"/>
                <w:sz w:val="20"/>
                <w:lang w:val="fr-FR" w:eastAsia="en-US"/>
              </w:rPr>
              <w:t>0.612</w:t>
            </w:r>
          </w:p>
        </w:tc>
        <w:tc>
          <w:tcPr>
            <w:tcW w:w="725" w:type="dxa"/>
            <w:tcBorders>
              <w:top w:val="nil"/>
              <w:left w:val="nil"/>
              <w:bottom w:val="nil"/>
              <w:right w:val="single" w:sz="4" w:space="0" w:color="auto"/>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val="fr-FR" w:eastAsia="en-US"/>
              </w:rPr>
            </w:pPr>
          </w:p>
        </w:tc>
      </w:tr>
      <w:tr w:rsidR="00434E76" w:rsidRPr="00434E76" w:rsidTr="00434E76">
        <w:trPr>
          <w:cantSplit/>
        </w:trPr>
        <w:tc>
          <w:tcPr>
            <w:tcW w:w="3780" w:type="dxa"/>
            <w:tcBorders>
              <w:top w:val="nil"/>
              <w:left w:val="single" w:sz="4" w:space="0" w:color="auto"/>
              <w:bottom w:val="nil"/>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 xml:space="preserve">Minimum time of waiting between 2 doses </w:t>
            </w:r>
          </w:p>
        </w:tc>
        <w:tc>
          <w:tcPr>
            <w:tcW w:w="720" w:type="dxa"/>
            <w:tcBorders>
              <w:top w:val="nil"/>
              <w:left w:val="single" w:sz="4" w:space="0" w:color="auto"/>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81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630" w:type="dxa"/>
            <w:tcBorders>
              <w:top w:val="nil"/>
              <w:left w:val="nil"/>
              <w:bottom w:val="nil"/>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5" w:type="dxa"/>
            <w:tcBorders>
              <w:top w:val="nil"/>
              <w:left w:val="nil"/>
              <w:bottom w:val="nil"/>
              <w:right w:val="single" w:sz="4" w:space="0" w:color="auto"/>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val="fr-FR" w:eastAsia="en-US"/>
              </w:rPr>
            </w:pPr>
            <w:r w:rsidRPr="00434E76">
              <w:rPr>
                <w:rFonts w:ascii="Calibri" w:eastAsia="Calibri" w:hAnsi="Calibri" w:cs="Calibri"/>
                <w:color w:val="010205"/>
                <w:sz w:val="20"/>
                <w:lang w:val="fr-FR" w:eastAsia="en-US"/>
              </w:rPr>
              <w:t>0.714</w:t>
            </w:r>
          </w:p>
        </w:tc>
      </w:tr>
      <w:tr w:rsidR="00434E76" w:rsidRPr="00434E76" w:rsidTr="00434E76">
        <w:trPr>
          <w:cantSplit/>
          <w:trHeight w:val="296"/>
        </w:trPr>
        <w:tc>
          <w:tcPr>
            <w:tcW w:w="3780" w:type="dxa"/>
            <w:tcBorders>
              <w:top w:val="nil"/>
              <w:left w:val="single" w:sz="4" w:space="0" w:color="auto"/>
              <w:bottom w:val="single" w:sz="4" w:space="0" w:color="auto"/>
              <w:right w:val="single" w:sz="4" w:space="0" w:color="auto"/>
            </w:tcBorders>
            <w:vAlign w:val="center"/>
            <w:hideMark/>
          </w:tcPr>
          <w:p w:rsidR="00434E76" w:rsidRPr="00434E76" w:rsidRDefault="00434E76" w:rsidP="00434E76">
            <w:pPr>
              <w:overflowPunct/>
              <w:spacing w:line="256" w:lineRule="auto"/>
              <w:ind w:left="60" w:right="60"/>
              <w:textAlignment w:val="auto"/>
              <w:rPr>
                <w:rFonts w:eastAsia="Calibri"/>
                <w:sz w:val="19"/>
                <w:szCs w:val="19"/>
                <w:lang w:eastAsia="en-US"/>
              </w:rPr>
            </w:pPr>
            <w:r w:rsidRPr="00434E76">
              <w:rPr>
                <w:rFonts w:eastAsia="Calibri"/>
                <w:sz w:val="19"/>
                <w:szCs w:val="19"/>
                <w:lang w:eastAsia="en-US"/>
              </w:rPr>
              <w:t>Maximum allowed dose of APAP</w:t>
            </w:r>
          </w:p>
        </w:tc>
        <w:tc>
          <w:tcPr>
            <w:tcW w:w="720" w:type="dxa"/>
            <w:tcBorders>
              <w:top w:val="nil"/>
              <w:left w:val="single" w:sz="4" w:space="0" w:color="auto"/>
              <w:bottom w:val="single" w:sz="4" w:space="0" w:color="auto"/>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single" w:sz="4" w:space="0" w:color="auto"/>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810" w:type="dxa"/>
            <w:tcBorders>
              <w:top w:val="nil"/>
              <w:left w:val="nil"/>
              <w:bottom w:val="single" w:sz="4" w:space="0" w:color="auto"/>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810" w:type="dxa"/>
            <w:tcBorders>
              <w:top w:val="nil"/>
              <w:left w:val="nil"/>
              <w:bottom w:val="single" w:sz="4" w:space="0" w:color="auto"/>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single" w:sz="4" w:space="0" w:color="auto"/>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0" w:type="dxa"/>
            <w:tcBorders>
              <w:top w:val="nil"/>
              <w:left w:val="nil"/>
              <w:bottom w:val="single" w:sz="4" w:space="0" w:color="auto"/>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630" w:type="dxa"/>
            <w:tcBorders>
              <w:top w:val="nil"/>
              <w:left w:val="nil"/>
              <w:bottom w:val="single" w:sz="4" w:space="0" w:color="auto"/>
              <w:right w:val="nil"/>
            </w:tcBorders>
            <w:shd w:val="clear" w:color="auto" w:fill="FFFFFF"/>
            <w:vAlign w:val="center"/>
          </w:tcPr>
          <w:p w:rsidR="00434E76" w:rsidRPr="00434E76" w:rsidRDefault="00434E76" w:rsidP="00434E76">
            <w:pPr>
              <w:overflowPunct/>
              <w:spacing w:line="256" w:lineRule="auto"/>
              <w:jc w:val="center"/>
              <w:textAlignment w:val="auto"/>
              <w:rPr>
                <w:rFonts w:ascii="Calibri" w:eastAsia="Calibri" w:hAnsi="Calibri" w:cs="Calibri"/>
                <w:sz w:val="20"/>
                <w:lang w:eastAsia="en-US"/>
              </w:rPr>
            </w:pPr>
          </w:p>
        </w:tc>
        <w:tc>
          <w:tcPr>
            <w:tcW w:w="725" w:type="dxa"/>
            <w:tcBorders>
              <w:top w:val="nil"/>
              <w:left w:val="nil"/>
              <w:bottom w:val="single" w:sz="4" w:space="0" w:color="auto"/>
              <w:right w:val="single" w:sz="4" w:space="0" w:color="auto"/>
            </w:tcBorders>
            <w:shd w:val="clear" w:color="auto" w:fill="FFFFFF"/>
            <w:vAlign w:val="center"/>
            <w:hideMark/>
          </w:tcPr>
          <w:p w:rsidR="00434E76" w:rsidRPr="00434E76" w:rsidRDefault="00434E76" w:rsidP="00434E76">
            <w:pPr>
              <w:overflowPunct/>
              <w:spacing w:line="256" w:lineRule="auto"/>
              <w:ind w:left="60" w:right="60"/>
              <w:jc w:val="center"/>
              <w:textAlignment w:val="auto"/>
              <w:rPr>
                <w:rFonts w:ascii="Calibri" w:eastAsia="Calibri" w:hAnsi="Calibri" w:cs="Calibri"/>
                <w:color w:val="010205"/>
                <w:sz w:val="20"/>
                <w:lang w:val="fr-FR" w:eastAsia="en-US"/>
              </w:rPr>
            </w:pPr>
            <w:r w:rsidRPr="00434E76">
              <w:rPr>
                <w:rFonts w:ascii="Calibri" w:eastAsia="Calibri" w:hAnsi="Calibri" w:cs="Calibri"/>
                <w:color w:val="010205"/>
                <w:sz w:val="20"/>
                <w:lang w:val="fr-FR" w:eastAsia="en-US"/>
              </w:rPr>
              <w:t>0.500</w:t>
            </w:r>
          </w:p>
        </w:tc>
      </w:tr>
      <w:tr w:rsidR="00434E76" w:rsidRPr="00434E76" w:rsidTr="00434E76">
        <w:trPr>
          <w:cantSplit/>
          <w:trHeight w:val="530"/>
        </w:trPr>
        <w:tc>
          <w:tcPr>
            <w:tcW w:w="9635" w:type="dxa"/>
            <w:gridSpan w:val="9"/>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434E76" w:rsidRPr="00434E76" w:rsidRDefault="00434E76" w:rsidP="00434E76">
            <w:pPr>
              <w:overflowPunct/>
              <w:spacing w:line="256" w:lineRule="auto"/>
              <w:ind w:left="60" w:right="60"/>
              <w:textAlignment w:val="auto"/>
              <w:rPr>
                <w:rFonts w:eastAsia="Calibri"/>
                <w:b/>
                <w:bCs/>
                <w:color w:val="010205"/>
                <w:sz w:val="20"/>
                <w:lang w:eastAsia="en-US"/>
              </w:rPr>
            </w:pPr>
            <w:r w:rsidRPr="00434E76">
              <w:rPr>
                <w:rFonts w:eastAsia="Calibri"/>
                <w:b/>
                <w:bCs/>
                <w:color w:val="010205"/>
                <w:sz w:val="20"/>
                <w:lang w:eastAsia="en-US"/>
              </w:rPr>
              <w:t xml:space="preserve">KMO = 0.705; </w:t>
            </w:r>
            <w:r w:rsidRPr="00434E76">
              <w:rPr>
                <w:rFonts w:eastAsia="Calibri"/>
                <w:b/>
                <w:bCs/>
                <w:sz w:val="20"/>
                <w:lang w:eastAsia="en-US"/>
              </w:rPr>
              <w:t xml:space="preserve">Bartlett’s test of </w:t>
            </w:r>
            <w:proofErr w:type="spellStart"/>
            <w:r w:rsidRPr="00434E76">
              <w:rPr>
                <w:rFonts w:eastAsia="Calibri"/>
                <w:b/>
                <w:bCs/>
                <w:sz w:val="20"/>
                <w:lang w:eastAsia="en-US"/>
              </w:rPr>
              <w:t>sphericity</w:t>
            </w:r>
            <w:proofErr w:type="spellEnd"/>
            <w:r w:rsidRPr="00434E76">
              <w:rPr>
                <w:rFonts w:eastAsia="Calibri"/>
                <w:b/>
                <w:bCs/>
                <w:sz w:val="20"/>
                <w:lang w:eastAsia="en-US"/>
              </w:rPr>
              <w:t xml:space="preserve"> p &lt; 0.001; α = 0</w:t>
            </w:r>
            <w:r w:rsidRPr="00434E76">
              <w:rPr>
                <w:rFonts w:ascii="Cambria Math" w:eastAsia="Calibri" w:hAnsi="Cambria Math" w:cs="Cambria Math"/>
                <w:b/>
                <w:bCs/>
                <w:sz w:val="20"/>
                <w:lang w:eastAsia="en-US"/>
              </w:rPr>
              <w:t>⋅</w:t>
            </w:r>
            <w:r w:rsidRPr="00434E76">
              <w:rPr>
                <w:rFonts w:eastAsia="Calibri"/>
                <w:b/>
                <w:bCs/>
                <w:sz w:val="20"/>
                <w:lang w:eastAsia="en-US"/>
              </w:rPr>
              <w:t>686.</w:t>
            </w:r>
          </w:p>
        </w:tc>
      </w:tr>
    </w:tbl>
    <w:p w:rsidR="00434E76" w:rsidRDefault="00434E76" w:rsidP="00434E76">
      <w:pPr>
        <w:pStyle w:val="heading2"/>
        <w:jc w:val="both"/>
      </w:pPr>
    </w:p>
    <w:p w:rsidR="00434E76" w:rsidRDefault="00434E76" w:rsidP="00434E76">
      <w:pPr>
        <w:jc w:val="both"/>
        <w:rPr>
          <w:sz w:val="20"/>
          <w:szCs w:val="16"/>
        </w:rPr>
      </w:pPr>
    </w:p>
    <w:p w:rsidR="00434E76" w:rsidRDefault="00434E76" w:rsidP="00434E76">
      <w:pPr>
        <w:jc w:val="both"/>
        <w:rPr>
          <w:sz w:val="20"/>
          <w:szCs w:val="16"/>
        </w:rPr>
      </w:pPr>
    </w:p>
    <w:p w:rsidR="00434E76" w:rsidRDefault="00434E76">
      <w:pPr>
        <w:overflowPunct/>
        <w:autoSpaceDE/>
        <w:autoSpaceDN/>
        <w:adjustRightInd/>
        <w:spacing w:line="240" w:lineRule="auto"/>
        <w:textAlignment w:val="auto"/>
        <w:rPr>
          <w:sz w:val="20"/>
          <w:szCs w:val="16"/>
        </w:rPr>
      </w:pPr>
      <w:r>
        <w:rPr>
          <w:sz w:val="20"/>
          <w:szCs w:val="16"/>
        </w:rPr>
        <w:br w:type="page"/>
      </w:r>
    </w:p>
    <w:p w:rsidR="00434E76" w:rsidRPr="00434E76" w:rsidRDefault="00434E76" w:rsidP="00434E76">
      <w:pPr>
        <w:overflowPunct/>
        <w:autoSpaceDE/>
        <w:autoSpaceDN/>
        <w:adjustRightInd/>
        <w:spacing w:after="160"/>
        <w:jc w:val="center"/>
        <w:textAlignment w:val="auto"/>
        <w:rPr>
          <w:rFonts w:eastAsia="Batang"/>
          <w:szCs w:val="24"/>
          <w:lang w:val="fr-FR" w:eastAsia="en-US"/>
        </w:rPr>
      </w:pPr>
      <w:r w:rsidRPr="00434E76">
        <w:rPr>
          <w:rFonts w:ascii="Calibri" w:eastAsia="Batang" w:hAnsi="Calibri" w:cs="Arial"/>
          <w:noProof/>
          <w:sz w:val="22"/>
          <w:szCs w:val="22"/>
          <w:lang w:eastAsia="en-US"/>
        </w:rPr>
        <w:lastRenderedPageBreak/>
        <w:drawing>
          <wp:inline distT="0" distB="0" distL="0" distR="0" wp14:anchorId="0E0BCA51" wp14:editId="755D50BA">
            <wp:extent cx="5105400" cy="3916680"/>
            <wp:effectExtent l="0" t="0" r="0" b="762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l="18655" t="19051" r="43770" b="10390"/>
                    <a:stretch>
                      <a:fillRect/>
                    </a:stretch>
                  </pic:blipFill>
                  <pic:spPr bwMode="auto">
                    <a:xfrm>
                      <a:off x="0" y="0"/>
                      <a:ext cx="5105400" cy="3916680"/>
                    </a:xfrm>
                    <a:prstGeom prst="rect">
                      <a:avLst/>
                    </a:prstGeom>
                    <a:noFill/>
                    <a:ln>
                      <a:noFill/>
                    </a:ln>
                  </pic:spPr>
                </pic:pic>
              </a:graphicData>
            </a:graphic>
          </wp:inline>
        </w:drawing>
      </w:r>
    </w:p>
    <w:p w:rsidR="00434E76" w:rsidRPr="00151553" w:rsidRDefault="00434E76" w:rsidP="00434E76">
      <w:pPr>
        <w:pStyle w:val="tablelegend"/>
        <w:rPr>
          <w:rFonts w:eastAsia="Batang"/>
          <w:sz w:val="24"/>
          <w:szCs w:val="24"/>
          <w:lang w:eastAsia="en-US"/>
        </w:rPr>
      </w:pPr>
      <w:r w:rsidRPr="00151553">
        <w:rPr>
          <w:rFonts w:eastAsia="Batang"/>
          <w:sz w:val="24"/>
          <w:szCs w:val="24"/>
          <w:lang w:eastAsia="en-US"/>
        </w:rPr>
        <w:t xml:space="preserve">Figure </w:t>
      </w:r>
      <w:proofErr w:type="gramStart"/>
      <w:r w:rsidRPr="00151553">
        <w:rPr>
          <w:rFonts w:eastAsia="Batang"/>
          <w:sz w:val="24"/>
          <w:szCs w:val="24"/>
          <w:lang w:eastAsia="en-US"/>
        </w:rPr>
        <w:t>1 :</w:t>
      </w:r>
      <w:proofErr w:type="gramEnd"/>
      <w:r w:rsidRPr="00151553">
        <w:rPr>
          <w:rFonts w:eastAsia="Batang"/>
          <w:sz w:val="24"/>
          <w:szCs w:val="24"/>
          <w:lang w:eastAsia="en-US"/>
        </w:rPr>
        <w:t xml:space="preserve"> ROC curve of knowledge score</w:t>
      </w:r>
    </w:p>
    <w:p w:rsidR="00434E76" w:rsidRPr="00434E76" w:rsidRDefault="00434E76" w:rsidP="00434E76">
      <w:pPr>
        <w:jc w:val="both"/>
        <w:rPr>
          <w:sz w:val="20"/>
          <w:szCs w:val="16"/>
        </w:rPr>
      </w:pPr>
    </w:p>
    <w:p w:rsidR="00434E76" w:rsidRPr="00434E76" w:rsidRDefault="00434E76" w:rsidP="00434E76"/>
    <w:p w:rsidR="00DB3581" w:rsidRDefault="00DB3581"/>
    <w:p w:rsidR="003B1CE9" w:rsidRDefault="003B1CE9" w:rsidP="003B1CE9"/>
    <w:sectPr w:rsidR="003B1CE9" w:rsidSect="00151553">
      <w:footerReference w:type="default" r:id="rId8"/>
      <w:pgSz w:w="11907" w:h="16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1BBF" w:rsidRDefault="00C81BBF">
      <w:r>
        <w:separator/>
      </w:r>
    </w:p>
  </w:endnote>
  <w:endnote w:type="continuationSeparator" w:id="0">
    <w:p w:rsidR="00C81BBF" w:rsidRDefault="00C81B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Batang">
    <w:altName w:val="Arial Unicode MS"/>
    <w:panose1 w:val="02030600000101010101"/>
    <w:charset w:val="81"/>
    <w:family w:val="auto"/>
    <w:notTrueType/>
    <w:pitch w:val="fixed"/>
    <w:sig w:usb0="00000000"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0C49" w:rsidRDefault="001D6A62">
    <w:pPr>
      <w:pStyle w:val="Footer"/>
      <w:jc w:val="right"/>
    </w:pPr>
    <w:r>
      <w:rPr>
        <w:rStyle w:val="PageNumber"/>
      </w:rPr>
      <w:fldChar w:fldCharType="begin"/>
    </w:r>
    <w:r>
      <w:rPr>
        <w:rStyle w:val="PageNumber"/>
      </w:rPr>
      <w:instrText xml:space="preserve"> PAGE </w:instrText>
    </w:r>
    <w:r>
      <w:rPr>
        <w:rStyle w:val="PageNumber"/>
      </w:rPr>
      <w:fldChar w:fldCharType="separate"/>
    </w:r>
    <w:r w:rsidR="003134D9">
      <w:rPr>
        <w:rStyle w:val="PageNumber"/>
        <w:noProof/>
      </w:rPr>
      <w:t>8</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1BBF" w:rsidRDefault="00C81BBF">
      <w:r>
        <w:separator/>
      </w:r>
    </w:p>
  </w:footnote>
  <w:footnote w:type="continuationSeparator" w:id="0">
    <w:p w:rsidR="00C81BBF" w:rsidRDefault="00C81BB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AF35FC6"/>
    <w:multiLevelType w:val="hybridMultilevel"/>
    <w:tmpl w:val="0220F114"/>
    <w:lvl w:ilvl="0" w:tplc="296A350E">
      <w:start w:val="1"/>
      <w:numFmt w:val="decimal"/>
      <w:lvlText w:val="%1-"/>
      <w:lvlJc w:val="left"/>
      <w:pPr>
        <w:ind w:left="900" w:hanging="360"/>
      </w:pPr>
      <w:rPr>
        <w:b/>
        <w:bCs/>
        <w:sz w:val="24"/>
      </w:rPr>
    </w:lvl>
    <w:lvl w:ilvl="1" w:tplc="04090019">
      <w:start w:val="1"/>
      <w:numFmt w:val="lowerLetter"/>
      <w:lvlText w:val="%2."/>
      <w:lvlJc w:val="left"/>
      <w:pPr>
        <w:ind w:left="1620" w:hanging="360"/>
      </w:pPr>
    </w:lvl>
    <w:lvl w:ilvl="2" w:tplc="0409001B">
      <w:start w:val="1"/>
      <w:numFmt w:val="lowerRoman"/>
      <w:lvlText w:val="%3."/>
      <w:lvlJc w:val="right"/>
      <w:pPr>
        <w:ind w:left="2340" w:hanging="180"/>
      </w:pPr>
    </w:lvl>
    <w:lvl w:ilvl="3" w:tplc="0409000F">
      <w:start w:val="1"/>
      <w:numFmt w:val="decimal"/>
      <w:lvlText w:val="%4."/>
      <w:lvlJc w:val="left"/>
      <w:pPr>
        <w:ind w:left="3060" w:hanging="360"/>
      </w:pPr>
    </w:lvl>
    <w:lvl w:ilvl="4" w:tplc="04090019">
      <w:start w:val="1"/>
      <w:numFmt w:val="lowerLetter"/>
      <w:lvlText w:val="%5."/>
      <w:lvlJc w:val="left"/>
      <w:pPr>
        <w:ind w:left="3780" w:hanging="360"/>
      </w:pPr>
    </w:lvl>
    <w:lvl w:ilvl="5" w:tplc="0409001B">
      <w:start w:val="1"/>
      <w:numFmt w:val="lowerRoman"/>
      <w:lvlText w:val="%6."/>
      <w:lvlJc w:val="right"/>
      <w:pPr>
        <w:ind w:left="4500" w:hanging="180"/>
      </w:pPr>
    </w:lvl>
    <w:lvl w:ilvl="6" w:tplc="0409000F">
      <w:start w:val="1"/>
      <w:numFmt w:val="decimal"/>
      <w:lvlText w:val="%7."/>
      <w:lvlJc w:val="left"/>
      <w:pPr>
        <w:ind w:left="5220" w:hanging="360"/>
      </w:pPr>
    </w:lvl>
    <w:lvl w:ilvl="7" w:tplc="04090019">
      <w:start w:val="1"/>
      <w:numFmt w:val="lowerLetter"/>
      <w:lvlText w:val="%8."/>
      <w:lvlJc w:val="left"/>
      <w:pPr>
        <w:ind w:left="5940" w:hanging="360"/>
      </w:pPr>
    </w:lvl>
    <w:lvl w:ilvl="8" w:tplc="0409001B">
      <w:start w:val="1"/>
      <w:numFmt w:val="lowerRoman"/>
      <w:lvlText w:val="%9."/>
      <w:lvlJc w:val="right"/>
      <w:pPr>
        <w:ind w:left="666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3581"/>
    <w:rsid w:val="000F0C49"/>
    <w:rsid w:val="00151553"/>
    <w:rsid w:val="001D6A62"/>
    <w:rsid w:val="003134D9"/>
    <w:rsid w:val="003B1CE9"/>
    <w:rsid w:val="00434E76"/>
    <w:rsid w:val="0064351F"/>
    <w:rsid w:val="007B67F2"/>
    <w:rsid w:val="00C81BBF"/>
    <w:rsid w:val="00DB3581"/>
    <w:rsid w:val="00F91A7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196BF05-4E17-4CAB-B742-94D5BB7F4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overflowPunct w:val="0"/>
      <w:autoSpaceDE w:val="0"/>
      <w:autoSpaceDN w:val="0"/>
      <w:adjustRightInd w:val="0"/>
      <w:spacing w:line="360" w:lineRule="auto"/>
      <w:textAlignment w:val="baseline"/>
    </w:pPr>
    <w:rPr>
      <w:sz w:val="24"/>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536"/>
        <w:tab w:val="right" w:pos="9072"/>
      </w:tabs>
    </w:pPr>
  </w:style>
  <w:style w:type="paragraph" w:styleId="Footer">
    <w:name w:val="footer"/>
    <w:basedOn w:val="Normal"/>
    <w:pPr>
      <w:tabs>
        <w:tab w:val="center" w:pos="4536"/>
        <w:tab w:val="right" w:pos="9072"/>
      </w:tabs>
    </w:pPr>
  </w:style>
  <w:style w:type="character" w:styleId="PageNumber">
    <w:name w:val="page number"/>
    <w:basedOn w:val="DefaultParagraphFont"/>
  </w:style>
  <w:style w:type="paragraph" w:customStyle="1" w:styleId="abbreviations">
    <w:name w:val="abbreviations"/>
    <w:basedOn w:val="abstract"/>
    <w:next w:val="Normal"/>
    <w:pPr>
      <w:tabs>
        <w:tab w:val="left" w:pos="3402"/>
      </w:tabs>
      <w:ind w:left="3402" w:hanging="3402"/>
    </w:pPr>
  </w:style>
  <w:style w:type="paragraph" w:customStyle="1" w:styleId="Title1">
    <w:name w:val="Title1"/>
    <w:basedOn w:val="Normal"/>
    <w:next w:val="author"/>
    <w:rPr>
      <w:rFonts w:ascii="Arial" w:hAnsi="Arial"/>
      <w:b/>
      <w:sz w:val="36"/>
    </w:rPr>
  </w:style>
  <w:style w:type="paragraph" w:customStyle="1" w:styleId="heading1">
    <w:name w:val="heading1"/>
    <w:basedOn w:val="Normal"/>
    <w:next w:val="Normal"/>
    <w:pPr>
      <w:keepNext/>
      <w:spacing w:before="240" w:after="180"/>
    </w:pPr>
    <w:rPr>
      <w:rFonts w:ascii="Arial" w:hAnsi="Arial"/>
      <w:b/>
      <w:sz w:val="32"/>
    </w:rPr>
  </w:style>
  <w:style w:type="paragraph" w:customStyle="1" w:styleId="heading2">
    <w:name w:val="heading2"/>
    <w:basedOn w:val="Normal"/>
    <w:next w:val="Normal"/>
    <w:pPr>
      <w:keepNext/>
      <w:spacing w:before="240" w:after="180"/>
    </w:pPr>
    <w:rPr>
      <w:rFonts w:ascii="Arial" w:hAnsi="Arial"/>
      <w:b/>
    </w:rPr>
  </w:style>
  <w:style w:type="paragraph" w:customStyle="1" w:styleId="heading3">
    <w:name w:val="heading3"/>
    <w:basedOn w:val="Normal"/>
    <w:next w:val="Normal"/>
    <w:pPr>
      <w:keepNext/>
      <w:spacing w:before="240" w:after="180"/>
    </w:pPr>
    <w:rPr>
      <w:rFonts w:ascii="Arial" w:hAnsi="Arial"/>
      <w:i/>
    </w:rPr>
  </w:style>
  <w:style w:type="paragraph" w:customStyle="1" w:styleId="run-in">
    <w:name w:val="run-in"/>
    <w:basedOn w:val="Normal"/>
    <w:next w:val="Normal"/>
    <w:pPr>
      <w:keepNext/>
      <w:spacing w:before="120"/>
    </w:pPr>
    <w:rPr>
      <w:b/>
    </w:rPr>
  </w:style>
  <w:style w:type="paragraph" w:styleId="FootnoteText">
    <w:name w:val="footnote text"/>
    <w:basedOn w:val="Normal"/>
    <w:link w:val="FootnoteTextChar"/>
    <w:uiPriority w:val="99"/>
    <w:unhideWhenUsed/>
    <w:rsid w:val="00434E76"/>
    <w:pPr>
      <w:overflowPunct/>
      <w:autoSpaceDE/>
      <w:autoSpaceDN/>
      <w:adjustRightInd/>
      <w:spacing w:line="240" w:lineRule="auto"/>
      <w:textAlignment w:val="auto"/>
    </w:pPr>
    <w:rPr>
      <w:rFonts w:ascii="Calibri" w:eastAsia="Calibri" w:hAnsi="Calibri" w:cs="Arial"/>
      <w:sz w:val="20"/>
      <w:lang w:eastAsia="en-US"/>
    </w:rPr>
  </w:style>
  <w:style w:type="paragraph" w:customStyle="1" w:styleId="figurecitation">
    <w:name w:val="figurecitation"/>
    <w:basedOn w:val="Normal"/>
    <w:pPr>
      <w:pBdr>
        <w:top w:val="single" w:sz="8" w:space="1" w:color="auto"/>
        <w:left w:val="single" w:sz="8" w:space="4" w:color="auto"/>
        <w:bottom w:val="single" w:sz="8" w:space="1" w:color="auto"/>
        <w:right w:val="single" w:sz="8" w:space="4" w:color="auto"/>
      </w:pBdr>
    </w:pPr>
    <w:rPr>
      <w:rFonts w:ascii="Arial" w:hAnsi="Arial"/>
      <w:b/>
      <w:sz w:val="36"/>
    </w:rPr>
  </w:style>
  <w:style w:type="paragraph" w:customStyle="1" w:styleId="acknowledgements">
    <w:name w:val="acknowledgements"/>
    <w:basedOn w:val="abstract"/>
    <w:next w:val="Normal"/>
    <w:pPr>
      <w:spacing w:before="240"/>
    </w:pPr>
  </w:style>
  <w:style w:type="paragraph" w:customStyle="1" w:styleId="author">
    <w:name w:val="author"/>
    <w:basedOn w:val="Normal"/>
    <w:next w:val="affiliation"/>
    <w:pPr>
      <w:spacing w:before="120"/>
    </w:pPr>
  </w:style>
  <w:style w:type="paragraph" w:customStyle="1" w:styleId="affiliation">
    <w:name w:val="affiliation"/>
    <w:basedOn w:val="Normal"/>
    <w:next w:val="phone"/>
    <w:pPr>
      <w:spacing w:before="120" w:line="240" w:lineRule="auto"/>
    </w:pPr>
    <w:rPr>
      <w:i/>
    </w:rPr>
  </w:style>
  <w:style w:type="paragraph" w:customStyle="1" w:styleId="email">
    <w:name w:val="email"/>
    <w:basedOn w:val="Normal"/>
    <w:next w:val="url"/>
    <w:pPr>
      <w:spacing w:before="120" w:line="240" w:lineRule="auto"/>
    </w:pPr>
    <w:rPr>
      <w:sz w:val="20"/>
    </w:rPr>
  </w:style>
  <w:style w:type="paragraph" w:customStyle="1" w:styleId="phone">
    <w:name w:val="phone"/>
    <w:basedOn w:val="email"/>
    <w:next w:val="fax"/>
  </w:style>
  <w:style w:type="paragraph" w:customStyle="1" w:styleId="fax">
    <w:name w:val="fax"/>
    <w:basedOn w:val="email"/>
    <w:next w:val="email"/>
  </w:style>
  <w:style w:type="paragraph" w:customStyle="1" w:styleId="abstract">
    <w:name w:val="abstract"/>
    <w:basedOn w:val="Normal"/>
    <w:next w:val="keywords"/>
    <w:pPr>
      <w:spacing w:before="120"/>
    </w:pPr>
    <w:rPr>
      <w:sz w:val="20"/>
    </w:rPr>
  </w:style>
  <w:style w:type="paragraph" w:customStyle="1" w:styleId="keywords">
    <w:name w:val="keywords"/>
    <w:basedOn w:val="Normal"/>
    <w:next w:val="Normal"/>
    <w:pPr>
      <w:spacing w:before="120"/>
    </w:pPr>
    <w:rPr>
      <w:i/>
    </w:rPr>
  </w:style>
  <w:style w:type="paragraph" w:customStyle="1" w:styleId="extraaddress">
    <w:name w:val="extraaddress"/>
    <w:basedOn w:val="email"/>
  </w:style>
  <w:style w:type="paragraph" w:customStyle="1" w:styleId="reference">
    <w:name w:val="reference"/>
    <w:basedOn w:val="Normal"/>
    <w:rPr>
      <w:sz w:val="20"/>
    </w:rPr>
  </w:style>
  <w:style w:type="paragraph" w:customStyle="1" w:styleId="equation">
    <w:name w:val="equation"/>
    <w:basedOn w:val="Normal"/>
    <w:next w:val="Normal"/>
    <w:pPr>
      <w:spacing w:before="120" w:after="120"/>
      <w:jc w:val="center"/>
    </w:pPr>
  </w:style>
  <w:style w:type="paragraph" w:customStyle="1" w:styleId="articlenote">
    <w:name w:val="articlenote"/>
    <w:basedOn w:val="Normal"/>
    <w:next w:val="Normal"/>
    <w:pPr>
      <w:spacing w:line="240" w:lineRule="auto"/>
    </w:pPr>
    <w:rPr>
      <w:sz w:val="22"/>
    </w:rPr>
  </w:style>
  <w:style w:type="paragraph" w:customStyle="1" w:styleId="figlegend">
    <w:name w:val="figlegend"/>
    <w:basedOn w:val="Normal"/>
    <w:next w:val="Normal"/>
    <w:pPr>
      <w:spacing w:before="120"/>
    </w:pPr>
    <w:rPr>
      <w:sz w:val="20"/>
    </w:rPr>
  </w:style>
  <w:style w:type="paragraph" w:customStyle="1" w:styleId="tablelegend">
    <w:name w:val="tablelegend"/>
    <w:basedOn w:val="Normal"/>
    <w:next w:val="Normal"/>
    <w:pPr>
      <w:spacing w:before="120"/>
    </w:pPr>
    <w:rPr>
      <w:sz w:val="20"/>
    </w:rPr>
  </w:style>
  <w:style w:type="character" w:customStyle="1" w:styleId="FootnoteTextChar">
    <w:name w:val="Footnote Text Char"/>
    <w:basedOn w:val="DefaultParagraphFont"/>
    <w:link w:val="FootnoteText"/>
    <w:uiPriority w:val="99"/>
    <w:rsid w:val="00434E76"/>
    <w:rPr>
      <w:rFonts w:ascii="Calibri" w:eastAsia="Calibri" w:hAnsi="Calibri" w:cs="Arial"/>
    </w:rPr>
  </w:style>
  <w:style w:type="paragraph" w:customStyle="1" w:styleId="url">
    <w:name w:val="url"/>
    <w:basedOn w:val="email"/>
    <w:next w:val="Normal"/>
  </w:style>
  <w:style w:type="character" w:styleId="FootnoteReference">
    <w:name w:val="footnote reference"/>
    <w:basedOn w:val="DefaultParagraphFont"/>
    <w:uiPriority w:val="99"/>
    <w:unhideWhenUsed/>
    <w:rsid w:val="00434E76"/>
    <w:rPr>
      <w:vertAlign w:val="superscript"/>
    </w:rPr>
  </w:style>
  <w:style w:type="character" w:styleId="Hyperlink">
    <w:name w:val="Hyperlink"/>
    <w:basedOn w:val="DefaultParagraphFont"/>
    <w:rsid w:val="00434E76"/>
    <w:rPr>
      <w:color w:val="0563C1" w:themeColor="hyperlink"/>
      <w:u w:val="single"/>
    </w:rPr>
  </w:style>
  <w:style w:type="paragraph" w:styleId="Title">
    <w:name w:val="Title"/>
    <w:basedOn w:val="Normal"/>
    <w:next w:val="Normal"/>
    <w:link w:val="TitleChar"/>
    <w:qFormat/>
    <w:rsid w:val="00151553"/>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151553"/>
    <w:rPr>
      <w:rFonts w:asciiTheme="majorHAnsi" w:eastAsiaTheme="majorEastAsia" w:hAnsiTheme="majorHAnsi" w:cstheme="majorBidi"/>
      <w:spacing w:val="-10"/>
      <w:kern w:val="28"/>
      <w:sz w:val="56"/>
      <w:szCs w:val="56"/>
      <w:lang w:eastAsia="de-DE"/>
    </w:rPr>
  </w:style>
  <w:style w:type="paragraph" w:styleId="Bibliography">
    <w:name w:val="Bibliography"/>
    <w:basedOn w:val="Normal"/>
    <w:next w:val="Normal"/>
    <w:uiPriority w:val="37"/>
    <w:unhideWhenUsed/>
    <w:rsid w:val="003B1CE9"/>
    <w:pPr>
      <w:spacing w:after="24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Dropbox%20(Personal)\Publication\Submission%20Journal%20of%20public%20health\sv-jour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sv-journ</Template>
  <TotalTime>21</TotalTime>
  <Pages>8</Pages>
  <Words>7948</Words>
  <Characters>45306</Characters>
  <Application>Microsoft Office Word</Application>
  <DocSecurity>0</DocSecurity>
  <Lines>377</Lines>
  <Paragraphs>106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Author template for journal articles</vt:lpstr>
      <vt:lpstr>Author template for journal articles</vt:lpstr>
    </vt:vector>
  </TitlesOfParts>
  <Company>SPRINGER VERLAG</Company>
  <LinksUpToDate>false</LinksUpToDate>
  <CharactersWithSpaces>53148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Author template for journal articles</dc:title>
  <dc:subject/>
  <dc:creator>Windows User</dc:creator>
  <cp:keywords/>
  <dc:description>Springer Heidelberg 2005</dc:description>
  <cp:lastModifiedBy>berthe abizeid</cp:lastModifiedBy>
  <cp:revision>6</cp:revision>
  <cp:lastPrinted>1997-08-25T14:11:00Z</cp:lastPrinted>
  <dcterms:created xsi:type="dcterms:W3CDTF">2022-06-26T15:20:00Z</dcterms:created>
  <dcterms:modified xsi:type="dcterms:W3CDTF">2022-07-11T15:58:00Z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id="D3X1oclb"/&gt;&lt;style id="http://www.zotero.org/styles/springer-basic-author-date-no-et-al" hasBibliography="1" bibliographyStyleHasBeenSet="1"/&gt;&lt;prefs&gt;&lt;pref name="fieldType" value="Field"/&gt;&lt;/prefs</vt:lpwstr>
  </property>
  <property fmtid="{D5CDD505-2E9C-101B-9397-08002B2CF9AE}" pid="3" name="ZOTERO_PREF_2">
    <vt:lpwstr>&gt;&lt;/data&gt;</vt:lpwstr>
  </property>
</Properties>
</file>