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E10" w:rsidRDefault="000A1E10" w:rsidP="000A1E10">
      <w:pPr>
        <w:pStyle w:val="LO-normal1"/>
        <w:spacing w:before="200" w:after="240" w:line="360" w:lineRule="auto"/>
        <w:jc w:val="both"/>
      </w:pPr>
    </w:p>
    <w:p w:rsidR="000A1E10" w:rsidRDefault="000A1E10" w:rsidP="000A1E10">
      <w:pPr>
        <w:pStyle w:val="LO-normal1"/>
        <w:spacing w:after="240" w:line="360" w:lineRule="auto"/>
        <w:jc w:val="center"/>
      </w:pPr>
      <w:bookmarkStart w:id="0" w:name="_heading=h.1fob9te"/>
      <w:bookmarkEnd w:id="0"/>
      <w:r>
        <w:rPr>
          <w:noProof/>
          <w:lang w:eastAsia="en-US" w:bidi="ar-SA"/>
        </w:rPr>
        <w:drawing>
          <wp:inline distT="0" distB="0" distL="0" distR="0" wp14:anchorId="73930373" wp14:editId="69F83BD3">
            <wp:extent cx="6365240" cy="3187700"/>
            <wp:effectExtent l="0" t="0" r="0" b="0"/>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3.png"/>
                    <pic:cNvPicPr>
                      <a:picLocks noChangeAspect="1" noChangeArrowheads="1"/>
                    </pic:cNvPicPr>
                  </pic:nvPicPr>
                  <pic:blipFill>
                    <a:blip r:embed="rId4"/>
                    <a:stretch>
                      <a:fillRect/>
                    </a:stretch>
                  </pic:blipFill>
                  <pic:spPr bwMode="auto">
                    <a:xfrm>
                      <a:off x="0" y="0"/>
                      <a:ext cx="6365240" cy="3187700"/>
                    </a:xfrm>
                    <a:prstGeom prst="rect">
                      <a:avLst/>
                    </a:prstGeom>
                  </pic:spPr>
                </pic:pic>
              </a:graphicData>
            </a:graphic>
          </wp:inline>
        </w:drawing>
      </w:r>
    </w:p>
    <w:p w:rsidR="000A1E10" w:rsidRDefault="000A1E10" w:rsidP="000A1E10">
      <w:pPr>
        <w:pStyle w:val="LO-normal1"/>
        <w:spacing w:after="240" w:line="360" w:lineRule="auto"/>
        <w:jc w:val="both"/>
        <w:rPr>
          <w:sz w:val="20"/>
          <w:szCs w:val="20"/>
        </w:rPr>
      </w:pPr>
      <w:bookmarkStart w:id="1" w:name="_heading=h.3znysh7"/>
      <w:bookmarkEnd w:id="1"/>
      <w:r>
        <w:rPr>
          <w:b/>
          <w:sz w:val="20"/>
          <w:szCs w:val="20"/>
        </w:rPr>
        <w:t>Figure S1.</w:t>
      </w:r>
      <w:r>
        <w:rPr>
          <w:sz w:val="20"/>
          <w:szCs w:val="20"/>
        </w:rPr>
        <w:t xml:space="preserve"> Summary of the number of female and male samples found in each Hsa study.</w:t>
      </w:r>
    </w:p>
    <w:p w:rsidR="000A1E10" w:rsidRDefault="000A1E10" w:rsidP="000A1E10">
      <w:pPr>
        <w:pStyle w:val="LO-normal1"/>
        <w:spacing w:after="240" w:line="360" w:lineRule="auto"/>
        <w:jc w:val="both"/>
      </w:pPr>
      <w:bookmarkStart w:id="2" w:name="_heading=h.2et92p0"/>
      <w:bookmarkEnd w:id="2"/>
      <w:r>
        <w:br w:type="page"/>
      </w:r>
    </w:p>
    <w:p w:rsidR="000A1E10" w:rsidRDefault="000A1E10" w:rsidP="000A1E10">
      <w:pPr>
        <w:pStyle w:val="LO-normal1"/>
        <w:spacing w:after="240" w:line="360" w:lineRule="auto"/>
        <w:jc w:val="both"/>
      </w:pPr>
      <w:bookmarkStart w:id="3" w:name="_heading=h.tyjcwt"/>
      <w:bookmarkEnd w:id="3"/>
    </w:p>
    <w:p w:rsidR="000A1E10" w:rsidRDefault="000A1E10" w:rsidP="000A1E10">
      <w:pPr>
        <w:pStyle w:val="LO-normal1"/>
        <w:spacing w:after="240" w:line="360" w:lineRule="auto"/>
        <w:jc w:val="center"/>
      </w:pPr>
      <w:bookmarkStart w:id="4" w:name="_heading=h.3dy6vkm"/>
      <w:bookmarkEnd w:id="4"/>
      <w:r>
        <w:rPr>
          <w:noProof/>
          <w:lang w:eastAsia="en-US" w:bidi="ar-SA"/>
        </w:rPr>
        <w:drawing>
          <wp:inline distT="0" distB="0" distL="0" distR="0" wp14:anchorId="731C00F7" wp14:editId="145DF27A">
            <wp:extent cx="6365240" cy="3187700"/>
            <wp:effectExtent l="0" t="0" r="0" b="0"/>
            <wp:docPr id="10"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a:picLocks noChangeAspect="1" noChangeArrowheads="1"/>
                    </pic:cNvPicPr>
                  </pic:nvPicPr>
                  <pic:blipFill>
                    <a:blip r:embed="rId5"/>
                    <a:stretch>
                      <a:fillRect/>
                    </a:stretch>
                  </pic:blipFill>
                  <pic:spPr bwMode="auto">
                    <a:xfrm>
                      <a:off x="0" y="0"/>
                      <a:ext cx="6365240" cy="3187700"/>
                    </a:xfrm>
                    <a:prstGeom prst="rect">
                      <a:avLst/>
                    </a:prstGeom>
                  </pic:spPr>
                </pic:pic>
              </a:graphicData>
            </a:graphic>
          </wp:inline>
        </w:drawing>
      </w:r>
    </w:p>
    <w:p w:rsidR="000A1E10" w:rsidRDefault="000A1E10" w:rsidP="000A1E10">
      <w:pPr>
        <w:pStyle w:val="LO-normal1"/>
        <w:spacing w:after="240" w:line="360" w:lineRule="auto"/>
        <w:jc w:val="both"/>
        <w:rPr>
          <w:sz w:val="20"/>
          <w:szCs w:val="20"/>
        </w:rPr>
      </w:pPr>
      <w:bookmarkStart w:id="5" w:name="_heading=h.1t3h5sf"/>
      <w:bookmarkEnd w:id="5"/>
      <w:r>
        <w:rPr>
          <w:b/>
          <w:sz w:val="20"/>
          <w:szCs w:val="20"/>
        </w:rPr>
        <w:t xml:space="preserve">Figure S2. </w:t>
      </w:r>
      <w:r>
        <w:rPr>
          <w:sz w:val="20"/>
          <w:szCs w:val="20"/>
        </w:rPr>
        <w:t>Summary of the number of female and male samples from each Mmu study. One study included samples from both sexes. Most collected samples corresponded to males, evidencing the striking absence of females.</w:t>
      </w:r>
    </w:p>
    <w:p w:rsidR="000A1E10" w:rsidRDefault="000A1E10" w:rsidP="000A1E10">
      <w:pPr>
        <w:pStyle w:val="LO-normal1"/>
        <w:spacing w:after="240" w:line="360" w:lineRule="auto"/>
        <w:jc w:val="both"/>
        <w:rPr>
          <w:sz w:val="20"/>
          <w:szCs w:val="20"/>
        </w:rPr>
      </w:pPr>
      <w:r>
        <w:br w:type="page"/>
      </w:r>
    </w:p>
    <w:p w:rsidR="000A1E10" w:rsidRDefault="000A1E10" w:rsidP="000A1E10">
      <w:pPr>
        <w:pStyle w:val="LO-normal1"/>
        <w:spacing w:after="240" w:line="360" w:lineRule="auto"/>
        <w:jc w:val="both"/>
      </w:pPr>
      <w:bookmarkStart w:id="6" w:name="_heading=h.2s8eyo1"/>
      <w:bookmarkEnd w:id="6"/>
    </w:p>
    <w:p w:rsidR="000A1E10" w:rsidRDefault="000A1E10" w:rsidP="000A1E10">
      <w:pPr>
        <w:pStyle w:val="LO-normal1"/>
        <w:spacing w:before="200" w:after="240" w:line="360" w:lineRule="auto"/>
        <w:jc w:val="center"/>
      </w:pPr>
      <w:r>
        <w:rPr>
          <w:noProof/>
          <w:lang w:eastAsia="en-US" w:bidi="ar-SA"/>
        </w:rPr>
        <w:drawing>
          <wp:inline distT="0" distB="0" distL="0" distR="0" wp14:anchorId="732BF7C7" wp14:editId="78CD75BD">
            <wp:extent cx="6365240" cy="3403600"/>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pic:cNvPicPr>
                      <a:picLocks noChangeAspect="1" noChangeArrowheads="1"/>
                    </pic:cNvPicPr>
                  </pic:nvPicPr>
                  <pic:blipFill>
                    <a:blip r:embed="rId6"/>
                    <a:stretch>
                      <a:fillRect/>
                    </a:stretch>
                  </pic:blipFill>
                  <pic:spPr bwMode="auto">
                    <a:xfrm>
                      <a:off x="0" y="0"/>
                      <a:ext cx="6365240" cy="3403600"/>
                    </a:xfrm>
                    <a:prstGeom prst="rect">
                      <a:avLst/>
                    </a:prstGeom>
                  </pic:spPr>
                </pic:pic>
              </a:graphicData>
            </a:graphic>
          </wp:inline>
        </w:drawing>
      </w:r>
    </w:p>
    <w:p w:rsidR="000A1E10" w:rsidRDefault="000A1E10" w:rsidP="000A1E10">
      <w:pPr>
        <w:pStyle w:val="LO-normal1"/>
        <w:spacing w:before="200" w:after="240" w:line="360" w:lineRule="auto"/>
        <w:jc w:val="both"/>
        <w:rPr>
          <w:sz w:val="20"/>
          <w:szCs w:val="20"/>
        </w:rPr>
      </w:pPr>
      <w:r>
        <w:rPr>
          <w:b/>
          <w:sz w:val="20"/>
          <w:szCs w:val="20"/>
        </w:rPr>
        <w:t xml:space="preserve">Figure S3. </w:t>
      </w:r>
      <w:r>
        <w:rPr>
          <w:sz w:val="20"/>
          <w:szCs w:val="20"/>
        </w:rPr>
        <w:t xml:space="preserve">Variability levels for classic </w:t>
      </w:r>
      <w:r>
        <w:rPr>
          <w:sz w:val="20"/>
          <w:szCs w:val="20"/>
          <w:highlight w:val="white"/>
        </w:rPr>
        <w:t>HKG</w:t>
      </w:r>
      <w:r>
        <w:rPr>
          <w:sz w:val="20"/>
          <w:szCs w:val="20"/>
        </w:rPr>
        <w:t xml:space="preserve">s evaluated in Hsa females. The variability level found in the selected microarray platforms with the three statistical approaches (CV, IQR/median, and MAD/median) for each </w:t>
      </w:r>
      <w:r>
        <w:rPr>
          <w:sz w:val="20"/>
          <w:szCs w:val="20"/>
          <w:highlight w:val="white"/>
        </w:rPr>
        <w:t>HKG</w:t>
      </w:r>
      <w:r>
        <w:rPr>
          <w:sz w:val="20"/>
          <w:szCs w:val="20"/>
        </w:rPr>
        <w:t xml:space="preserve"> is described on the X-axis. </w:t>
      </w:r>
    </w:p>
    <w:p w:rsidR="000A1E10" w:rsidRDefault="000A1E10" w:rsidP="000A1E10">
      <w:pPr>
        <w:pStyle w:val="LO-normal1"/>
        <w:spacing w:before="200" w:after="240" w:line="360" w:lineRule="auto"/>
        <w:jc w:val="both"/>
      </w:pPr>
    </w:p>
    <w:p w:rsidR="000A1E10" w:rsidRDefault="000A1E10" w:rsidP="000A1E10">
      <w:pPr>
        <w:pStyle w:val="LO-normal1"/>
        <w:spacing w:before="200" w:after="240" w:line="360" w:lineRule="auto"/>
        <w:jc w:val="both"/>
        <w:rPr>
          <w:sz w:val="20"/>
          <w:szCs w:val="20"/>
        </w:rPr>
      </w:pPr>
    </w:p>
    <w:p w:rsidR="000A1E10" w:rsidRDefault="000A1E10" w:rsidP="000A1E10">
      <w:pPr>
        <w:pStyle w:val="LO-normal1"/>
        <w:spacing w:before="200" w:after="240" w:line="360" w:lineRule="auto"/>
        <w:jc w:val="both"/>
      </w:pPr>
    </w:p>
    <w:p w:rsidR="000A1E10" w:rsidRDefault="000A1E10" w:rsidP="000A1E10">
      <w:pPr>
        <w:pStyle w:val="LO-normal1"/>
        <w:spacing w:before="200" w:after="240" w:line="360" w:lineRule="auto"/>
        <w:jc w:val="center"/>
      </w:pPr>
      <w:r>
        <w:rPr>
          <w:noProof/>
          <w:lang w:eastAsia="en-US" w:bidi="ar-SA"/>
        </w:rPr>
        <w:lastRenderedPageBreak/>
        <w:drawing>
          <wp:inline distT="0" distB="0" distL="0" distR="0" wp14:anchorId="7D2ADBF4" wp14:editId="70450910">
            <wp:extent cx="6365240" cy="3403600"/>
            <wp:effectExtent l="0" t="0" r="0" b="0"/>
            <wp:docPr id="12"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a:picLocks noChangeAspect="1" noChangeArrowheads="1"/>
                    </pic:cNvPicPr>
                  </pic:nvPicPr>
                  <pic:blipFill>
                    <a:blip r:embed="rId7"/>
                    <a:stretch>
                      <a:fillRect/>
                    </a:stretch>
                  </pic:blipFill>
                  <pic:spPr bwMode="auto">
                    <a:xfrm>
                      <a:off x="0" y="0"/>
                      <a:ext cx="6365240" cy="3403600"/>
                    </a:xfrm>
                    <a:prstGeom prst="rect">
                      <a:avLst/>
                    </a:prstGeom>
                  </pic:spPr>
                </pic:pic>
              </a:graphicData>
            </a:graphic>
          </wp:inline>
        </w:drawing>
      </w:r>
    </w:p>
    <w:p w:rsidR="000A1E10" w:rsidRDefault="000A1E10" w:rsidP="000A1E10">
      <w:pPr>
        <w:pStyle w:val="LO-normal1"/>
        <w:spacing w:before="200" w:after="240" w:line="360" w:lineRule="auto"/>
        <w:jc w:val="both"/>
        <w:rPr>
          <w:sz w:val="20"/>
          <w:szCs w:val="20"/>
        </w:rPr>
      </w:pPr>
      <w:r>
        <w:rPr>
          <w:b/>
          <w:sz w:val="20"/>
          <w:szCs w:val="20"/>
        </w:rPr>
        <w:t xml:space="preserve">Figure S4. </w:t>
      </w:r>
      <w:r>
        <w:rPr>
          <w:sz w:val="20"/>
          <w:szCs w:val="20"/>
        </w:rPr>
        <w:t xml:space="preserve">Variability levels for classic </w:t>
      </w:r>
      <w:r>
        <w:rPr>
          <w:sz w:val="20"/>
          <w:szCs w:val="20"/>
          <w:highlight w:val="white"/>
        </w:rPr>
        <w:t>HKG</w:t>
      </w:r>
      <w:r>
        <w:rPr>
          <w:sz w:val="20"/>
          <w:szCs w:val="20"/>
        </w:rPr>
        <w:t xml:space="preserve">s evaluated in Hsa males. The variability level found in the selected microarray platforms with the three statistical approaches (CV, IQR/median, and MAD/median) is described on the X-axis for each </w:t>
      </w:r>
      <w:r>
        <w:rPr>
          <w:sz w:val="20"/>
          <w:szCs w:val="20"/>
          <w:highlight w:val="white"/>
        </w:rPr>
        <w:t>HKG</w:t>
      </w:r>
      <w:r>
        <w:rPr>
          <w:sz w:val="20"/>
          <w:szCs w:val="20"/>
        </w:rPr>
        <w:t>.</w:t>
      </w:r>
    </w:p>
    <w:p w:rsidR="000A1E10" w:rsidRDefault="000A1E10" w:rsidP="000A1E10">
      <w:pPr>
        <w:pStyle w:val="LO-normal1"/>
        <w:spacing w:before="200" w:after="240" w:line="360" w:lineRule="auto"/>
        <w:jc w:val="both"/>
        <w:rPr>
          <w:sz w:val="20"/>
          <w:szCs w:val="20"/>
        </w:rPr>
      </w:pPr>
    </w:p>
    <w:p w:rsidR="000A1E10" w:rsidRDefault="000A1E10" w:rsidP="000A1E10">
      <w:pPr>
        <w:pStyle w:val="LO-normal1"/>
        <w:spacing w:before="200" w:after="240" w:line="360" w:lineRule="auto"/>
        <w:jc w:val="both"/>
        <w:rPr>
          <w:sz w:val="20"/>
          <w:szCs w:val="20"/>
        </w:rPr>
      </w:pPr>
    </w:p>
    <w:p w:rsidR="000A1E10" w:rsidRDefault="000A1E10" w:rsidP="000A1E10">
      <w:pPr>
        <w:pStyle w:val="LO-normal1"/>
        <w:spacing w:before="200" w:after="240" w:line="360" w:lineRule="auto"/>
        <w:jc w:val="both"/>
      </w:pPr>
    </w:p>
    <w:p w:rsidR="000A1E10" w:rsidRDefault="000A1E10" w:rsidP="000A1E10">
      <w:pPr>
        <w:pStyle w:val="LO-normal1"/>
        <w:spacing w:before="200" w:after="240" w:line="360" w:lineRule="auto"/>
        <w:jc w:val="center"/>
      </w:pPr>
      <w:r>
        <w:rPr>
          <w:noProof/>
          <w:lang w:eastAsia="en-US" w:bidi="ar-SA"/>
        </w:rPr>
        <w:lastRenderedPageBreak/>
        <w:drawing>
          <wp:inline distT="0" distB="0" distL="0" distR="0" wp14:anchorId="23799A88" wp14:editId="0B2A26A8">
            <wp:extent cx="5877560" cy="3096260"/>
            <wp:effectExtent l="0" t="0" r="0" b="0"/>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png"/>
                    <pic:cNvPicPr>
                      <a:picLocks noChangeAspect="1" noChangeArrowheads="1"/>
                    </pic:cNvPicPr>
                  </pic:nvPicPr>
                  <pic:blipFill>
                    <a:blip r:embed="rId8"/>
                    <a:stretch>
                      <a:fillRect/>
                    </a:stretch>
                  </pic:blipFill>
                  <pic:spPr bwMode="auto">
                    <a:xfrm>
                      <a:off x="0" y="0"/>
                      <a:ext cx="5877560" cy="3096260"/>
                    </a:xfrm>
                    <a:prstGeom prst="rect">
                      <a:avLst/>
                    </a:prstGeom>
                  </pic:spPr>
                </pic:pic>
              </a:graphicData>
            </a:graphic>
          </wp:inline>
        </w:drawing>
      </w:r>
    </w:p>
    <w:p w:rsidR="000A1E10" w:rsidRDefault="000A1E10" w:rsidP="000A1E10">
      <w:pPr>
        <w:pStyle w:val="LO-normal1"/>
        <w:spacing w:before="200" w:after="240" w:line="360" w:lineRule="auto"/>
        <w:jc w:val="both"/>
        <w:rPr>
          <w:sz w:val="20"/>
          <w:szCs w:val="20"/>
        </w:rPr>
      </w:pPr>
      <w:r>
        <w:rPr>
          <w:b/>
          <w:sz w:val="20"/>
          <w:szCs w:val="20"/>
        </w:rPr>
        <w:t xml:space="preserve">Figure S5. </w:t>
      </w:r>
      <w:r>
        <w:rPr>
          <w:sz w:val="20"/>
          <w:szCs w:val="20"/>
        </w:rPr>
        <w:t xml:space="preserve">Variability levels for classic </w:t>
      </w:r>
      <w:r>
        <w:rPr>
          <w:sz w:val="20"/>
          <w:szCs w:val="20"/>
          <w:highlight w:val="white"/>
        </w:rPr>
        <w:t>HKG</w:t>
      </w:r>
      <w:r>
        <w:rPr>
          <w:sz w:val="20"/>
          <w:szCs w:val="20"/>
        </w:rPr>
        <w:t xml:space="preserve">s evaluated in all Mmu samples. The variability level found in the selected microarray platforms with the three statistical approaches (CV, IQR/median, and MAD/median) is described on the X-axis for each </w:t>
      </w:r>
      <w:r>
        <w:rPr>
          <w:sz w:val="20"/>
          <w:szCs w:val="20"/>
          <w:highlight w:val="white"/>
        </w:rPr>
        <w:t>HKG</w:t>
      </w:r>
      <w:r>
        <w:rPr>
          <w:sz w:val="20"/>
          <w:szCs w:val="20"/>
        </w:rPr>
        <w:t>.</w:t>
      </w:r>
      <w:r>
        <w:br w:type="page"/>
      </w:r>
    </w:p>
    <w:p w:rsidR="000A1E10" w:rsidRDefault="000A1E10" w:rsidP="000A1E10">
      <w:pPr>
        <w:pStyle w:val="LO-normal1"/>
        <w:spacing w:before="200" w:after="240" w:line="360" w:lineRule="auto"/>
        <w:jc w:val="both"/>
      </w:pPr>
    </w:p>
    <w:p w:rsidR="000A1E10" w:rsidRDefault="000A1E10" w:rsidP="000A1E10">
      <w:pPr>
        <w:pStyle w:val="LO-normal1"/>
        <w:spacing w:before="200" w:after="240" w:line="360" w:lineRule="auto"/>
        <w:jc w:val="center"/>
      </w:pPr>
      <w:r>
        <w:rPr>
          <w:noProof/>
          <w:lang w:eastAsia="en-US" w:bidi="ar-SA"/>
        </w:rPr>
        <w:drawing>
          <wp:inline distT="0" distB="0" distL="0" distR="0" wp14:anchorId="6B19A6F0" wp14:editId="52262FF6">
            <wp:extent cx="6365240" cy="6362700"/>
            <wp:effectExtent l="0" t="0" r="0" b="0"/>
            <wp:docPr id="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a:picLocks noChangeAspect="1" noChangeArrowheads="1"/>
                    </pic:cNvPicPr>
                  </pic:nvPicPr>
                  <pic:blipFill>
                    <a:blip r:embed="rId9"/>
                    <a:stretch>
                      <a:fillRect/>
                    </a:stretch>
                  </pic:blipFill>
                  <pic:spPr bwMode="auto">
                    <a:xfrm>
                      <a:off x="0" y="0"/>
                      <a:ext cx="6365240" cy="6362700"/>
                    </a:xfrm>
                    <a:prstGeom prst="rect">
                      <a:avLst/>
                    </a:prstGeom>
                  </pic:spPr>
                </pic:pic>
              </a:graphicData>
            </a:graphic>
          </wp:inline>
        </w:drawing>
      </w:r>
    </w:p>
    <w:p w:rsidR="000A1E10" w:rsidRDefault="000A1E10" w:rsidP="000A1E10">
      <w:pPr>
        <w:pStyle w:val="LO-normal1"/>
        <w:spacing w:before="240" w:after="240" w:line="360" w:lineRule="auto"/>
        <w:jc w:val="both"/>
        <w:rPr>
          <w:sz w:val="20"/>
          <w:szCs w:val="20"/>
        </w:rPr>
      </w:pPr>
      <w:r>
        <w:rPr>
          <w:b/>
          <w:sz w:val="20"/>
          <w:szCs w:val="20"/>
        </w:rPr>
        <w:t xml:space="preserve">Figure S6. </w:t>
      </w:r>
      <w:r>
        <w:rPr>
          <w:sz w:val="20"/>
          <w:szCs w:val="20"/>
        </w:rPr>
        <w:t xml:space="preserve">Candidate </w:t>
      </w:r>
      <w:r>
        <w:rPr>
          <w:sz w:val="20"/>
          <w:szCs w:val="20"/>
          <w:highlight w:val="white"/>
        </w:rPr>
        <w:t>HKG</w:t>
      </w:r>
      <w:r>
        <w:rPr>
          <w:sz w:val="20"/>
          <w:szCs w:val="20"/>
        </w:rPr>
        <w:t xml:space="preserve"> analysis in mouse adipose tissue, using wt and irs2-/- KO male and female samples, showing </w:t>
      </w:r>
      <w:r>
        <w:rPr>
          <w:i/>
          <w:sz w:val="20"/>
          <w:szCs w:val="20"/>
        </w:rPr>
        <w:t>Insr</w:t>
      </w:r>
      <w:r>
        <w:rPr>
          <w:sz w:val="20"/>
          <w:szCs w:val="20"/>
        </w:rPr>
        <w:t xml:space="preserve">, </w:t>
      </w:r>
      <w:r>
        <w:rPr>
          <w:i/>
          <w:sz w:val="20"/>
          <w:szCs w:val="20"/>
        </w:rPr>
        <w:t>Lepr,</w:t>
      </w:r>
      <w:r>
        <w:rPr>
          <w:sz w:val="20"/>
          <w:szCs w:val="20"/>
        </w:rPr>
        <w:t xml:space="preserve"> and </w:t>
      </w:r>
      <w:r>
        <w:rPr>
          <w:i/>
          <w:sz w:val="20"/>
          <w:szCs w:val="20"/>
        </w:rPr>
        <w:t>Phb</w:t>
      </w:r>
      <w:r>
        <w:rPr>
          <w:sz w:val="20"/>
          <w:szCs w:val="20"/>
        </w:rPr>
        <w:t xml:space="preserve"> gene expression analysis using </w:t>
      </w:r>
      <w:r>
        <w:rPr>
          <w:i/>
          <w:sz w:val="20"/>
          <w:szCs w:val="20"/>
        </w:rPr>
        <w:t>Ppia</w:t>
      </w:r>
      <w:r>
        <w:rPr>
          <w:sz w:val="20"/>
          <w:szCs w:val="20"/>
        </w:rPr>
        <w:t xml:space="preserve">, </w:t>
      </w:r>
      <w:r>
        <w:rPr>
          <w:i/>
          <w:sz w:val="20"/>
          <w:szCs w:val="20"/>
        </w:rPr>
        <w:t>Rpl19,</w:t>
      </w:r>
      <w:r>
        <w:rPr>
          <w:sz w:val="20"/>
          <w:szCs w:val="20"/>
        </w:rPr>
        <w:t xml:space="preserve"> and </w:t>
      </w:r>
      <w:r>
        <w:rPr>
          <w:i/>
          <w:sz w:val="20"/>
          <w:szCs w:val="20"/>
        </w:rPr>
        <w:t xml:space="preserve">18s </w:t>
      </w:r>
      <w:r>
        <w:rPr>
          <w:sz w:val="20"/>
          <w:szCs w:val="20"/>
        </w:rPr>
        <w:t>as</w:t>
      </w:r>
      <w:r>
        <w:rPr>
          <w:i/>
          <w:sz w:val="20"/>
          <w:szCs w:val="20"/>
        </w:rPr>
        <w:t xml:space="preserve"> </w:t>
      </w:r>
      <w:r>
        <w:rPr>
          <w:sz w:val="20"/>
          <w:szCs w:val="20"/>
          <w:highlight w:val="white"/>
        </w:rPr>
        <w:t>HKGs</w:t>
      </w:r>
      <w:r>
        <w:rPr>
          <w:sz w:val="20"/>
          <w:szCs w:val="20"/>
        </w:rPr>
        <w:t>. Male wt n=11; Female wt n=13; Male KO n=16 and Female KO n=14. One-way ANOVA and t-test were performed for statistical analysis. The differences observed were considered significant when: p&lt;0.05 (*), p&lt;0.01 (**), and p&lt;0.001 (***).</w:t>
      </w:r>
    </w:p>
    <w:p w:rsidR="000A1E10" w:rsidRDefault="000A1E10" w:rsidP="000A1E10">
      <w:pPr>
        <w:pStyle w:val="LO-normal1"/>
        <w:spacing w:before="240" w:after="240" w:line="360" w:lineRule="auto"/>
        <w:jc w:val="both"/>
      </w:pPr>
    </w:p>
    <w:p w:rsidR="00E1715D" w:rsidRDefault="000A1E10">
      <w:bookmarkStart w:id="7" w:name="_GoBack"/>
      <w:bookmarkEnd w:id="7"/>
    </w:p>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E10"/>
    <w:rsid w:val="000A1E10"/>
    <w:rsid w:val="001942F0"/>
    <w:rsid w:val="002C0857"/>
    <w:rsid w:val="00884728"/>
    <w:rsid w:val="008E2845"/>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A3085-E775-440E-8958-3476424D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1">
    <w:name w:val="LO-normal1"/>
    <w:qFormat/>
    <w:rsid w:val="000A1E10"/>
    <w:pPr>
      <w:widowControl w:val="0"/>
      <w:suppressAutoHyphens/>
      <w:spacing w:after="0" w:line="276" w:lineRule="auto"/>
    </w:pPr>
    <w:rPr>
      <w:rFonts w:ascii="Arial" w:eastAsia="Arial" w:hAnsi="Arial" w:cs="Ari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2022-07-26T09:25:00Z</dcterms:created>
  <dcterms:modified xsi:type="dcterms:W3CDTF">2022-07-26T09:26:00Z</dcterms:modified>
</cp:coreProperties>
</file>