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5797" w:rsidRPr="00987C9F" w:rsidRDefault="005C5797" w:rsidP="005C5797">
      <w:pPr>
        <w:spacing w:line="480" w:lineRule="auto"/>
        <w:rPr>
          <w:rFonts w:asciiTheme="majorBidi" w:hAnsiTheme="majorBidi" w:cstheme="majorBidi"/>
          <w:b/>
          <w:bCs/>
          <w:sz w:val="24"/>
          <w:szCs w:val="24"/>
        </w:rPr>
      </w:pPr>
      <w:bookmarkStart w:id="0" w:name="_GoBack"/>
      <w:r w:rsidRPr="00987C9F">
        <w:rPr>
          <w:rFonts w:asciiTheme="majorBidi" w:hAnsiTheme="majorBidi" w:cstheme="majorBidi"/>
          <w:b/>
          <w:bCs/>
          <w:sz w:val="24"/>
          <w:szCs w:val="24"/>
        </w:rPr>
        <w:t xml:space="preserve">Supplementary materials: </w:t>
      </w:r>
    </w:p>
    <w:p w:rsidR="005C5797" w:rsidRPr="00987C9F" w:rsidRDefault="005C5797" w:rsidP="005C5797">
      <w:pPr>
        <w:spacing w:line="480" w:lineRule="auto"/>
        <w:rPr>
          <w:rFonts w:asciiTheme="majorBidi" w:hAnsiTheme="majorBidi" w:cstheme="majorBidi"/>
          <w:b/>
          <w:bCs/>
          <w:sz w:val="24"/>
          <w:szCs w:val="24"/>
        </w:rPr>
      </w:pPr>
      <w:r w:rsidRPr="00987C9F">
        <w:rPr>
          <w:rFonts w:asciiTheme="majorBidi" w:hAnsiTheme="majorBidi" w:cstheme="majorBidi"/>
          <w:b/>
          <w:bCs/>
          <w:sz w:val="24"/>
          <w:szCs w:val="24"/>
        </w:rPr>
        <w:t xml:space="preserve">Supplementary Table 1: </w:t>
      </w:r>
      <w:r w:rsidR="004E5DBB" w:rsidRPr="00987C9F">
        <w:rPr>
          <w:rFonts w:asciiTheme="majorBidi" w:hAnsiTheme="majorBidi" w:cstheme="majorBidi"/>
          <w:b/>
          <w:bCs/>
          <w:sz w:val="24"/>
          <w:szCs w:val="24"/>
        </w:rPr>
        <w:t xml:space="preserve">Information about the primers used for PCR and pyrosequencing: </w:t>
      </w:r>
    </w:p>
    <w:bookmarkEnd w:id="0"/>
    <w:p w:rsidR="004E5DBB" w:rsidRPr="00673BC5" w:rsidRDefault="004E5DBB" w:rsidP="004E5DBB">
      <w:pPr>
        <w:rPr>
          <w:rFonts w:asciiTheme="majorBidi" w:hAnsiTheme="majorBidi" w:cstheme="majorBidi"/>
          <w:sz w:val="24"/>
          <w:szCs w:val="24"/>
        </w:rPr>
      </w:pPr>
      <w:r>
        <w:rPr>
          <w:rFonts w:asciiTheme="majorBidi" w:hAnsiTheme="majorBidi" w:cstheme="majorBidi"/>
          <w:sz w:val="24"/>
          <w:szCs w:val="24"/>
        </w:rPr>
        <w:t xml:space="preserve">S. </w:t>
      </w:r>
      <w:r w:rsidRPr="002E2D3F">
        <w:rPr>
          <w:rFonts w:asciiTheme="majorBidi" w:hAnsiTheme="majorBidi" w:cstheme="majorBidi"/>
          <w:sz w:val="24"/>
          <w:szCs w:val="24"/>
        </w:rPr>
        <w:t xml:space="preserve">Table </w:t>
      </w:r>
      <w:r>
        <w:rPr>
          <w:rFonts w:asciiTheme="majorBidi" w:hAnsiTheme="majorBidi" w:cstheme="majorBidi"/>
          <w:sz w:val="24"/>
          <w:szCs w:val="24"/>
        </w:rPr>
        <w:t>1A</w:t>
      </w:r>
      <w:r w:rsidRPr="002E2D3F">
        <w:rPr>
          <w:rFonts w:asciiTheme="majorBidi" w:hAnsiTheme="majorBidi" w:cstheme="majorBidi"/>
          <w:sz w:val="24"/>
          <w:szCs w:val="24"/>
        </w:rPr>
        <w:t>: Primer information for PCR and pyrosequencing using IDT Primer Assays: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993"/>
        <w:gridCol w:w="1979"/>
        <w:gridCol w:w="1559"/>
        <w:gridCol w:w="1560"/>
        <w:gridCol w:w="2126"/>
        <w:gridCol w:w="1276"/>
      </w:tblGrid>
      <w:tr w:rsidR="004E5DBB" w:rsidRPr="00B703DD" w:rsidTr="001E3CBE">
        <w:trPr>
          <w:tblHeader/>
        </w:trPr>
        <w:tc>
          <w:tcPr>
            <w:tcW w:w="993" w:type="dxa"/>
            <w:shd w:val="clear" w:color="auto" w:fill="auto"/>
            <w:tcMar>
              <w:top w:w="40" w:type="dxa"/>
              <w:left w:w="81" w:type="dxa"/>
              <w:bottom w:w="40" w:type="dxa"/>
              <w:right w:w="81" w:type="dxa"/>
            </w:tcMar>
            <w:vAlign w:val="bottom"/>
            <w:hideMark/>
          </w:tcPr>
          <w:p w:rsidR="004E5DBB" w:rsidRPr="00B703DD" w:rsidRDefault="004E5DBB" w:rsidP="001E3CBE">
            <w:pPr>
              <w:spacing w:line="360" w:lineRule="auto"/>
              <w:rPr>
                <w:rFonts w:asciiTheme="majorBidi" w:eastAsia="Times New Roman" w:hAnsiTheme="majorBidi" w:cstheme="majorBidi"/>
                <w:b/>
                <w:bCs/>
                <w:color w:val="000000"/>
                <w:sz w:val="24"/>
                <w:szCs w:val="24"/>
                <w:lang w:eastAsia="en-GB"/>
              </w:rPr>
            </w:pPr>
            <w:r>
              <w:rPr>
                <w:rFonts w:asciiTheme="majorBidi" w:eastAsia="Times New Roman" w:hAnsiTheme="majorBidi" w:cstheme="majorBidi"/>
                <w:b/>
                <w:bCs/>
                <w:color w:val="000000"/>
                <w:sz w:val="24"/>
                <w:szCs w:val="24"/>
                <w:lang w:eastAsia="en-GB"/>
              </w:rPr>
              <w:t>Gene</w:t>
            </w:r>
          </w:p>
        </w:tc>
        <w:tc>
          <w:tcPr>
            <w:tcW w:w="1979" w:type="dxa"/>
            <w:shd w:val="clear" w:color="auto" w:fill="auto"/>
            <w:tcMar>
              <w:top w:w="40" w:type="dxa"/>
              <w:left w:w="81" w:type="dxa"/>
              <w:bottom w:w="40" w:type="dxa"/>
              <w:right w:w="81" w:type="dxa"/>
            </w:tcMar>
            <w:vAlign w:val="bottom"/>
            <w:hideMark/>
          </w:tcPr>
          <w:p w:rsidR="004E5DBB" w:rsidRPr="00B703DD" w:rsidRDefault="004E5DBB" w:rsidP="001E3CBE">
            <w:pPr>
              <w:spacing w:line="360" w:lineRule="auto"/>
              <w:rPr>
                <w:rFonts w:asciiTheme="majorBidi" w:eastAsia="Times New Roman" w:hAnsiTheme="majorBidi" w:cstheme="majorBidi"/>
                <w:b/>
                <w:bCs/>
                <w:color w:val="000000"/>
                <w:sz w:val="24"/>
                <w:szCs w:val="24"/>
                <w:lang w:eastAsia="en-GB"/>
              </w:rPr>
            </w:pPr>
            <w:r w:rsidRPr="00B703DD">
              <w:rPr>
                <w:rFonts w:asciiTheme="majorBidi" w:eastAsia="Times New Roman" w:hAnsiTheme="majorBidi" w:cstheme="majorBidi"/>
                <w:b/>
                <w:bCs/>
                <w:color w:val="000000"/>
                <w:sz w:val="24"/>
                <w:szCs w:val="24"/>
                <w:lang w:eastAsia="en-GB"/>
              </w:rPr>
              <w:t>Forward primer (5′ to 3′)</w:t>
            </w:r>
          </w:p>
        </w:tc>
        <w:tc>
          <w:tcPr>
            <w:tcW w:w="1559" w:type="dxa"/>
            <w:shd w:val="clear" w:color="auto" w:fill="auto"/>
            <w:tcMar>
              <w:top w:w="40" w:type="dxa"/>
              <w:left w:w="81" w:type="dxa"/>
              <w:bottom w:w="40" w:type="dxa"/>
              <w:right w:w="81" w:type="dxa"/>
            </w:tcMar>
            <w:vAlign w:val="bottom"/>
            <w:hideMark/>
          </w:tcPr>
          <w:p w:rsidR="004E5DBB" w:rsidRPr="00B703DD" w:rsidRDefault="004E5DBB" w:rsidP="001E3CBE">
            <w:pPr>
              <w:spacing w:line="360" w:lineRule="auto"/>
              <w:rPr>
                <w:rFonts w:asciiTheme="majorBidi" w:eastAsia="Times New Roman" w:hAnsiTheme="majorBidi" w:cstheme="majorBidi"/>
                <w:b/>
                <w:bCs/>
                <w:color w:val="000000"/>
                <w:sz w:val="24"/>
                <w:szCs w:val="24"/>
                <w:lang w:eastAsia="en-GB"/>
              </w:rPr>
            </w:pPr>
            <w:r w:rsidRPr="00B703DD">
              <w:rPr>
                <w:rFonts w:asciiTheme="majorBidi" w:eastAsia="Times New Roman" w:hAnsiTheme="majorBidi" w:cstheme="majorBidi"/>
                <w:b/>
                <w:bCs/>
                <w:color w:val="000000"/>
                <w:sz w:val="24"/>
                <w:szCs w:val="24"/>
                <w:lang w:eastAsia="en-GB"/>
              </w:rPr>
              <w:t>Reverse primer (5′ to 3′)</w:t>
            </w:r>
          </w:p>
        </w:tc>
        <w:tc>
          <w:tcPr>
            <w:tcW w:w="1560" w:type="dxa"/>
            <w:shd w:val="clear" w:color="auto" w:fill="auto"/>
            <w:tcMar>
              <w:top w:w="40" w:type="dxa"/>
              <w:left w:w="81" w:type="dxa"/>
              <w:bottom w:w="40" w:type="dxa"/>
              <w:right w:w="81" w:type="dxa"/>
            </w:tcMar>
            <w:vAlign w:val="bottom"/>
            <w:hideMark/>
          </w:tcPr>
          <w:p w:rsidR="004E5DBB" w:rsidRPr="00B703DD" w:rsidRDefault="004E5DBB" w:rsidP="001E3CBE">
            <w:pPr>
              <w:spacing w:line="360" w:lineRule="auto"/>
              <w:rPr>
                <w:rFonts w:asciiTheme="majorBidi" w:eastAsia="Times New Roman" w:hAnsiTheme="majorBidi" w:cstheme="majorBidi"/>
                <w:b/>
                <w:bCs/>
                <w:color w:val="000000"/>
                <w:sz w:val="24"/>
                <w:szCs w:val="24"/>
                <w:lang w:eastAsia="en-GB"/>
              </w:rPr>
            </w:pPr>
            <w:r w:rsidRPr="00B703DD">
              <w:rPr>
                <w:rFonts w:asciiTheme="majorBidi" w:eastAsia="Times New Roman" w:hAnsiTheme="majorBidi" w:cstheme="majorBidi"/>
                <w:b/>
                <w:bCs/>
                <w:color w:val="000000"/>
                <w:sz w:val="24"/>
                <w:szCs w:val="24"/>
                <w:lang w:eastAsia="en-GB"/>
              </w:rPr>
              <w:t>Sequencing primer (5′ to 3′)</w:t>
            </w:r>
          </w:p>
        </w:tc>
        <w:tc>
          <w:tcPr>
            <w:tcW w:w="2126" w:type="dxa"/>
            <w:shd w:val="clear" w:color="auto" w:fill="auto"/>
            <w:tcMar>
              <w:top w:w="40" w:type="dxa"/>
              <w:left w:w="81" w:type="dxa"/>
              <w:bottom w:w="40" w:type="dxa"/>
              <w:right w:w="81" w:type="dxa"/>
            </w:tcMar>
            <w:vAlign w:val="bottom"/>
            <w:hideMark/>
          </w:tcPr>
          <w:p w:rsidR="004E5DBB" w:rsidRPr="00B703DD" w:rsidRDefault="004E5DBB" w:rsidP="001E3CBE">
            <w:pPr>
              <w:spacing w:line="360" w:lineRule="auto"/>
              <w:rPr>
                <w:rFonts w:asciiTheme="majorBidi" w:eastAsia="Times New Roman" w:hAnsiTheme="majorBidi" w:cstheme="majorBidi"/>
                <w:b/>
                <w:bCs/>
                <w:color w:val="000000"/>
                <w:sz w:val="24"/>
                <w:szCs w:val="24"/>
                <w:lang w:eastAsia="en-GB"/>
              </w:rPr>
            </w:pPr>
            <w:r w:rsidRPr="00B703DD">
              <w:rPr>
                <w:rFonts w:asciiTheme="majorBidi" w:eastAsia="Times New Roman" w:hAnsiTheme="majorBidi" w:cstheme="majorBidi"/>
                <w:b/>
                <w:bCs/>
                <w:color w:val="000000"/>
                <w:sz w:val="24"/>
                <w:szCs w:val="24"/>
                <w:lang w:eastAsia="en-GB"/>
              </w:rPr>
              <w:t>Sequence analysed*</w:t>
            </w:r>
          </w:p>
        </w:tc>
        <w:tc>
          <w:tcPr>
            <w:tcW w:w="1276" w:type="dxa"/>
          </w:tcPr>
          <w:p w:rsidR="004E5DBB" w:rsidRPr="00B703DD" w:rsidRDefault="004E5DBB" w:rsidP="001E3CBE">
            <w:pPr>
              <w:spacing w:line="360" w:lineRule="auto"/>
              <w:rPr>
                <w:rFonts w:asciiTheme="majorBidi" w:eastAsia="Times New Roman" w:hAnsiTheme="majorBidi" w:cstheme="majorBidi"/>
                <w:b/>
                <w:bCs/>
                <w:color w:val="000000"/>
                <w:sz w:val="24"/>
                <w:szCs w:val="24"/>
                <w:lang w:eastAsia="en-GB"/>
              </w:rPr>
            </w:pPr>
            <w:r w:rsidRPr="00B703DD">
              <w:rPr>
                <w:rFonts w:asciiTheme="majorBidi" w:eastAsia="Times New Roman" w:hAnsiTheme="majorBidi" w:cstheme="majorBidi"/>
                <w:b/>
                <w:bCs/>
                <w:color w:val="000000"/>
                <w:sz w:val="24"/>
                <w:szCs w:val="24"/>
                <w:lang w:eastAsia="en-GB"/>
              </w:rPr>
              <w:t>Optimal Annealing Temp</w:t>
            </w:r>
          </w:p>
        </w:tc>
      </w:tr>
      <w:tr w:rsidR="004E5DBB" w:rsidRPr="00B703DD" w:rsidTr="001E3CBE">
        <w:tc>
          <w:tcPr>
            <w:tcW w:w="993"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i/>
                <w:iCs/>
                <w:color w:val="000000"/>
                <w:sz w:val="24"/>
                <w:szCs w:val="24"/>
                <w:bdr w:val="none" w:sz="0" w:space="0" w:color="auto" w:frame="1"/>
                <w:lang w:eastAsia="en-GB"/>
              </w:rPr>
              <w:t>IL-6</w:t>
            </w:r>
          </w:p>
        </w:tc>
        <w:tc>
          <w:tcPr>
            <w:tcW w:w="1979"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Biotin-TATTTTAGTTTTGAGAAAGGAGGTG</w:t>
            </w:r>
          </w:p>
        </w:tc>
        <w:tc>
          <w:tcPr>
            <w:tcW w:w="1559"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CAATACTCTAAAACCCAACAAAAAC</w:t>
            </w:r>
          </w:p>
        </w:tc>
        <w:tc>
          <w:tcPr>
            <w:tcW w:w="1560"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TCCTAATACAAACAACCCC</w:t>
            </w:r>
          </w:p>
        </w:tc>
        <w:tc>
          <w:tcPr>
            <w:tcW w:w="2126"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C</w:t>
            </w:r>
            <w:r w:rsidRPr="00B703DD">
              <w:rPr>
                <w:rFonts w:asciiTheme="majorBidi" w:eastAsia="Times New Roman" w:hAnsiTheme="majorBidi" w:cstheme="majorBidi"/>
                <w:b/>
                <w:bCs/>
                <w:color w:val="000000"/>
                <w:sz w:val="24"/>
                <w:szCs w:val="24"/>
                <w:u w:val="single"/>
                <w:lang w:eastAsia="en-GB"/>
              </w:rPr>
              <w:t>G/A</w:t>
            </w:r>
            <w:r w:rsidRPr="00B703DD">
              <w:rPr>
                <w:rFonts w:asciiTheme="majorBidi" w:eastAsia="Times New Roman" w:hAnsiTheme="majorBidi" w:cstheme="majorBidi"/>
                <w:color w:val="000000"/>
                <w:sz w:val="24"/>
                <w:szCs w:val="24"/>
                <w:lang w:eastAsia="en-GB"/>
              </w:rPr>
              <w:t>ACCACAC</w:t>
            </w:r>
            <w:r w:rsidRPr="00B703DD">
              <w:rPr>
                <w:rFonts w:asciiTheme="majorBidi" w:eastAsia="Times New Roman" w:hAnsiTheme="majorBidi" w:cstheme="majorBidi"/>
                <w:b/>
                <w:bCs/>
                <w:color w:val="000000"/>
                <w:sz w:val="24"/>
                <w:szCs w:val="24"/>
                <w:u w:val="single"/>
                <w:lang w:eastAsia="en-GB"/>
              </w:rPr>
              <w:t>G/A</w:t>
            </w:r>
            <w:r w:rsidRPr="00B703DD">
              <w:rPr>
                <w:rFonts w:asciiTheme="majorBidi" w:eastAsia="Times New Roman" w:hAnsiTheme="majorBidi" w:cstheme="majorBidi"/>
                <w:color w:val="000000"/>
                <w:sz w:val="24"/>
                <w:szCs w:val="24"/>
                <w:lang w:eastAsia="en-GB"/>
              </w:rPr>
              <w:t>CAAAAAC</w:t>
            </w:r>
          </w:p>
        </w:tc>
        <w:tc>
          <w:tcPr>
            <w:tcW w:w="1276" w:type="dxa"/>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55.7</w:t>
            </w:r>
            <w:r w:rsidRPr="00B703DD">
              <w:rPr>
                <w:rFonts w:asciiTheme="majorBidi" w:hAnsiTheme="majorBidi" w:cstheme="majorBidi"/>
                <w:sz w:val="24"/>
                <w:szCs w:val="24"/>
              </w:rPr>
              <w:t>°C</w:t>
            </w:r>
          </w:p>
        </w:tc>
      </w:tr>
      <w:tr w:rsidR="004E5DBB" w:rsidRPr="00B703DD" w:rsidTr="001E3CBE">
        <w:tc>
          <w:tcPr>
            <w:tcW w:w="993"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LINE-1</w:t>
            </w:r>
          </w:p>
        </w:tc>
        <w:tc>
          <w:tcPr>
            <w:tcW w:w="1979"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TTTTGAGTTAGGTGTGGGATATA</w:t>
            </w:r>
          </w:p>
        </w:tc>
        <w:tc>
          <w:tcPr>
            <w:tcW w:w="1559"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Biotin-AAAATCAAAAAATTCCCTTTC</w:t>
            </w:r>
          </w:p>
        </w:tc>
        <w:tc>
          <w:tcPr>
            <w:tcW w:w="1560"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eastAsia="Times New Roman" w:hAnsiTheme="majorBidi" w:cstheme="majorBidi"/>
                <w:color w:val="000000"/>
                <w:sz w:val="24"/>
                <w:szCs w:val="24"/>
                <w:lang w:eastAsia="en-GB"/>
              </w:rPr>
              <w:t>AGTTAGGTGTGGGATATAGT</w:t>
            </w:r>
          </w:p>
        </w:tc>
        <w:tc>
          <w:tcPr>
            <w:tcW w:w="2126" w:type="dxa"/>
            <w:shd w:val="clear" w:color="auto" w:fill="auto"/>
            <w:tcMar>
              <w:top w:w="40" w:type="dxa"/>
              <w:left w:w="81" w:type="dxa"/>
              <w:bottom w:w="40" w:type="dxa"/>
              <w:right w:w="81" w:type="dxa"/>
            </w:tcMar>
            <w:hideMark/>
          </w:tcPr>
          <w:p w:rsidR="004E5DBB" w:rsidRPr="00B703DD" w:rsidRDefault="004E5DBB" w:rsidP="001E3CBE">
            <w:pPr>
              <w:spacing w:line="360" w:lineRule="auto"/>
              <w:rPr>
                <w:rFonts w:asciiTheme="majorBidi" w:eastAsia="Times New Roman" w:hAnsiTheme="majorBidi" w:cstheme="majorBidi"/>
                <w:color w:val="000000"/>
                <w:sz w:val="24"/>
                <w:szCs w:val="24"/>
                <w:lang w:eastAsia="en-GB"/>
              </w:rPr>
            </w:pPr>
            <w:r w:rsidRPr="00B703DD">
              <w:rPr>
                <w:rFonts w:asciiTheme="majorBidi" w:hAnsiTheme="majorBidi" w:cstheme="majorBidi"/>
                <w:color w:val="333333"/>
                <w:sz w:val="24"/>
                <w:szCs w:val="24"/>
              </w:rPr>
              <w:t>TT</w:t>
            </w:r>
            <w:r w:rsidRPr="00B703DD">
              <w:rPr>
                <w:rFonts w:asciiTheme="majorBidi" w:hAnsiTheme="majorBidi" w:cstheme="majorBidi"/>
                <w:b/>
                <w:bCs/>
                <w:color w:val="333333"/>
                <w:sz w:val="24"/>
                <w:szCs w:val="24"/>
                <w:u w:val="single"/>
              </w:rPr>
              <w:t>C/T</w:t>
            </w:r>
            <w:r w:rsidRPr="00B703DD">
              <w:rPr>
                <w:rFonts w:asciiTheme="majorBidi" w:hAnsiTheme="majorBidi" w:cstheme="majorBidi"/>
                <w:color w:val="333333"/>
                <w:sz w:val="24"/>
                <w:szCs w:val="24"/>
              </w:rPr>
              <w:t>GTGGTG</w:t>
            </w:r>
            <w:r w:rsidRPr="00B703DD">
              <w:rPr>
                <w:rFonts w:asciiTheme="majorBidi" w:hAnsiTheme="majorBidi" w:cstheme="majorBidi"/>
                <w:b/>
                <w:bCs/>
                <w:color w:val="333333"/>
                <w:sz w:val="24"/>
                <w:szCs w:val="24"/>
                <w:u w:val="single"/>
              </w:rPr>
              <w:t>C/T</w:t>
            </w:r>
            <w:r w:rsidRPr="00B703DD">
              <w:rPr>
                <w:rFonts w:asciiTheme="majorBidi" w:hAnsiTheme="majorBidi" w:cstheme="majorBidi"/>
                <w:color w:val="333333"/>
                <w:sz w:val="24"/>
                <w:szCs w:val="24"/>
              </w:rPr>
              <w:t>GT</w:t>
            </w:r>
            <w:r w:rsidRPr="00B703DD">
              <w:rPr>
                <w:rFonts w:asciiTheme="majorBidi" w:hAnsiTheme="majorBidi" w:cstheme="majorBidi"/>
                <w:b/>
                <w:bCs/>
                <w:color w:val="333333"/>
                <w:sz w:val="24"/>
                <w:szCs w:val="24"/>
                <w:u w:val="single"/>
              </w:rPr>
              <w:t>C/T</w:t>
            </w:r>
            <w:r w:rsidRPr="00B703DD">
              <w:rPr>
                <w:rFonts w:asciiTheme="majorBidi" w:hAnsiTheme="majorBidi" w:cstheme="majorBidi"/>
                <w:color w:val="333333"/>
                <w:sz w:val="24"/>
                <w:szCs w:val="24"/>
              </w:rPr>
              <w:t>GTTTTTTAAGT</w:t>
            </w:r>
            <w:r w:rsidRPr="00B703DD">
              <w:rPr>
                <w:rFonts w:asciiTheme="majorBidi" w:hAnsiTheme="majorBidi" w:cstheme="majorBidi"/>
                <w:b/>
                <w:bCs/>
                <w:color w:val="333333"/>
                <w:sz w:val="24"/>
                <w:szCs w:val="24"/>
                <w:u w:val="single"/>
              </w:rPr>
              <w:t>C/T</w:t>
            </w:r>
            <w:r w:rsidRPr="00B703DD">
              <w:rPr>
                <w:rFonts w:asciiTheme="majorBidi" w:hAnsiTheme="majorBidi" w:cstheme="majorBidi"/>
                <w:color w:val="333333"/>
                <w:sz w:val="24"/>
                <w:szCs w:val="24"/>
              </w:rPr>
              <w:t>GGTTTGAAAAG</w:t>
            </w:r>
            <w:r w:rsidRPr="00B703DD">
              <w:rPr>
                <w:rFonts w:asciiTheme="majorBidi" w:hAnsiTheme="majorBidi" w:cstheme="majorBidi"/>
                <w:b/>
                <w:bCs/>
                <w:color w:val="333333"/>
                <w:sz w:val="24"/>
                <w:szCs w:val="24"/>
                <w:u w:val="single"/>
              </w:rPr>
              <w:t>C/T</w:t>
            </w:r>
            <w:r w:rsidRPr="00B703DD">
              <w:rPr>
                <w:rFonts w:asciiTheme="majorBidi" w:hAnsiTheme="majorBidi" w:cstheme="majorBidi"/>
                <w:color w:val="333333"/>
                <w:sz w:val="24"/>
                <w:szCs w:val="24"/>
              </w:rPr>
              <w:t>GTA</w:t>
            </w:r>
          </w:p>
        </w:tc>
        <w:tc>
          <w:tcPr>
            <w:tcW w:w="1276" w:type="dxa"/>
          </w:tcPr>
          <w:p w:rsidR="004E5DBB" w:rsidRPr="00B703DD" w:rsidRDefault="004E5DBB" w:rsidP="001E3CBE">
            <w:pPr>
              <w:spacing w:line="360" w:lineRule="auto"/>
              <w:rPr>
                <w:rFonts w:asciiTheme="majorBidi" w:hAnsiTheme="majorBidi" w:cstheme="majorBidi"/>
                <w:color w:val="333333"/>
                <w:sz w:val="24"/>
                <w:szCs w:val="24"/>
              </w:rPr>
            </w:pPr>
            <w:r w:rsidRPr="00B703DD">
              <w:rPr>
                <w:rFonts w:asciiTheme="majorBidi" w:hAnsiTheme="majorBidi" w:cstheme="majorBidi"/>
                <w:color w:val="333333"/>
                <w:sz w:val="24"/>
                <w:szCs w:val="24"/>
              </w:rPr>
              <w:t>54.0</w:t>
            </w:r>
            <w:r w:rsidRPr="00B703DD">
              <w:rPr>
                <w:rFonts w:asciiTheme="majorBidi" w:hAnsiTheme="majorBidi" w:cstheme="majorBidi"/>
                <w:sz w:val="24"/>
                <w:szCs w:val="24"/>
              </w:rPr>
              <w:t>°C</w:t>
            </w:r>
          </w:p>
        </w:tc>
      </w:tr>
    </w:tbl>
    <w:p w:rsidR="004E5DBB" w:rsidRDefault="004E5DBB" w:rsidP="004E5DBB">
      <w:pPr>
        <w:spacing w:line="360" w:lineRule="auto"/>
        <w:rPr>
          <w:rFonts w:asciiTheme="majorBidi" w:hAnsiTheme="majorBidi" w:cstheme="majorBidi"/>
          <w:sz w:val="24"/>
          <w:szCs w:val="24"/>
        </w:rPr>
      </w:pPr>
    </w:p>
    <w:p w:rsidR="004E5DBB" w:rsidRDefault="004E5DBB" w:rsidP="004E5DBB">
      <w:pPr>
        <w:rPr>
          <w:rFonts w:asciiTheme="majorBidi" w:hAnsiTheme="majorBidi" w:cstheme="majorBidi"/>
          <w:sz w:val="24"/>
          <w:szCs w:val="24"/>
        </w:rPr>
      </w:pPr>
      <w:r>
        <w:rPr>
          <w:rFonts w:asciiTheme="majorBidi" w:hAnsiTheme="majorBidi" w:cstheme="majorBidi"/>
          <w:sz w:val="24"/>
          <w:szCs w:val="24"/>
        </w:rPr>
        <w:t xml:space="preserve">S. </w:t>
      </w:r>
      <w:r w:rsidRPr="00922D98">
        <w:rPr>
          <w:rFonts w:asciiTheme="majorBidi" w:hAnsiTheme="majorBidi" w:cstheme="majorBidi"/>
          <w:sz w:val="24"/>
          <w:szCs w:val="24"/>
        </w:rPr>
        <w:t xml:space="preserve">Table </w:t>
      </w:r>
      <w:r>
        <w:rPr>
          <w:rFonts w:asciiTheme="majorBidi" w:hAnsiTheme="majorBidi" w:cstheme="majorBidi"/>
          <w:sz w:val="24"/>
          <w:szCs w:val="24"/>
        </w:rPr>
        <w:t>1.B:</w:t>
      </w:r>
      <w:r w:rsidRPr="00922D98">
        <w:rPr>
          <w:rFonts w:asciiTheme="majorBidi" w:hAnsiTheme="majorBidi" w:cstheme="majorBidi"/>
          <w:sz w:val="24"/>
          <w:szCs w:val="24"/>
        </w:rPr>
        <w:t xml:space="preserve"> </w:t>
      </w:r>
      <w:r>
        <w:rPr>
          <w:rFonts w:asciiTheme="majorBidi" w:hAnsiTheme="majorBidi" w:cstheme="majorBidi"/>
          <w:sz w:val="24"/>
          <w:szCs w:val="24"/>
        </w:rPr>
        <w:t xml:space="preserve">Information about </w:t>
      </w:r>
      <w:proofErr w:type="spellStart"/>
      <w:r>
        <w:rPr>
          <w:rFonts w:asciiTheme="majorBidi" w:hAnsiTheme="majorBidi" w:cstheme="majorBidi"/>
          <w:sz w:val="24"/>
          <w:szCs w:val="24"/>
        </w:rPr>
        <w:t>Pyromark</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CpG</w:t>
      </w:r>
      <w:proofErr w:type="spellEnd"/>
      <w:r>
        <w:rPr>
          <w:rFonts w:asciiTheme="majorBidi" w:hAnsiTheme="majorBidi" w:cstheme="majorBidi"/>
          <w:sz w:val="24"/>
          <w:szCs w:val="24"/>
        </w:rPr>
        <w:t xml:space="preserve"> Assays that were used for PCR and pyrosequencing:</w:t>
      </w:r>
    </w:p>
    <w:tbl>
      <w:tblPr>
        <w:tblStyle w:val="TableGrid"/>
        <w:tblW w:w="9634" w:type="dxa"/>
        <w:tblLayout w:type="fixed"/>
        <w:tblLook w:val="04A0" w:firstRow="1" w:lastRow="0" w:firstColumn="1" w:lastColumn="0" w:noHBand="0" w:noVBand="1"/>
      </w:tblPr>
      <w:tblGrid>
        <w:gridCol w:w="990"/>
        <w:gridCol w:w="1557"/>
        <w:gridCol w:w="1843"/>
        <w:gridCol w:w="1275"/>
        <w:gridCol w:w="2694"/>
        <w:gridCol w:w="1275"/>
      </w:tblGrid>
      <w:tr w:rsidR="004E5DBB" w:rsidRPr="00B703DD" w:rsidTr="001E3CBE">
        <w:tc>
          <w:tcPr>
            <w:tcW w:w="990" w:type="dxa"/>
          </w:tcPr>
          <w:p w:rsidR="004E5DBB" w:rsidRPr="00922D98" w:rsidRDefault="004E5DBB" w:rsidP="001E3CBE">
            <w:pPr>
              <w:spacing w:line="360" w:lineRule="auto"/>
              <w:rPr>
                <w:rFonts w:asciiTheme="majorBidi" w:hAnsiTheme="majorBidi" w:cstheme="majorBidi"/>
                <w:b/>
                <w:bCs/>
                <w:sz w:val="24"/>
                <w:szCs w:val="24"/>
              </w:rPr>
            </w:pPr>
            <w:r w:rsidRPr="00922D98">
              <w:rPr>
                <w:rFonts w:asciiTheme="majorBidi" w:hAnsiTheme="majorBidi" w:cstheme="majorBidi"/>
                <w:b/>
                <w:bCs/>
                <w:sz w:val="24"/>
                <w:szCs w:val="24"/>
              </w:rPr>
              <w:t xml:space="preserve">Gene </w:t>
            </w:r>
          </w:p>
        </w:tc>
        <w:tc>
          <w:tcPr>
            <w:tcW w:w="1557" w:type="dxa"/>
          </w:tcPr>
          <w:p w:rsidR="004E5DBB" w:rsidRPr="00922D98" w:rsidRDefault="004E5DBB" w:rsidP="001E3CBE">
            <w:pPr>
              <w:spacing w:line="360" w:lineRule="auto"/>
              <w:rPr>
                <w:rFonts w:asciiTheme="majorBidi" w:hAnsiTheme="majorBidi" w:cstheme="majorBidi"/>
                <w:b/>
                <w:bCs/>
                <w:sz w:val="24"/>
                <w:szCs w:val="24"/>
              </w:rPr>
            </w:pPr>
            <w:r w:rsidRPr="00922D98">
              <w:rPr>
                <w:rFonts w:asciiTheme="majorBidi" w:hAnsiTheme="majorBidi" w:cstheme="majorBidi"/>
                <w:b/>
                <w:bCs/>
                <w:sz w:val="24"/>
                <w:szCs w:val="24"/>
              </w:rPr>
              <w:t xml:space="preserve">Assay Name </w:t>
            </w:r>
          </w:p>
        </w:tc>
        <w:tc>
          <w:tcPr>
            <w:tcW w:w="1843" w:type="dxa"/>
          </w:tcPr>
          <w:p w:rsidR="004E5DBB" w:rsidRPr="00922D98" w:rsidRDefault="004E5DBB" w:rsidP="001E3CBE">
            <w:pPr>
              <w:spacing w:line="360" w:lineRule="auto"/>
              <w:rPr>
                <w:rFonts w:asciiTheme="majorBidi" w:hAnsiTheme="majorBidi" w:cstheme="majorBidi"/>
                <w:b/>
                <w:bCs/>
                <w:sz w:val="24"/>
                <w:szCs w:val="24"/>
              </w:rPr>
            </w:pPr>
            <w:r w:rsidRPr="00922D98">
              <w:rPr>
                <w:rFonts w:asciiTheme="majorBidi" w:hAnsiTheme="majorBidi" w:cstheme="majorBidi"/>
                <w:b/>
                <w:bCs/>
                <w:sz w:val="24"/>
                <w:szCs w:val="24"/>
              </w:rPr>
              <w:t xml:space="preserve">Chromosomal location </w:t>
            </w:r>
          </w:p>
        </w:tc>
        <w:tc>
          <w:tcPr>
            <w:tcW w:w="1275" w:type="dxa"/>
          </w:tcPr>
          <w:p w:rsidR="004E5DBB" w:rsidRPr="00922D98" w:rsidRDefault="004E5DBB" w:rsidP="001E3CBE">
            <w:pPr>
              <w:spacing w:line="360" w:lineRule="auto"/>
              <w:rPr>
                <w:rFonts w:asciiTheme="majorBidi" w:hAnsiTheme="majorBidi" w:cstheme="majorBidi"/>
                <w:b/>
                <w:bCs/>
                <w:sz w:val="24"/>
                <w:szCs w:val="24"/>
              </w:rPr>
            </w:pPr>
            <w:r w:rsidRPr="00922D98">
              <w:rPr>
                <w:rFonts w:asciiTheme="majorBidi" w:hAnsiTheme="majorBidi" w:cstheme="majorBidi"/>
                <w:b/>
                <w:bCs/>
                <w:sz w:val="24"/>
                <w:szCs w:val="24"/>
              </w:rPr>
              <w:t>Amplicon length</w:t>
            </w:r>
          </w:p>
        </w:tc>
        <w:tc>
          <w:tcPr>
            <w:tcW w:w="2694" w:type="dxa"/>
          </w:tcPr>
          <w:p w:rsidR="004E5DBB" w:rsidRPr="00922D98" w:rsidRDefault="004E5DBB" w:rsidP="001E3CBE">
            <w:pPr>
              <w:spacing w:line="360" w:lineRule="auto"/>
              <w:rPr>
                <w:rFonts w:asciiTheme="majorBidi" w:hAnsiTheme="majorBidi" w:cstheme="majorBidi"/>
                <w:b/>
                <w:bCs/>
                <w:sz w:val="24"/>
                <w:szCs w:val="24"/>
              </w:rPr>
            </w:pPr>
            <w:r w:rsidRPr="00922D98">
              <w:rPr>
                <w:rFonts w:asciiTheme="majorBidi" w:hAnsiTheme="majorBidi" w:cstheme="majorBidi"/>
                <w:b/>
                <w:bCs/>
                <w:sz w:val="24"/>
                <w:szCs w:val="24"/>
              </w:rPr>
              <w:t>Sequence to analyse *</w:t>
            </w:r>
          </w:p>
        </w:tc>
        <w:tc>
          <w:tcPr>
            <w:tcW w:w="1275" w:type="dxa"/>
          </w:tcPr>
          <w:p w:rsidR="004E5DBB" w:rsidRPr="00922D98" w:rsidRDefault="004E5DBB" w:rsidP="001E3CBE">
            <w:pPr>
              <w:spacing w:line="360" w:lineRule="auto"/>
              <w:rPr>
                <w:rFonts w:asciiTheme="majorBidi" w:hAnsiTheme="majorBidi" w:cstheme="majorBidi"/>
                <w:b/>
                <w:bCs/>
                <w:sz w:val="24"/>
                <w:szCs w:val="24"/>
              </w:rPr>
            </w:pPr>
            <w:r w:rsidRPr="00922D98">
              <w:rPr>
                <w:rFonts w:asciiTheme="majorBidi" w:hAnsiTheme="majorBidi" w:cstheme="majorBidi"/>
                <w:b/>
                <w:bCs/>
                <w:sz w:val="24"/>
                <w:szCs w:val="24"/>
              </w:rPr>
              <w:t>Optimal annealing temp</w:t>
            </w:r>
          </w:p>
        </w:tc>
      </w:tr>
      <w:tr w:rsidR="004E5DBB" w:rsidRPr="00B703DD" w:rsidTr="001E3CBE">
        <w:tc>
          <w:tcPr>
            <w:tcW w:w="990" w:type="dxa"/>
          </w:tcPr>
          <w:p w:rsidR="004E5DBB" w:rsidRPr="00922D98" w:rsidRDefault="004E5DBB" w:rsidP="001E3CBE">
            <w:pPr>
              <w:spacing w:line="360" w:lineRule="auto"/>
              <w:rPr>
                <w:rFonts w:asciiTheme="majorBidi" w:hAnsiTheme="majorBidi" w:cstheme="majorBidi"/>
                <w:i/>
                <w:iCs/>
                <w:sz w:val="24"/>
                <w:szCs w:val="24"/>
              </w:rPr>
            </w:pPr>
            <w:r w:rsidRPr="00922D98">
              <w:rPr>
                <w:rFonts w:asciiTheme="majorBidi" w:hAnsiTheme="majorBidi" w:cstheme="majorBidi"/>
                <w:i/>
                <w:iCs/>
                <w:sz w:val="24"/>
                <w:szCs w:val="24"/>
              </w:rPr>
              <w:t>LEP</w:t>
            </w:r>
          </w:p>
        </w:tc>
        <w:tc>
          <w:tcPr>
            <w:tcW w:w="1557"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Hs_LEP_01_PM</w:t>
            </w:r>
          </w:p>
        </w:tc>
        <w:tc>
          <w:tcPr>
            <w:tcW w:w="1843" w:type="dxa"/>
          </w:tcPr>
          <w:p w:rsidR="004E5DBB" w:rsidRPr="00B703DD" w:rsidRDefault="004E5DBB" w:rsidP="001E3CBE">
            <w:pPr>
              <w:pStyle w:val="Default"/>
              <w:spacing w:after="160" w:line="360" w:lineRule="auto"/>
              <w:rPr>
                <w:rFonts w:asciiTheme="majorBidi" w:hAnsiTheme="majorBidi" w:cstheme="majorBidi"/>
              </w:rPr>
            </w:pPr>
            <w:r w:rsidRPr="00B703DD">
              <w:rPr>
                <w:rFonts w:asciiTheme="majorBidi" w:hAnsiTheme="majorBidi" w:cstheme="majorBidi"/>
              </w:rPr>
              <w:t xml:space="preserve">Chr7:127881010-127881108 </w:t>
            </w:r>
          </w:p>
        </w:tc>
        <w:tc>
          <w:tcPr>
            <w:tcW w:w="1275" w:type="dxa"/>
          </w:tcPr>
          <w:p w:rsidR="004E5DBB" w:rsidRPr="00B703DD" w:rsidRDefault="004E5DBB" w:rsidP="001E3CBE">
            <w:pPr>
              <w:pStyle w:val="Default"/>
              <w:spacing w:after="160" w:line="360" w:lineRule="auto"/>
              <w:rPr>
                <w:rFonts w:asciiTheme="majorBidi" w:hAnsiTheme="majorBidi" w:cstheme="majorBidi"/>
              </w:rPr>
            </w:pPr>
            <w:r w:rsidRPr="00B703DD">
              <w:rPr>
                <w:rFonts w:asciiTheme="majorBidi" w:hAnsiTheme="majorBidi" w:cstheme="majorBidi"/>
              </w:rPr>
              <w:t xml:space="preserve">98 </w:t>
            </w:r>
            <w:proofErr w:type="spellStart"/>
            <w:r w:rsidRPr="00B703DD">
              <w:rPr>
                <w:rFonts w:asciiTheme="majorBidi" w:hAnsiTheme="majorBidi" w:cstheme="majorBidi"/>
              </w:rPr>
              <w:t>bp</w:t>
            </w:r>
            <w:proofErr w:type="spellEnd"/>
          </w:p>
          <w:p w:rsidR="004E5DBB" w:rsidRPr="00B703DD" w:rsidRDefault="004E5DBB" w:rsidP="001E3CBE">
            <w:pPr>
              <w:spacing w:line="360" w:lineRule="auto"/>
              <w:rPr>
                <w:rFonts w:asciiTheme="majorBidi" w:hAnsiTheme="majorBidi" w:cstheme="majorBidi"/>
                <w:sz w:val="24"/>
                <w:szCs w:val="24"/>
              </w:rPr>
            </w:pPr>
          </w:p>
        </w:tc>
        <w:tc>
          <w:tcPr>
            <w:tcW w:w="2694"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CTC</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G</w:t>
            </w:r>
            <w:r w:rsidRPr="00195239">
              <w:rPr>
                <w:rFonts w:asciiTheme="majorBidi" w:hAnsiTheme="majorBidi" w:cstheme="majorBidi"/>
                <w:b/>
                <w:bCs/>
                <w:sz w:val="24"/>
                <w:szCs w:val="24"/>
                <w:u w:val="single"/>
              </w:rPr>
              <w:t>CGCG</w:t>
            </w:r>
            <w:r w:rsidRPr="00B703DD">
              <w:rPr>
                <w:rFonts w:asciiTheme="majorBidi" w:hAnsiTheme="majorBidi" w:cstheme="majorBidi"/>
                <w:sz w:val="24"/>
                <w:szCs w:val="24"/>
              </w:rPr>
              <w:t>ACTATGG</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T</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53.7°C</w:t>
            </w:r>
          </w:p>
        </w:tc>
      </w:tr>
      <w:tr w:rsidR="004E5DBB" w:rsidRPr="00B703DD" w:rsidTr="001E3CBE">
        <w:tc>
          <w:tcPr>
            <w:tcW w:w="990" w:type="dxa"/>
          </w:tcPr>
          <w:p w:rsidR="004E5DBB" w:rsidRPr="00922D98" w:rsidRDefault="004E5DBB" w:rsidP="001E3CBE">
            <w:pPr>
              <w:spacing w:line="360" w:lineRule="auto"/>
              <w:rPr>
                <w:rFonts w:asciiTheme="majorBidi" w:hAnsiTheme="majorBidi" w:cstheme="majorBidi"/>
                <w:i/>
                <w:iCs/>
                <w:sz w:val="24"/>
                <w:szCs w:val="24"/>
              </w:rPr>
            </w:pPr>
            <w:r w:rsidRPr="00922D98">
              <w:rPr>
                <w:rFonts w:asciiTheme="majorBidi" w:hAnsiTheme="majorBidi" w:cstheme="majorBidi"/>
                <w:i/>
                <w:iCs/>
                <w:sz w:val="24"/>
                <w:szCs w:val="24"/>
              </w:rPr>
              <w:t>POMC</w:t>
            </w:r>
          </w:p>
        </w:tc>
        <w:tc>
          <w:tcPr>
            <w:tcW w:w="1557"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Hs_POMC_01_PM</w:t>
            </w:r>
          </w:p>
        </w:tc>
        <w:tc>
          <w:tcPr>
            <w:tcW w:w="1843"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Chr2:25391617-25391780</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 xml:space="preserve">163 </w:t>
            </w:r>
            <w:proofErr w:type="spellStart"/>
            <w:r w:rsidRPr="00B703DD">
              <w:rPr>
                <w:rFonts w:asciiTheme="majorBidi" w:hAnsiTheme="majorBidi" w:cstheme="majorBidi"/>
                <w:sz w:val="24"/>
                <w:szCs w:val="24"/>
              </w:rPr>
              <w:t>bp</w:t>
            </w:r>
            <w:proofErr w:type="spellEnd"/>
          </w:p>
        </w:tc>
        <w:tc>
          <w:tcPr>
            <w:tcW w:w="2694"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G</w:t>
            </w:r>
            <w:r w:rsidRPr="00B703DD">
              <w:rPr>
                <w:rFonts w:asciiTheme="majorBidi" w:hAnsiTheme="majorBidi" w:cstheme="majorBidi"/>
                <w:b/>
                <w:bCs/>
                <w:sz w:val="24"/>
                <w:szCs w:val="24"/>
                <w:u w:val="single"/>
              </w:rPr>
              <w:t>C</w:t>
            </w:r>
            <w:r w:rsidRPr="00B703DD">
              <w:rPr>
                <w:rFonts w:asciiTheme="majorBidi" w:hAnsiTheme="majorBidi" w:cstheme="majorBidi"/>
                <w:sz w:val="24"/>
                <w:szCs w:val="24"/>
              </w:rPr>
              <w:t>GTTGGGTCTC</w:t>
            </w:r>
            <w:r w:rsidRPr="00B703DD">
              <w:rPr>
                <w:rFonts w:asciiTheme="majorBidi" w:hAnsiTheme="majorBidi" w:cstheme="majorBidi"/>
                <w:b/>
                <w:bCs/>
                <w:sz w:val="24"/>
                <w:szCs w:val="24"/>
                <w:u w:val="single"/>
              </w:rPr>
              <w:t>C</w:t>
            </w:r>
            <w:r w:rsidRPr="00B703DD">
              <w:rPr>
                <w:rFonts w:asciiTheme="majorBidi" w:hAnsiTheme="majorBidi" w:cstheme="majorBidi"/>
                <w:sz w:val="24"/>
                <w:szCs w:val="24"/>
              </w:rPr>
              <w:t xml:space="preserve">GCTTAGAA </w:t>
            </w:r>
            <w:r w:rsidRPr="00B703DD">
              <w:rPr>
                <w:rFonts w:asciiTheme="majorBidi" w:hAnsiTheme="majorBidi" w:cstheme="majorBidi"/>
                <w:b/>
                <w:bCs/>
                <w:sz w:val="24"/>
                <w:szCs w:val="24"/>
                <w:u w:val="single"/>
              </w:rPr>
              <w:t>C</w:t>
            </w:r>
            <w:r w:rsidRPr="00B703DD">
              <w:rPr>
                <w:rFonts w:asciiTheme="majorBidi" w:hAnsiTheme="majorBidi" w:cstheme="majorBidi"/>
                <w:sz w:val="24"/>
                <w:szCs w:val="24"/>
              </w:rPr>
              <w:t>GGG</w:t>
            </w:r>
            <w:r w:rsidRPr="00B703DD">
              <w:rPr>
                <w:rFonts w:asciiTheme="majorBidi" w:hAnsiTheme="majorBidi" w:cstheme="majorBidi"/>
                <w:b/>
                <w:bCs/>
                <w:sz w:val="24"/>
                <w:szCs w:val="24"/>
                <w:u w:val="single"/>
              </w:rPr>
              <w:t>C</w:t>
            </w:r>
            <w:r w:rsidRPr="00B703DD">
              <w:rPr>
                <w:rFonts w:asciiTheme="majorBidi" w:hAnsiTheme="majorBidi" w:cstheme="majorBidi"/>
                <w:sz w:val="24"/>
                <w:szCs w:val="24"/>
              </w:rPr>
              <w:t>GGGA5</w:t>
            </w:r>
          </w:p>
        </w:tc>
        <w:tc>
          <w:tcPr>
            <w:tcW w:w="1275" w:type="dxa"/>
          </w:tcPr>
          <w:p w:rsidR="004E5DBB" w:rsidRPr="00B703DD" w:rsidRDefault="004E5DBB" w:rsidP="001E3CBE">
            <w:pPr>
              <w:spacing w:line="360" w:lineRule="auto"/>
              <w:rPr>
                <w:rFonts w:asciiTheme="majorBidi" w:hAnsiTheme="majorBidi" w:cstheme="majorBidi"/>
                <w:sz w:val="24"/>
                <w:szCs w:val="24"/>
              </w:rPr>
            </w:pPr>
            <w:r>
              <w:rPr>
                <w:rFonts w:asciiTheme="majorBidi" w:hAnsiTheme="majorBidi" w:cstheme="majorBidi"/>
                <w:sz w:val="24"/>
                <w:szCs w:val="24"/>
              </w:rPr>
              <w:t>5</w:t>
            </w:r>
            <w:r w:rsidRPr="00B703DD">
              <w:rPr>
                <w:rFonts w:asciiTheme="majorBidi" w:hAnsiTheme="majorBidi" w:cstheme="majorBidi"/>
                <w:sz w:val="24"/>
                <w:szCs w:val="24"/>
              </w:rPr>
              <w:t>2.7°C</w:t>
            </w:r>
          </w:p>
        </w:tc>
      </w:tr>
      <w:tr w:rsidR="004E5DBB" w:rsidRPr="00B703DD" w:rsidTr="001E3CBE">
        <w:tc>
          <w:tcPr>
            <w:tcW w:w="990" w:type="dxa"/>
            <w:vMerge w:val="restart"/>
          </w:tcPr>
          <w:p w:rsidR="004E5DBB" w:rsidRPr="00922D98" w:rsidRDefault="004E5DBB" w:rsidP="001E3CBE">
            <w:pPr>
              <w:spacing w:line="360" w:lineRule="auto"/>
              <w:rPr>
                <w:rFonts w:asciiTheme="majorBidi" w:hAnsiTheme="majorBidi" w:cstheme="majorBidi"/>
                <w:i/>
                <w:iCs/>
                <w:sz w:val="24"/>
                <w:szCs w:val="24"/>
              </w:rPr>
            </w:pPr>
            <w:r w:rsidRPr="00922D98">
              <w:rPr>
                <w:rFonts w:asciiTheme="majorBidi" w:hAnsiTheme="majorBidi" w:cstheme="majorBidi"/>
                <w:i/>
                <w:iCs/>
                <w:sz w:val="24"/>
                <w:szCs w:val="24"/>
              </w:rPr>
              <w:lastRenderedPageBreak/>
              <w:t>COX2</w:t>
            </w:r>
          </w:p>
        </w:tc>
        <w:tc>
          <w:tcPr>
            <w:tcW w:w="1557"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Hs_PTGS2_01_PM</w:t>
            </w:r>
          </w:p>
        </w:tc>
        <w:tc>
          <w:tcPr>
            <w:tcW w:w="1843"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Chr1</w:t>
            </w:r>
            <w:r>
              <w:rPr>
                <w:rFonts w:asciiTheme="majorBidi" w:hAnsiTheme="majorBidi" w:cstheme="majorBidi"/>
                <w:sz w:val="24"/>
                <w:szCs w:val="24"/>
              </w:rPr>
              <w:t>:</w:t>
            </w:r>
            <w:r w:rsidRPr="00B703DD">
              <w:rPr>
                <w:rFonts w:asciiTheme="majorBidi" w:hAnsiTheme="majorBidi" w:cstheme="majorBidi"/>
                <w:sz w:val="24"/>
                <w:szCs w:val="24"/>
              </w:rPr>
              <w:t>186649173-186649305</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 xml:space="preserve">132 </w:t>
            </w:r>
            <w:proofErr w:type="spellStart"/>
            <w:r w:rsidRPr="00B703DD">
              <w:rPr>
                <w:rFonts w:asciiTheme="majorBidi" w:hAnsiTheme="majorBidi" w:cstheme="majorBidi"/>
                <w:sz w:val="24"/>
                <w:szCs w:val="24"/>
              </w:rPr>
              <w:t>bp</w:t>
            </w:r>
            <w:proofErr w:type="spellEnd"/>
          </w:p>
        </w:tc>
        <w:tc>
          <w:tcPr>
            <w:tcW w:w="2694"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TCCA</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GAGTTCTTT</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RACT CTAG</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GT</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57.7°C</w:t>
            </w:r>
          </w:p>
        </w:tc>
      </w:tr>
      <w:tr w:rsidR="004E5DBB" w:rsidRPr="00B703DD" w:rsidTr="001E3CBE">
        <w:tc>
          <w:tcPr>
            <w:tcW w:w="990" w:type="dxa"/>
            <w:vMerge/>
          </w:tcPr>
          <w:p w:rsidR="004E5DBB" w:rsidRPr="00673BC5" w:rsidRDefault="004E5DBB" w:rsidP="001E3CBE">
            <w:pPr>
              <w:spacing w:line="360" w:lineRule="auto"/>
              <w:rPr>
                <w:rFonts w:asciiTheme="majorBidi" w:hAnsiTheme="majorBidi" w:cstheme="majorBidi"/>
                <w:i/>
                <w:iCs/>
                <w:sz w:val="24"/>
                <w:szCs w:val="24"/>
              </w:rPr>
            </w:pPr>
          </w:p>
        </w:tc>
        <w:tc>
          <w:tcPr>
            <w:tcW w:w="1557"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Hs_PTGS2_02_PM</w:t>
            </w:r>
          </w:p>
        </w:tc>
        <w:tc>
          <w:tcPr>
            <w:tcW w:w="1843"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Chr</w:t>
            </w:r>
            <w:r>
              <w:rPr>
                <w:rFonts w:asciiTheme="majorBidi" w:hAnsiTheme="majorBidi" w:cstheme="majorBidi"/>
                <w:sz w:val="24"/>
                <w:szCs w:val="24"/>
              </w:rPr>
              <w:t>1:</w:t>
            </w:r>
            <w:r w:rsidRPr="00B703DD">
              <w:rPr>
                <w:rFonts w:asciiTheme="majorBidi" w:hAnsiTheme="majorBidi" w:cstheme="majorBidi"/>
                <w:sz w:val="24"/>
                <w:szCs w:val="24"/>
              </w:rPr>
              <w:t>186649743-186649954</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 xml:space="preserve">211 </w:t>
            </w:r>
            <w:proofErr w:type="spellStart"/>
            <w:r w:rsidRPr="00B703DD">
              <w:rPr>
                <w:rFonts w:asciiTheme="majorBidi" w:hAnsiTheme="majorBidi" w:cstheme="majorBidi"/>
                <w:sz w:val="24"/>
                <w:szCs w:val="24"/>
              </w:rPr>
              <w:t>bp</w:t>
            </w:r>
            <w:proofErr w:type="spellEnd"/>
          </w:p>
        </w:tc>
        <w:tc>
          <w:tcPr>
            <w:tcW w:w="2694"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CTTTTCTTCTT</w:t>
            </w:r>
            <w:r w:rsidRPr="00195239">
              <w:rPr>
                <w:rFonts w:asciiTheme="majorBidi" w:hAnsiTheme="majorBidi" w:cstheme="majorBidi"/>
                <w:b/>
                <w:bCs/>
                <w:sz w:val="24"/>
                <w:szCs w:val="24"/>
                <w:u w:val="single"/>
              </w:rPr>
              <w:t>C</w:t>
            </w:r>
            <w:r w:rsidRPr="00195239">
              <w:rPr>
                <w:rFonts w:asciiTheme="majorBidi" w:hAnsiTheme="majorBidi" w:cstheme="majorBidi"/>
                <w:sz w:val="24"/>
                <w:szCs w:val="24"/>
                <w:u w:val="single"/>
              </w:rPr>
              <w:t>G</w:t>
            </w:r>
            <w:r w:rsidRPr="00B703DD">
              <w:rPr>
                <w:rFonts w:asciiTheme="majorBidi" w:hAnsiTheme="majorBidi" w:cstheme="majorBidi"/>
                <w:sz w:val="24"/>
                <w:szCs w:val="24"/>
              </w:rPr>
              <w:t>CAGTCTTTCC</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AG</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CTTC</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A</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57.7°C</w:t>
            </w:r>
          </w:p>
        </w:tc>
      </w:tr>
      <w:tr w:rsidR="004E5DBB" w:rsidRPr="00B703DD" w:rsidTr="001E3CBE">
        <w:tc>
          <w:tcPr>
            <w:tcW w:w="990" w:type="dxa"/>
            <w:vMerge w:val="restart"/>
          </w:tcPr>
          <w:p w:rsidR="004E5DBB" w:rsidRPr="008426A1" w:rsidRDefault="004E5DBB" w:rsidP="001E3CBE">
            <w:pPr>
              <w:spacing w:line="360" w:lineRule="auto"/>
              <w:rPr>
                <w:rFonts w:asciiTheme="majorBidi" w:hAnsiTheme="majorBidi" w:cstheme="majorBidi"/>
                <w:i/>
                <w:iCs/>
                <w:sz w:val="24"/>
                <w:szCs w:val="24"/>
              </w:rPr>
            </w:pPr>
            <w:r w:rsidRPr="00673BC5">
              <w:rPr>
                <w:rFonts w:asciiTheme="majorBidi" w:hAnsiTheme="majorBidi" w:cstheme="majorBidi"/>
                <w:i/>
                <w:iCs/>
                <w:sz w:val="24"/>
                <w:szCs w:val="24"/>
              </w:rPr>
              <w:t>MAPK7</w:t>
            </w:r>
          </w:p>
          <w:p w:rsidR="004E5DBB" w:rsidRPr="00673BC5" w:rsidRDefault="004E5DBB" w:rsidP="001E3CBE">
            <w:pPr>
              <w:spacing w:line="360" w:lineRule="auto"/>
              <w:rPr>
                <w:rFonts w:asciiTheme="majorBidi" w:hAnsiTheme="majorBidi" w:cstheme="majorBidi"/>
                <w:i/>
                <w:iCs/>
                <w:sz w:val="24"/>
                <w:szCs w:val="24"/>
              </w:rPr>
            </w:pPr>
          </w:p>
        </w:tc>
        <w:tc>
          <w:tcPr>
            <w:tcW w:w="1557"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Hs_MAPK7_01_PM</w:t>
            </w:r>
          </w:p>
        </w:tc>
        <w:tc>
          <w:tcPr>
            <w:tcW w:w="1843"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Chr</w:t>
            </w:r>
            <w:r>
              <w:rPr>
                <w:rFonts w:asciiTheme="majorBidi" w:hAnsiTheme="majorBidi" w:cstheme="majorBidi"/>
                <w:sz w:val="24"/>
                <w:szCs w:val="24"/>
              </w:rPr>
              <w:t>1</w:t>
            </w:r>
            <w:r w:rsidRPr="00B703DD">
              <w:rPr>
                <w:rFonts w:asciiTheme="majorBidi" w:hAnsiTheme="majorBidi" w:cstheme="majorBidi"/>
                <w:sz w:val="24"/>
                <w:szCs w:val="24"/>
              </w:rPr>
              <w:t>7</w:t>
            </w:r>
            <w:r>
              <w:rPr>
                <w:rFonts w:asciiTheme="majorBidi" w:hAnsiTheme="majorBidi" w:cstheme="majorBidi"/>
                <w:sz w:val="24"/>
                <w:szCs w:val="24"/>
              </w:rPr>
              <w:t>:</w:t>
            </w:r>
            <w:r w:rsidRPr="00B703DD">
              <w:rPr>
                <w:rFonts w:asciiTheme="majorBidi" w:hAnsiTheme="majorBidi" w:cstheme="majorBidi"/>
                <w:sz w:val="24"/>
                <w:szCs w:val="24"/>
              </w:rPr>
              <w:t>19282</w:t>
            </w:r>
            <w:r>
              <w:rPr>
                <w:rFonts w:asciiTheme="majorBidi" w:hAnsiTheme="majorBidi" w:cstheme="majorBidi"/>
                <w:sz w:val="24"/>
                <w:szCs w:val="24"/>
              </w:rPr>
              <w:t>434</w:t>
            </w:r>
            <w:r w:rsidRPr="00B703DD">
              <w:rPr>
                <w:rFonts w:asciiTheme="majorBidi" w:hAnsiTheme="majorBidi" w:cstheme="majorBidi"/>
                <w:sz w:val="24"/>
                <w:szCs w:val="24"/>
              </w:rPr>
              <w:t>-19282</w:t>
            </w:r>
            <w:r>
              <w:rPr>
                <w:rFonts w:asciiTheme="majorBidi" w:hAnsiTheme="majorBidi" w:cstheme="majorBidi"/>
                <w:sz w:val="24"/>
                <w:szCs w:val="24"/>
              </w:rPr>
              <w:t>568</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134bp</w:t>
            </w:r>
          </w:p>
        </w:tc>
        <w:tc>
          <w:tcPr>
            <w:tcW w:w="2694"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C</w:t>
            </w:r>
            <w:r w:rsidRPr="00195239">
              <w:rPr>
                <w:rFonts w:asciiTheme="majorBidi" w:hAnsiTheme="majorBidi" w:cstheme="majorBidi"/>
                <w:b/>
                <w:bCs/>
                <w:sz w:val="24"/>
                <w:szCs w:val="24"/>
                <w:u w:val="single"/>
              </w:rPr>
              <w:t>GC</w:t>
            </w:r>
            <w:r w:rsidRPr="00B703DD">
              <w:rPr>
                <w:rFonts w:asciiTheme="majorBidi" w:hAnsiTheme="majorBidi" w:cstheme="majorBidi"/>
                <w:sz w:val="24"/>
                <w:szCs w:val="24"/>
              </w:rPr>
              <w:t>ACCC</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CTTTCCTTCC</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GCTGTCTGGGACAGGCC</w:t>
            </w:r>
            <w:r w:rsidRPr="00B703DD">
              <w:rPr>
                <w:rFonts w:asciiTheme="majorBidi" w:hAnsiTheme="majorBidi" w:cstheme="majorBidi"/>
                <w:b/>
                <w:bCs/>
                <w:sz w:val="24"/>
                <w:szCs w:val="24"/>
                <w:u w:val="single"/>
              </w:rPr>
              <w:t>G</w:t>
            </w:r>
            <w:r w:rsidRPr="00B703DD">
              <w:rPr>
                <w:rFonts w:asciiTheme="majorBidi" w:hAnsiTheme="majorBidi" w:cstheme="majorBidi"/>
                <w:sz w:val="24"/>
                <w:szCs w:val="24"/>
              </w:rPr>
              <w:t>GT</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54.7°C</w:t>
            </w:r>
          </w:p>
        </w:tc>
      </w:tr>
      <w:tr w:rsidR="004E5DBB" w:rsidRPr="00B703DD" w:rsidTr="001E3CBE">
        <w:tc>
          <w:tcPr>
            <w:tcW w:w="990" w:type="dxa"/>
            <w:vMerge/>
          </w:tcPr>
          <w:p w:rsidR="004E5DBB" w:rsidRPr="00844B0F" w:rsidRDefault="004E5DBB" w:rsidP="001E3CBE">
            <w:pPr>
              <w:spacing w:line="360" w:lineRule="auto"/>
              <w:rPr>
                <w:rFonts w:asciiTheme="majorBidi" w:hAnsiTheme="majorBidi" w:cstheme="majorBidi"/>
                <w:i/>
                <w:iCs/>
                <w:sz w:val="24"/>
                <w:szCs w:val="24"/>
              </w:rPr>
            </w:pPr>
          </w:p>
        </w:tc>
        <w:tc>
          <w:tcPr>
            <w:tcW w:w="1557"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Hs_MAPK7_02_PM</w:t>
            </w:r>
          </w:p>
        </w:tc>
        <w:tc>
          <w:tcPr>
            <w:tcW w:w="1843" w:type="dxa"/>
          </w:tcPr>
          <w:p w:rsidR="004E5DBB" w:rsidRPr="00B703DD" w:rsidRDefault="004E5DBB" w:rsidP="001E3CBE">
            <w:pPr>
              <w:spacing w:line="360" w:lineRule="auto"/>
              <w:rPr>
                <w:rFonts w:asciiTheme="majorBidi" w:hAnsiTheme="majorBidi" w:cstheme="majorBidi"/>
                <w:sz w:val="24"/>
                <w:szCs w:val="24"/>
              </w:rPr>
            </w:pPr>
            <w:r>
              <w:rPr>
                <w:rFonts w:asciiTheme="majorBidi" w:hAnsiTheme="majorBidi" w:cstheme="majorBidi"/>
                <w:sz w:val="24"/>
                <w:szCs w:val="24"/>
              </w:rPr>
              <w:t>Chr</w:t>
            </w:r>
            <w:r w:rsidRPr="00B703DD">
              <w:rPr>
                <w:rFonts w:asciiTheme="majorBidi" w:hAnsiTheme="majorBidi" w:cstheme="majorBidi"/>
                <w:sz w:val="24"/>
                <w:szCs w:val="24"/>
              </w:rPr>
              <w:t>17</w:t>
            </w:r>
            <w:r>
              <w:rPr>
                <w:rFonts w:asciiTheme="majorBidi" w:hAnsiTheme="majorBidi" w:cstheme="majorBidi"/>
                <w:sz w:val="24"/>
                <w:szCs w:val="24"/>
              </w:rPr>
              <w:t>:</w:t>
            </w:r>
            <w:r w:rsidRPr="00B703DD">
              <w:rPr>
                <w:rFonts w:asciiTheme="majorBidi" w:hAnsiTheme="majorBidi" w:cstheme="majorBidi"/>
                <w:sz w:val="24"/>
                <w:szCs w:val="24"/>
              </w:rPr>
              <w:t>192822</w:t>
            </w:r>
            <w:r>
              <w:rPr>
                <w:rFonts w:asciiTheme="majorBidi" w:hAnsiTheme="majorBidi" w:cstheme="majorBidi"/>
                <w:sz w:val="24"/>
                <w:szCs w:val="24"/>
              </w:rPr>
              <w:t>56</w:t>
            </w:r>
            <w:r w:rsidRPr="00B703DD">
              <w:rPr>
                <w:rFonts w:asciiTheme="majorBidi" w:hAnsiTheme="majorBidi" w:cstheme="majorBidi"/>
                <w:sz w:val="24"/>
                <w:szCs w:val="24"/>
              </w:rPr>
              <w:t>-192822</w:t>
            </w:r>
            <w:r>
              <w:rPr>
                <w:rFonts w:asciiTheme="majorBidi" w:hAnsiTheme="majorBidi" w:cstheme="majorBidi"/>
                <w:sz w:val="24"/>
                <w:szCs w:val="24"/>
              </w:rPr>
              <w:t>99</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 xml:space="preserve">150 </w:t>
            </w:r>
            <w:proofErr w:type="spellStart"/>
            <w:r w:rsidRPr="00B703DD">
              <w:rPr>
                <w:rFonts w:asciiTheme="majorBidi" w:hAnsiTheme="majorBidi" w:cstheme="majorBidi"/>
                <w:sz w:val="24"/>
                <w:szCs w:val="24"/>
              </w:rPr>
              <w:t>bp</w:t>
            </w:r>
            <w:proofErr w:type="spellEnd"/>
          </w:p>
        </w:tc>
        <w:tc>
          <w:tcPr>
            <w:tcW w:w="2694"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G</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GTGTGGG</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GGTT</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CCTTCA</w:t>
            </w:r>
            <w:r w:rsidRPr="00195239">
              <w:rPr>
                <w:rFonts w:asciiTheme="majorBidi" w:hAnsiTheme="majorBidi" w:cstheme="majorBidi"/>
                <w:b/>
                <w:bCs/>
                <w:sz w:val="24"/>
                <w:szCs w:val="24"/>
                <w:u w:val="single"/>
              </w:rPr>
              <w:t>CG</w:t>
            </w:r>
            <w:r w:rsidRPr="00B703DD">
              <w:rPr>
                <w:rFonts w:asciiTheme="majorBidi" w:hAnsiTheme="majorBidi" w:cstheme="majorBidi"/>
                <w:sz w:val="24"/>
                <w:szCs w:val="24"/>
              </w:rPr>
              <w:t>GGCCCGGGG GGCTCC</w:t>
            </w:r>
            <w:r w:rsidRPr="00B703DD">
              <w:rPr>
                <w:rFonts w:asciiTheme="majorBidi" w:hAnsiTheme="majorBidi" w:cstheme="majorBidi"/>
                <w:b/>
                <w:bCs/>
                <w:sz w:val="24"/>
                <w:szCs w:val="24"/>
                <w:u w:val="single"/>
              </w:rPr>
              <w:t>G</w:t>
            </w:r>
            <w:r w:rsidRPr="00B703DD">
              <w:rPr>
                <w:rFonts w:asciiTheme="majorBidi" w:hAnsiTheme="majorBidi" w:cstheme="majorBidi"/>
                <w:sz w:val="24"/>
                <w:szCs w:val="24"/>
              </w:rPr>
              <w:t>C</w:t>
            </w:r>
          </w:p>
        </w:tc>
        <w:tc>
          <w:tcPr>
            <w:tcW w:w="1275" w:type="dxa"/>
          </w:tcPr>
          <w:p w:rsidR="004E5DBB" w:rsidRPr="00B703DD" w:rsidRDefault="004E5DBB" w:rsidP="001E3CBE">
            <w:pPr>
              <w:spacing w:line="360" w:lineRule="auto"/>
              <w:rPr>
                <w:rFonts w:asciiTheme="majorBidi" w:hAnsiTheme="majorBidi" w:cstheme="majorBidi"/>
                <w:sz w:val="24"/>
                <w:szCs w:val="24"/>
              </w:rPr>
            </w:pPr>
            <w:r w:rsidRPr="00B703DD">
              <w:rPr>
                <w:rFonts w:asciiTheme="majorBidi" w:hAnsiTheme="majorBidi" w:cstheme="majorBidi"/>
                <w:sz w:val="24"/>
                <w:szCs w:val="24"/>
              </w:rPr>
              <w:t>59.5°C</w:t>
            </w:r>
          </w:p>
        </w:tc>
      </w:tr>
    </w:tbl>
    <w:p w:rsidR="004E5DBB" w:rsidRPr="00B703DD" w:rsidRDefault="004E5DBB" w:rsidP="004E5DBB">
      <w:pPr>
        <w:autoSpaceDE w:val="0"/>
        <w:autoSpaceDN w:val="0"/>
        <w:adjustRightInd w:val="0"/>
        <w:spacing w:line="360" w:lineRule="auto"/>
        <w:rPr>
          <w:rFonts w:asciiTheme="majorBidi" w:hAnsiTheme="majorBidi" w:cstheme="majorBidi"/>
          <w:b/>
          <w:bCs/>
          <w:color w:val="000000"/>
          <w:sz w:val="24"/>
          <w:szCs w:val="24"/>
        </w:rPr>
      </w:pPr>
      <w:r w:rsidRPr="00B703DD">
        <w:rPr>
          <w:rFonts w:asciiTheme="majorBidi" w:hAnsiTheme="majorBidi" w:cstheme="majorBidi"/>
          <w:b/>
          <w:bCs/>
          <w:color w:val="000000"/>
          <w:sz w:val="24"/>
          <w:szCs w:val="24"/>
        </w:rPr>
        <w:t xml:space="preserve">* Nucleotides at which DNA methylation was </w:t>
      </w:r>
      <w:r>
        <w:rPr>
          <w:rFonts w:asciiTheme="majorBidi" w:hAnsiTheme="majorBidi" w:cstheme="majorBidi"/>
          <w:b/>
          <w:bCs/>
          <w:color w:val="000000"/>
          <w:sz w:val="24"/>
          <w:szCs w:val="24"/>
        </w:rPr>
        <w:t xml:space="preserve">quantified </w:t>
      </w:r>
      <w:r w:rsidRPr="00B703DD">
        <w:rPr>
          <w:rFonts w:asciiTheme="majorBidi" w:hAnsiTheme="majorBidi" w:cstheme="majorBidi"/>
          <w:b/>
          <w:bCs/>
          <w:color w:val="000000"/>
          <w:sz w:val="24"/>
          <w:szCs w:val="24"/>
        </w:rPr>
        <w:t>are underlined.</w:t>
      </w: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4E5DBB" w:rsidRDefault="004E5DBB" w:rsidP="005C5797">
      <w:pPr>
        <w:spacing w:line="480" w:lineRule="auto"/>
        <w:rPr>
          <w:rFonts w:asciiTheme="majorBidi" w:hAnsiTheme="majorBidi" w:cstheme="majorBidi"/>
          <w:sz w:val="24"/>
          <w:szCs w:val="24"/>
        </w:rPr>
      </w:pPr>
    </w:p>
    <w:p w:rsidR="005C5797" w:rsidRDefault="005C5797" w:rsidP="005C5797">
      <w:pPr>
        <w:spacing w:line="480" w:lineRule="auto"/>
        <w:rPr>
          <w:rFonts w:asciiTheme="majorBidi" w:hAnsiTheme="majorBidi" w:cstheme="majorBidi"/>
          <w:sz w:val="24"/>
          <w:szCs w:val="24"/>
        </w:rPr>
      </w:pPr>
      <w:r>
        <w:rPr>
          <w:rFonts w:asciiTheme="majorBidi" w:hAnsiTheme="majorBidi" w:cstheme="majorBidi"/>
          <w:sz w:val="24"/>
          <w:szCs w:val="24"/>
        </w:rPr>
        <w:lastRenderedPageBreak/>
        <w:t>Supplementary tab</w:t>
      </w:r>
      <w:r w:rsidRPr="00C257D3">
        <w:rPr>
          <w:rFonts w:asciiTheme="majorBidi" w:hAnsiTheme="majorBidi" w:cstheme="majorBidi"/>
          <w:sz w:val="24"/>
          <w:szCs w:val="24"/>
        </w:rPr>
        <w:t xml:space="preserve">le </w:t>
      </w:r>
      <w:r>
        <w:rPr>
          <w:rFonts w:asciiTheme="majorBidi" w:hAnsiTheme="majorBidi" w:cstheme="majorBidi"/>
          <w:sz w:val="24"/>
          <w:szCs w:val="24"/>
        </w:rPr>
        <w:t>2</w:t>
      </w:r>
      <w:r w:rsidRPr="00C257D3">
        <w:rPr>
          <w:rFonts w:asciiTheme="majorBidi" w:hAnsiTheme="majorBidi" w:cstheme="majorBidi"/>
          <w:sz w:val="24"/>
          <w:szCs w:val="24"/>
        </w:rPr>
        <w:t xml:space="preserve">: Details of the selected </w:t>
      </w:r>
      <w:r>
        <w:rPr>
          <w:rFonts w:asciiTheme="majorBidi" w:hAnsiTheme="majorBidi" w:cstheme="majorBidi"/>
          <w:sz w:val="24"/>
          <w:szCs w:val="24"/>
        </w:rPr>
        <w:t xml:space="preserve">genes </w:t>
      </w:r>
      <w:r w:rsidRPr="00C257D3">
        <w:rPr>
          <w:rFonts w:asciiTheme="majorBidi" w:hAnsiTheme="majorBidi" w:cstheme="majorBidi"/>
          <w:sz w:val="24"/>
          <w:szCs w:val="24"/>
        </w:rPr>
        <w:t>for which methylation was quantified in samples from BOCABS Study participants</w:t>
      </w:r>
    </w:p>
    <w:tbl>
      <w:tblPr>
        <w:tblStyle w:val="GridTable4"/>
        <w:tblW w:w="0" w:type="auto"/>
        <w:tblLook w:val="0620" w:firstRow="1" w:lastRow="0" w:firstColumn="0" w:lastColumn="0" w:noHBand="1" w:noVBand="1"/>
      </w:tblPr>
      <w:tblGrid>
        <w:gridCol w:w="1555"/>
        <w:gridCol w:w="3827"/>
        <w:gridCol w:w="3634"/>
      </w:tblGrid>
      <w:tr w:rsidR="005C5797" w:rsidRPr="00C9523F" w:rsidTr="001E3CBE">
        <w:trPr>
          <w:cnfStyle w:val="100000000000" w:firstRow="1" w:lastRow="0" w:firstColumn="0" w:lastColumn="0" w:oddVBand="0" w:evenVBand="0" w:oddHBand="0" w:evenHBand="0" w:firstRowFirstColumn="0" w:firstRowLastColumn="0" w:lastRowFirstColumn="0" w:lastRowLastColumn="0"/>
        </w:trPr>
        <w:tc>
          <w:tcPr>
            <w:tcW w:w="1555" w:type="dxa"/>
          </w:tcPr>
          <w:p w:rsidR="005C5797" w:rsidRPr="00C9523F" w:rsidRDefault="005C5797" w:rsidP="001E3CBE">
            <w:pPr>
              <w:spacing w:line="480" w:lineRule="auto"/>
              <w:rPr>
                <w:rFonts w:asciiTheme="majorBidi" w:hAnsiTheme="majorBidi" w:cstheme="majorBidi"/>
                <w:b w:val="0"/>
                <w:bCs w:val="0"/>
                <w:sz w:val="24"/>
                <w:szCs w:val="24"/>
              </w:rPr>
            </w:pPr>
          </w:p>
        </w:tc>
        <w:tc>
          <w:tcPr>
            <w:tcW w:w="3827" w:type="dxa"/>
          </w:tcPr>
          <w:p w:rsidR="005C5797" w:rsidRPr="00C9523F" w:rsidRDefault="005C5797" w:rsidP="001E3CBE">
            <w:pPr>
              <w:spacing w:line="480" w:lineRule="auto"/>
              <w:rPr>
                <w:rFonts w:asciiTheme="majorBidi" w:hAnsiTheme="majorBidi" w:cstheme="majorBidi"/>
                <w:b w:val="0"/>
                <w:bCs w:val="0"/>
                <w:sz w:val="24"/>
                <w:szCs w:val="24"/>
              </w:rPr>
            </w:pPr>
            <w:r w:rsidRPr="00C9523F">
              <w:rPr>
                <w:rFonts w:asciiTheme="majorBidi" w:hAnsiTheme="majorBidi" w:cstheme="majorBidi"/>
                <w:b w:val="0"/>
                <w:bCs w:val="0"/>
                <w:sz w:val="24"/>
                <w:szCs w:val="24"/>
              </w:rPr>
              <w:t xml:space="preserve">Description </w:t>
            </w:r>
          </w:p>
        </w:tc>
        <w:tc>
          <w:tcPr>
            <w:tcW w:w="3634" w:type="dxa"/>
          </w:tcPr>
          <w:p w:rsidR="005C5797" w:rsidRPr="00C9523F" w:rsidRDefault="005C5797" w:rsidP="001E3CBE">
            <w:pPr>
              <w:spacing w:line="480" w:lineRule="auto"/>
              <w:rPr>
                <w:rFonts w:asciiTheme="majorBidi" w:hAnsiTheme="majorBidi" w:cstheme="majorBidi"/>
                <w:b w:val="0"/>
                <w:bCs w:val="0"/>
                <w:sz w:val="24"/>
                <w:szCs w:val="24"/>
              </w:rPr>
            </w:pPr>
            <w:r w:rsidRPr="00C9523F">
              <w:rPr>
                <w:rFonts w:asciiTheme="majorBidi" w:hAnsiTheme="majorBidi" w:cstheme="majorBidi"/>
                <w:b w:val="0"/>
                <w:bCs w:val="0"/>
                <w:sz w:val="24"/>
                <w:szCs w:val="24"/>
              </w:rPr>
              <w:t>Relation to risk of CRC</w:t>
            </w:r>
          </w:p>
        </w:tc>
      </w:tr>
      <w:tr w:rsidR="005C5797" w:rsidRPr="00C9523F" w:rsidTr="001E3CBE">
        <w:tc>
          <w:tcPr>
            <w:tcW w:w="1555" w:type="dxa"/>
          </w:tcPr>
          <w:p w:rsidR="005C5797" w:rsidRPr="00C9523F" w:rsidRDefault="005C5797" w:rsidP="001E3CBE">
            <w:pPr>
              <w:spacing w:line="480" w:lineRule="auto"/>
              <w:rPr>
                <w:rFonts w:asciiTheme="majorBidi" w:hAnsiTheme="majorBidi" w:cstheme="majorBidi"/>
                <w:b/>
                <w:bCs/>
                <w:i/>
                <w:iCs/>
                <w:sz w:val="24"/>
                <w:szCs w:val="24"/>
              </w:rPr>
            </w:pPr>
            <w:r w:rsidRPr="00C9523F">
              <w:rPr>
                <w:rFonts w:asciiTheme="majorBidi" w:hAnsiTheme="majorBidi" w:cstheme="majorBidi"/>
                <w:b/>
                <w:bCs/>
                <w:i/>
                <w:iCs/>
                <w:sz w:val="24"/>
                <w:szCs w:val="24"/>
              </w:rPr>
              <w:t>LINE1</w:t>
            </w:r>
          </w:p>
        </w:tc>
        <w:tc>
          <w:tcPr>
            <w:tcW w:w="3827"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 xml:space="preserve">Long interspersed nuclear elements -1 which compromises 17% of </w:t>
            </w:r>
            <w:r>
              <w:rPr>
                <w:rFonts w:asciiTheme="majorBidi" w:hAnsiTheme="majorBidi" w:cstheme="majorBidi"/>
                <w:sz w:val="24"/>
                <w:szCs w:val="24"/>
              </w:rPr>
              <w:t xml:space="preserve">the </w:t>
            </w:r>
            <w:r w:rsidRPr="00C9523F">
              <w:rPr>
                <w:rFonts w:asciiTheme="majorBidi" w:hAnsiTheme="majorBidi" w:cstheme="majorBidi"/>
                <w:sz w:val="24"/>
                <w:szCs w:val="24"/>
              </w:rPr>
              <w:t>human genome and is used widely as a surrogate for global DNA methylation</w:t>
            </w:r>
            <w:r>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{"citationItems":[{"id":"ITEM-1","itemData":{"DOI":"10.1093/nar/gnh032","ISSN":"13624962","PMID":"14973332","abstract":"We report a method for studying global DNA methylation based on using bisulfite treatment of DNA and simultaneous PCR of multiple DNA repetitive elements, such as Alu elements and long interspersed nucleotide elements (LINE). The PCR product, which represents a pool of approximately 15 000 genomic loci, could be used for direct sequencing, selective restriction digestion or pyrosequencing, in order to quantitate DNA methylation. By restriction digestion or pyrosequencing, the assay was reproducible with a standard deviation of only 2% between assays. Using this method we found that almost two-thirds of the CpG methylation sites in Alu elements are mutated, but of the remaining methylation target sites, 87% were methylated. Due to the heavy methylation of repetitive elements, this assay was especially useful in detecting decreases in DNA methylation, and this assay was validated by examining cell lines treated with the methylation inhibitor 5-aza-2'deoxycytidine (DAC), where we found a 1-16% decrease in Alu element and 18-60% LINE methylation within 3 days of treatment. This method can be used as a surrogate marker of genome-wide methylation changes. In addition, it is less labor intensive and requires less DNA than previous methods of assessing global DNA methylation.","author":[{"dropping-particle":"","family":"Yang","given":"Allen S.","non-dropping-particle":"","parse-names":false,"suffix":""},{"dropping-particle":"","family":"Estécio","given":"Marcos R.H.","non-dropping-particle":"","parse-names":false,"suffix":""},{"dropping-particle":"","family":"Doshi","given":"Ketan","non-dropping-particle":"","parse-names":false,"suffix":""},{"dropping-particle":"","family":"Kondo","given":"Yutaka","non-dropping-particle":"","parse-names":false,"suffix":""},{"dropping-particle":"","family":"Tajara","given":"Eloiza H.","non-dropping-particle":"","parse-names":false,"suffix":""},{"dropping-particle":"","family":"Issa","given":"Jean Pierre J.","non-dropping-particle":"","parse-names":false,"suffix":""}],"container-title":"Nucleic acids research","id":"ITEM-1","issued":{"date-parts":[["2004"]]},"title":"A simple method for estimating global DNA methylation using bisulfite PCR of repetitive DNA elements.","type":"article-journal"},"uris":["http://www.mendeley.com/documents/?uuid=54d4689d-e6ca-4c78-b93b-32a9f4f55adf"]}],"mendeley":{"formattedCitation":"(11)","plainTextFormattedCitation":"(11)","previouslyFormattedCitation":"(11)"},"properties":{"noteIndex":0},"schema":"https://github.com/citation-style-language/schema/raw/master/csl-citation.json"}</w:instrText>
            </w:r>
            <w:r>
              <w:rPr>
                <w:rFonts w:asciiTheme="majorBidi" w:hAnsiTheme="majorBidi" w:cstheme="majorBidi"/>
                <w:sz w:val="24"/>
                <w:szCs w:val="24"/>
              </w:rPr>
              <w:fldChar w:fldCharType="separate"/>
            </w:r>
            <w:r w:rsidRPr="00BB2A0B">
              <w:rPr>
                <w:rFonts w:asciiTheme="majorBidi" w:hAnsiTheme="majorBidi" w:cstheme="majorBidi"/>
                <w:noProof/>
                <w:sz w:val="24"/>
                <w:szCs w:val="24"/>
              </w:rPr>
              <w:t>(11)</w:t>
            </w:r>
            <w:r>
              <w:rPr>
                <w:rFonts w:asciiTheme="majorBidi" w:hAnsiTheme="majorBidi" w:cstheme="majorBidi"/>
                <w:sz w:val="24"/>
                <w:szCs w:val="24"/>
              </w:rPr>
              <w:fldChar w:fldCharType="end"/>
            </w:r>
            <w:r>
              <w:rPr>
                <w:rFonts w:asciiTheme="majorBidi" w:hAnsiTheme="majorBidi" w:cstheme="majorBidi"/>
                <w:sz w:val="24"/>
                <w:szCs w:val="24"/>
              </w:rPr>
              <w:t>.</w:t>
            </w:r>
          </w:p>
        </w:tc>
        <w:tc>
          <w:tcPr>
            <w:tcW w:w="3634" w:type="dxa"/>
          </w:tcPr>
          <w:p w:rsidR="005C5797" w:rsidRPr="00C9523F" w:rsidRDefault="005C5797" w:rsidP="001E3CBE">
            <w:pPr>
              <w:spacing w:line="480" w:lineRule="auto"/>
              <w:rPr>
                <w:rFonts w:asciiTheme="majorBidi" w:hAnsiTheme="majorBidi" w:cstheme="majorBidi"/>
                <w:sz w:val="24"/>
                <w:szCs w:val="24"/>
              </w:rPr>
            </w:pPr>
            <w:r w:rsidRPr="000C2E25">
              <w:rPr>
                <w:rFonts w:asciiTheme="majorBidi" w:hAnsiTheme="majorBidi" w:cstheme="majorBidi"/>
                <w:i/>
                <w:sz w:val="24"/>
                <w:szCs w:val="24"/>
              </w:rPr>
              <w:t>LINE1</w:t>
            </w:r>
            <w:r w:rsidRPr="00C9523F">
              <w:rPr>
                <w:rFonts w:asciiTheme="majorBidi" w:hAnsiTheme="majorBidi" w:cstheme="majorBidi"/>
                <w:sz w:val="24"/>
                <w:szCs w:val="24"/>
              </w:rPr>
              <w:t xml:space="preserve"> </w:t>
            </w:r>
            <w:proofErr w:type="spellStart"/>
            <w:r w:rsidRPr="00C9523F">
              <w:rPr>
                <w:rFonts w:asciiTheme="majorBidi" w:hAnsiTheme="majorBidi" w:cstheme="majorBidi"/>
                <w:sz w:val="24"/>
                <w:szCs w:val="24"/>
              </w:rPr>
              <w:t>hypomethylation</w:t>
            </w:r>
            <w:proofErr w:type="spellEnd"/>
            <w:r w:rsidRPr="00C9523F">
              <w:rPr>
                <w:rFonts w:asciiTheme="majorBidi" w:hAnsiTheme="majorBidi" w:cstheme="majorBidi"/>
                <w:sz w:val="24"/>
                <w:szCs w:val="24"/>
              </w:rPr>
              <w:t xml:space="preserve"> was linked to the increased risk of CRC (lower </w:t>
            </w:r>
            <w:r w:rsidRPr="000C2E25">
              <w:rPr>
                <w:rFonts w:asciiTheme="majorBidi" w:hAnsiTheme="majorBidi" w:cstheme="majorBidi"/>
                <w:i/>
                <w:sz w:val="24"/>
                <w:szCs w:val="24"/>
              </w:rPr>
              <w:t>LINE1</w:t>
            </w:r>
            <w:r w:rsidRPr="00C9523F">
              <w:rPr>
                <w:rFonts w:asciiTheme="majorBidi" w:hAnsiTheme="majorBidi" w:cstheme="majorBidi"/>
                <w:sz w:val="24"/>
                <w:szCs w:val="24"/>
              </w:rPr>
              <w:t xml:space="preserve"> methylation in neoplastic lesions </w:t>
            </w:r>
            <w:r>
              <w:rPr>
                <w:rFonts w:asciiTheme="majorBidi" w:hAnsiTheme="majorBidi" w:cstheme="majorBidi"/>
                <w:sz w:val="24"/>
                <w:szCs w:val="24"/>
              </w:rPr>
              <w:t>compared with</w:t>
            </w:r>
            <w:r w:rsidRPr="00C9523F">
              <w:rPr>
                <w:rFonts w:asciiTheme="majorBidi" w:hAnsiTheme="majorBidi" w:cstheme="majorBidi"/>
                <w:sz w:val="24"/>
                <w:szCs w:val="24"/>
              </w:rPr>
              <w:t xml:space="preserve"> normal colonic tissues)</w:t>
            </w:r>
            <w:r w:rsidRPr="00C9523F">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{"citationItems":[{"id":"ITEM-1","itemData":{"DOI":"10.1016/j.cca.2018.11.018","ISSN":"18733492","abstract":"Colorectal cancer (CRC) represents a group of molecularly heterogeneous diseases characterized by genetic and epigenetic alterations. Long interspersed nuclear elements (LINEs) are a form of retrotransposable element found in many eukaryotic genomes. These LINEs, when active, can mobilize in the cell and steadily cause genomic rearrangement. Active LINE reorganization is a source of endogenous mutagenesis and polymorphism in the cell that brings about individual genomic variation. In normal somatic cells, these elements are heavily methylated and thus mostly suppressed, in turn, preventing their potential for bringing about genomic instability. When LINEs are inadequately controlled, they can play a role in the pathogenesis of several genetic diseases, such as cancer. In tumor cells, LINE hypomethylation can reactivate the mobilization of these elements and is associated with both an advanced stage and a poor prognosis. In this article, we summarize the current knowledge surrounding LINE methylation, its correlation to CRC and its application as a diagnostic, prognostic and predictive biomarker in colon cancer.","author":[{"dropping-particle":"","family":"Kerachian","given":"Mohammad Amin","non-dropping-particle":"","parse-names":false,"suffix":""},{"dropping-particle":"","family":"Kerachian","given":"Matin","non-dropping-particle":"","parse-names":false,"suffix":""}],"container-title":"Clinica Chimica Acta","id":"ITEM-1","issued":{"date-parts":[["2019"]]},"title":"Long interspersed nucleotide element-1 (LINE-1) methylation in colorectal cancer","type":"article"},"uris":["http://www.mendeley.com/documents/?uuid=9b05e7a0-fcda-41bf-9fab-bdc417832b0e"]}],"mendeley":{"formattedCitation":"(12)","plainTextFormattedCitation":"(12)","previouslyFormattedCitation":"(12)"},"properties":{"noteIndex":0},"schema":"https://github.com/citation-style-language/schema/raw/master/csl-citation.json"}</w:instrText>
            </w:r>
            <w:r w:rsidRPr="00C9523F">
              <w:rPr>
                <w:rFonts w:asciiTheme="majorBidi" w:hAnsiTheme="majorBidi" w:cstheme="majorBidi"/>
                <w:sz w:val="24"/>
                <w:szCs w:val="24"/>
              </w:rPr>
              <w:fldChar w:fldCharType="separate"/>
            </w:r>
            <w:r w:rsidRPr="00BB2A0B">
              <w:rPr>
                <w:rFonts w:asciiTheme="majorBidi" w:hAnsiTheme="majorBidi" w:cstheme="majorBidi"/>
                <w:noProof/>
                <w:sz w:val="24"/>
                <w:szCs w:val="24"/>
              </w:rPr>
              <w:t>(12)</w:t>
            </w:r>
            <w:r w:rsidRPr="00C9523F">
              <w:rPr>
                <w:rFonts w:asciiTheme="majorBidi" w:hAnsiTheme="majorBidi" w:cstheme="majorBidi"/>
                <w:sz w:val="24"/>
                <w:szCs w:val="24"/>
              </w:rPr>
              <w:fldChar w:fldCharType="end"/>
            </w:r>
            <w:r>
              <w:rPr>
                <w:rFonts w:asciiTheme="majorBidi" w:hAnsiTheme="majorBidi" w:cstheme="majorBidi"/>
                <w:sz w:val="24"/>
                <w:szCs w:val="24"/>
              </w:rPr>
              <w:t>.</w:t>
            </w:r>
            <w:r w:rsidRPr="00C9523F">
              <w:rPr>
                <w:rFonts w:asciiTheme="majorBidi" w:hAnsiTheme="majorBidi" w:cstheme="majorBidi"/>
                <w:sz w:val="24"/>
                <w:szCs w:val="24"/>
              </w:rPr>
              <w:t xml:space="preserve"> </w:t>
            </w:r>
          </w:p>
        </w:tc>
      </w:tr>
      <w:tr w:rsidR="005C5797" w:rsidRPr="00C9523F" w:rsidTr="001E3CBE">
        <w:tc>
          <w:tcPr>
            <w:tcW w:w="1555" w:type="dxa"/>
          </w:tcPr>
          <w:p w:rsidR="005C5797" w:rsidRPr="00C9523F" w:rsidRDefault="005C5797" w:rsidP="001E3CBE">
            <w:pPr>
              <w:spacing w:line="480" w:lineRule="auto"/>
              <w:rPr>
                <w:rFonts w:asciiTheme="majorBidi" w:hAnsiTheme="majorBidi" w:cstheme="majorBidi"/>
                <w:b/>
                <w:bCs/>
                <w:i/>
                <w:iCs/>
                <w:sz w:val="24"/>
                <w:szCs w:val="24"/>
              </w:rPr>
            </w:pPr>
            <w:r w:rsidRPr="00C9523F">
              <w:rPr>
                <w:rFonts w:asciiTheme="majorBidi" w:hAnsiTheme="majorBidi" w:cstheme="majorBidi"/>
                <w:b/>
                <w:bCs/>
                <w:i/>
                <w:iCs/>
                <w:sz w:val="24"/>
                <w:szCs w:val="24"/>
              </w:rPr>
              <w:t>IL6</w:t>
            </w:r>
          </w:p>
        </w:tc>
        <w:tc>
          <w:tcPr>
            <w:tcW w:w="3827"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 xml:space="preserve">Encodes interleukin 6, a pro-inflammatory cytokine that influences maturation of B cell and acts as endogenous </w:t>
            </w:r>
            <w:proofErr w:type="spellStart"/>
            <w:r w:rsidRPr="00C9523F">
              <w:rPr>
                <w:rFonts w:asciiTheme="majorBidi" w:hAnsiTheme="majorBidi" w:cstheme="majorBidi"/>
                <w:sz w:val="24"/>
                <w:szCs w:val="24"/>
              </w:rPr>
              <w:t>pyrogen</w:t>
            </w:r>
            <w:proofErr w:type="spellEnd"/>
            <w:r w:rsidRPr="00C9523F">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{"citationItems":[{"id":"ITEM-1","itemData":{"DOI":"10.1101/cshperspect.a016295","ISSN":"19430264","abstract":"Interleukin 6 (IL-6), promptly and transiently produced in response to infections and tissue injuries, contributes to host defense through the stimulation of acute phase responses, he-matopoiesis, and immune reactions. Although its expression is strictly controlled by tran-scriptional and posttranscriptional mechanisms, dysregulated continual synthesis of IL-6 plays a pathological effect on chronic inflammation and autoimmunity. For this reason, tocilizumab, a humanized anti-IL-6 receptor antibody was developed. Various clinical trials have since shown the exceptional efficacy of tocilizumab, which resultedinits approval for the treatment of rheumatoid arthritis and juvenile idiopathic arthritis. Moreover, tocili-zumab is expected to be effective for other intractable immune-mediated diseases. In this context, the mechanism for the continual synthesis of IL-6 needs to be elucidated to facilitate the developmentof more specific therapeutic approaches and analysis of the pathogenesis of specific diseases.","author":[{"dropping-particle":"","family":"Tanaka","given":"Toshio","non-dropping-particle":"","parse-names":false,"suffix":""},{"dropping-particle":"","family":"Narazaki","given":"Masashi","non-dropping-particle":"","parse-names":false,"suffix":""},{"dropping-particle":"","family":"Kishimoto","given":"Tadamitsu","non-dropping-particle":"","parse-names":false,"suffix":""}],"container-title":"Cold Spring Harbor Perspectives in Biology","id":"ITEM-1","issued":{"date-parts":[["2014"]]},"title":"Il-6 in inflammation, Immunity, And disease","type":"article-journal"},"uris":["http://www.mendeley.com/documents/?uuid=f5c872a7-1c89-46c3-9f70-3258e29ed90a"]}],"mendeley":{"formattedCitation":"(13)","plainTextFormattedCitation":"(13)","previouslyFormattedCitation":"(13)"},"properties":{"noteIndex":0},"schema":"https://github.com/citation-style-language/schema/raw/master/csl-citation.json"}</w:instrText>
            </w:r>
            <w:r w:rsidRPr="00C9523F">
              <w:rPr>
                <w:rFonts w:asciiTheme="majorBidi" w:hAnsiTheme="majorBidi" w:cstheme="majorBidi"/>
                <w:sz w:val="24"/>
                <w:szCs w:val="24"/>
              </w:rPr>
              <w:fldChar w:fldCharType="separate"/>
            </w:r>
            <w:r w:rsidRPr="00BB2A0B">
              <w:rPr>
                <w:rFonts w:asciiTheme="majorBidi" w:hAnsiTheme="majorBidi" w:cstheme="majorBidi"/>
                <w:noProof/>
                <w:sz w:val="24"/>
                <w:szCs w:val="24"/>
              </w:rPr>
              <w:t>(13)</w:t>
            </w:r>
            <w:r w:rsidRPr="00C9523F">
              <w:rPr>
                <w:rFonts w:asciiTheme="majorBidi" w:hAnsiTheme="majorBidi" w:cstheme="majorBidi"/>
                <w:sz w:val="24"/>
                <w:szCs w:val="24"/>
              </w:rPr>
              <w:fldChar w:fldCharType="end"/>
            </w:r>
            <w:r>
              <w:rPr>
                <w:rFonts w:asciiTheme="majorBidi" w:hAnsiTheme="majorBidi" w:cstheme="majorBidi"/>
                <w:sz w:val="24"/>
                <w:szCs w:val="24"/>
              </w:rPr>
              <w:t>.</w:t>
            </w:r>
          </w:p>
        </w:tc>
        <w:tc>
          <w:tcPr>
            <w:tcW w:w="3634"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 xml:space="preserve">A key regulator of inflammation, in colon tumour tissue. Increased expression of </w:t>
            </w:r>
            <w:r w:rsidRPr="00C9523F">
              <w:rPr>
                <w:rFonts w:asciiTheme="majorBidi" w:hAnsiTheme="majorBidi" w:cstheme="majorBidi"/>
                <w:i/>
                <w:iCs/>
                <w:sz w:val="24"/>
                <w:szCs w:val="24"/>
              </w:rPr>
              <w:t>IL6</w:t>
            </w:r>
            <w:r w:rsidRPr="00C9523F">
              <w:rPr>
                <w:rFonts w:asciiTheme="majorBidi" w:hAnsiTheme="majorBidi" w:cstheme="majorBidi"/>
                <w:sz w:val="24"/>
                <w:szCs w:val="24"/>
              </w:rPr>
              <w:t xml:space="preserve"> is associated with greater CRC</w:t>
            </w:r>
            <w:r>
              <w:rPr>
                <w:rFonts w:asciiTheme="majorBidi" w:hAnsiTheme="majorBidi" w:cstheme="majorBidi"/>
                <w:sz w:val="24"/>
                <w:szCs w:val="24"/>
              </w:rPr>
              <w:t xml:space="preserve"> incidence</w:t>
            </w:r>
            <w:r>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{"citationItems":[{"id":"ITEM-1","itemData":{"DOI":"10.1038/bjc.2014.540","ISSN":"15321827","abstract":"Background:The pro-inflammatory cytokine interleukin-6 (IL6) promotes colorectal cancer (CRC) development. It is also known to regulate cytochrome P450 (CYP450) enzymes, which are involved in CRC tumour initiation and promotion via activation of chemical carcinogens. Here, IL6 regulation of CYP450 expression was investigated in CRC.Methods:The effect of IL6 on CYP 1A1, 1B1 and 2E1 expression was determined in vitro using CRC cell lines HCT116 and SW480, and CYP450 expression was determined by immunohistochemistry in CRC tissues previously shown to have increased levels of IL6.Results:In mechanistic studies, IL6 treatment significantly induced CYP1B1 and CYP2E1, but not CYP1A1, gene expression in HCT116 and SW480 cells. CYP2E1 expression regulation occurred via a transcriptional mechanism involving STAT3. For CYP1B1 regulation, IL6 downregulated the CYP1B1-targeting microRNA miR27b through a mechanism involving DNA methylation. In clinical samples, the expression of CYP1B1 and CYP2E1, but not CYP1A1, was significantly increased in malignant tissue overexpressing IL6 compared with matched adjacent normal tissue.Conclusions:Colonic inflammation with the presence of IL6 associated with neoplastic tissue can alter metabolic competency of epithelial cells by manipulating CYP2E1 and CYP1B1 expression through transcriptional and epigenetic mechanisms. This can lead to increased activation of dietary carcinogens and DNA damage, thus promoting colorectal carcinogenesis.","author":[{"dropping-particle":"","family":"Patel","given":"S. A.A.","non-dropping-particle":"","parse-names":false,"suffix":""},{"dropping-particle":"","family":"Bhambra","given":"U.","non-dropping-particle":"","parse-names":false,"suffix":""},{"dropping-particle":"","family":"Charalambous","given":"M. P.","non-dropping-particle":"","parse-names":false,"suffix":""},{"dropping-particle":"","family":"David","given":"R. M.","non-dropping-particle":"","parse-names":false,"suffix":""},{"dropping-particle":"","family":"Edwards","given":"R. J.","non-dropping-particle":"","parse-names":false,"suffix":""},{"dropping-particle":"","family":"Lightfoot","given":"T.","non-dropping-particle":"","parse-names":false,"suffix":""},{"dropping-particle":"","family":"Boobis","given":"A. R.","non-dropping-particle":"","parse-names":false,"suffix":""},{"dropping-particle":"","family":"Gooderham","given":"N. J.","non-dropping-particle":"","parse-names":false,"suffix":""}],"container-title":"British Journal of Cancer","id":"ITEM-1","issued":{"date-parts":[["2014"]]},"title":"Interleukin-6 mediated upregulation of CYP1B1 and CYP2E1 in colorectal cancer involves DNA methylation, miR27b and STAT3","type":"article-journal"},"uris":["http://www.mendeley.com/documents/?uuid=8c333f88-9327-4bed-b5c9-a8f90415416a"]}],"mendeley":{"formattedCitation":"(14)","plainTextFormattedCitation":"(14)","previouslyFormattedCitation":"(14)"},"properties":{"noteIndex":0},"schema":"https://github.com/citation-style-language/schema/raw/master/csl-citation.json"}</w:instrText>
            </w:r>
            <w:r>
              <w:rPr>
                <w:rFonts w:asciiTheme="majorBidi" w:hAnsiTheme="majorBidi" w:cstheme="majorBidi"/>
                <w:sz w:val="24"/>
                <w:szCs w:val="24"/>
              </w:rPr>
              <w:fldChar w:fldCharType="separate"/>
            </w:r>
            <w:r w:rsidRPr="00BB2A0B">
              <w:rPr>
                <w:rFonts w:asciiTheme="majorBidi" w:hAnsiTheme="majorBidi" w:cstheme="majorBidi"/>
                <w:noProof/>
                <w:sz w:val="24"/>
                <w:szCs w:val="24"/>
              </w:rPr>
              <w:t>(14)</w:t>
            </w:r>
            <w:r>
              <w:rPr>
                <w:rFonts w:asciiTheme="majorBidi" w:hAnsiTheme="majorBidi" w:cstheme="majorBidi"/>
                <w:sz w:val="24"/>
                <w:szCs w:val="24"/>
              </w:rPr>
              <w:fldChar w:fldCharType="end"/>
            </w:r>
            <w:r w:rsidRPr="00C9523F">
              <w:rPr>
                <w:rFonts w:asciiTheme="majorBidi" w:hAnsiTheme="majorBidi" w:cstheme="majorBidi"/>
                <w:sz w:val="24"/>
                <w:szCs w:val="24"/>
              </w:rPr>
              <w:t xml:space="preserve">. </w:t>
            </w:r>
          </w:p>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Increased IL6 concentrations promote CRC and are associated with worse outcomes.</w:t>
            </w:r>
            <w:r w:rsidRPr="00C9523F">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{"citationItems":[{"id":"ITEM-1","itemData":{"DOI":"10.1038/bjc.2014.540","ISSN":"15321827","abstract":"Background:The pro-inflammatory cytokine interleukin-6 (IL6) promotes colorectal cancer (CRC) development. It is also known to regulate cytochrome P450 (CYP450) enzymes, which are involved in CRC tumour initiation and promotion via activation of chemical carcinogens. Here, IL6 regulation of CYP450 expression was investigated in CRC.Methods:The effect of IL6 on CYP 1A1, 1B1 and 2E1 expression was determined in vitro using CRC cell lines HCT116 and SW480, and CYP450 expression was determined by immunohistochemistry in CRC tissues previously shown to have increased levels of IL6.Results:In mechanistic studies, IL6 treatment significantly induced CYP1B1 and CYP2E1, but not CYP1A1, gene expression in HCT116 and SW480 cells. CYP2E1 expression regulation occurred via a transcriptional mechanism involving STAT3. For CYP1B1 regulation, IL6 downregulated the CYP1B1-targeting microRNA miR27b through a mechanism involving DNA methylation. In clinical samples, the expression of CYP1B1 and CYP2E1, but not CYP1A1, was significantly increased in malignant tissue overexpressing IL6 compared with matched adjacent normal tissue.Conclusions:Colonic inflammation with the presence of IL6 associated with neoplastic tissue can alter metabolic competency of epithelial cells by manipulating CYP2E1 and CYP1B1 expression through transcriptional and epigenetic mechanisms. This can lead to increased activation of dietary carcinogens and DNA damage, thus promoting colorectal carcinogenesis.","author":[{"dropping-particle":"","family":"Patel","given":"S. A.A.","non-dropping-particle":"","parse-names":false,"suffix":""},{"dropping-particle":"","family":"Bhambra","given":"U.","non-dropping-particle":"","parse-names":false,"suffix":""},{"dropping-particle":"","family":"Charalambous","given":"M. P.","non-dropping-particle":"","parse-names":false,"suffix":""},{"dropping-particle":"","family":"David","given":"R. M.","non-dropping-particle":"","parse-names":false,"suffix":""},{"dropping-particle":"","family":"Edwards","given":"R. J.","non-dropping-particle":"","parse-names":false,"suffix":""},{"dropping-particle":"","family":"Lightfoot","given":"T.","non-dropping-particle":"","parse-names":false,"suffix":""},{"dropping-particle":"","family":"Boobis","given":"A. R.","non-dropping-particle":"","parse-names":false,"suffix":""},{"dropping-particle":"","family":"Gooderham","given":"N. J.","non-dropping-particle":"","parse-names":false,"suffix":""}],"container-title":"British Journal of Cancer","id":"ITEM-1","issued":{"date-parts":[["2014"]]},"title":"Interleukin-6 mediated upregulation of CYP1B1 and CYP2E1 in colorectal cancer involves DNA methylation, miR27b and STAT3","type":"article-journal"},"uris":["http://www.mendeley.com/documents/?uuid=8c333f88-9327-4bed-b5c9-a8f90415416a"]}],"mendeley":{"formattedCitation":"(14)","plainTextFormattedCitation":"(14)","previouslyFormattedCitation":"(14)"},"properties":{"noteIndex":0},"schema":"https://github.com/citation-style-language/schema/raw/master/csl-citation.json"}</w:instrText>
            </w:r>
            <w:r w:rsidRPr="00C9523F">
              <w:rPr>
                <w:rFonts w:asciiTheme="majorBidi" w:hAnsiTheme="majorBidi" w:cstheme="majorBidi"/>
                <w:sz w:val="24"/>
                <w:szCs w:val="24"/>
              </w:rPr>
              <w:fldChar w:fldCharType="separate"/>
            </w:r>
            <w:r w:rsidRPr="00BB2A0B">
              <w:rPr>
                <w:rFonts w:asciiTheme="majorBidi" w:hAnsiTheme="majorBidi" w:cstheme="majorBidi"/>
                <w:noProof/>
                <w:sz w:val="24"/>
                <w:szCs w:val="24"/>
              </w:rPr>
              <w:t>(14)</w:t>
            </w:r>
            <w:r w:rsidRPr="00C9523F">
              <w:rPr>
                <w:rFonts w:asciiTheme="majorBidi" w:hAnsiTheme="majorBidi" w:cstheme="majorBidi"/>
                <w:sz w:val="24"/>
                <w:szCs w:val="24"/>
              </w:rPr>
              <w:fldChar w:fldCharType="end"/>
            </w:r>
            <w:r w:rsidRPr="00C9523F">
              <w:rPr>
                <w:rFonts w:asciiTheme="majorBidi" w:hAnsiTheme="majorBidi" w:cstheme="majorBidi"/>
                <w:sz w:val="24"/>
                <w:szCs w:val="24"/>
              </w:rPr>
              <w:t xml:space="preserve"> </w:t>
            </w:r>
          </w:p>
        </w:tc>
      </w:tr>
      <w:tr w:rsidR="005C5797" w:rsidRPr="00C9523F" w:rsidTr="001E3CBE">
        <w:tc>
          <w:tcPr>
            <w:tcW w:w="1555" w:type="dxa"/>
          </w:tcPr>
          <w:p w:rsidR="005C5797" w:rsidRPr="00C9523F" w:rsidRDefault="005C5797" w:rsidP="001E3CBE">
            <w:pPr>
              <w:spacing w:line="480" w:lineRule="auto"/>
              <w:rPr>
                <w:rFonts w:asciiTheme="majorBidi" w:hAnsiTheme="majorBidi" w:cstheme="majorBidi"/>
                <w:b/>
                <w:bCs/>
                <w:i/>
                <w:iCs/>
                <w:sz w:val="24"/>
                <w:szCs w:val="24"/>
              </w:rPr>
            </w:pPr>
            <w:r w:rsidRPr="00C9523F">
              <w:rPr>
                <w:rFonts w:asciiTheme="majorBidi" w:hAnsiTheme="majorBidi" w:cstheme="majorBidi"/>
                <w:b/>
                <w:bCs/>
                <w:i/>
                <w:iCs/>
                <w:sz w:val="24"/>
                <w:szCs w:val="24"/>
              </w:rPr>
              <w:t>LEP</w:t>
            </w:r>
          </w:p>
        </w:tc>
        <w:tc>
          <w:tcPr>
            <w:tcW w:w="3827"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 xml:space="preserve">Encodes the leptin hormone, an </w:t>
            </w:r>
            <w:proofErr w:type="spellStart"/>
            <w:r w:rsidRPr="00C9523F">
              <w:rPr>
                <w:rFonts w:asciiTheme="majorBidi" w:hAnsiTheme="majorBidi" w:cstheme="majorBidi"/>
                <w:sz w:val="24"/>
                <w:szCs w:val="24"/>
              </w:rPr>
              <w:t>adipokine</w:t>
            </w:r>
            <w:proofErr w:type="spellEnd"/>
            <w:r w:rsidRPr="00C9523F">
              <w:rPr>
                <w:rFonts w:asciiTheme="majorBidi" w:hAnsiTheme="majorBidi" w:cstheme="majorBidi"/>
                <w:sz w:val="24"/>
                <w:szCs w:val="24"/>
              </w:rPr>
              <w:t xml:space="preserve"> that is secreted by adipocytes and enterocytes and which is a key regulator of energy balance and satiety. Leptin also stimulates proliferation of the colonic epithelium</w:t>
            </w:r>
            <w:r w:rsidRPr="00C9523F">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{"citationItems":[{"id":"ITEM-1","itemData":{"DOI":"10.7314/APJCP.2016.17.4.2119","ISSN":"15137368","abstract":"Background: There is an established link between obesity related metabolic derangement and colorectal cancer development. Recently, we developed a metabolic-colorectal cancer risk score. In this follow-up study, we studied its association with colorectal neoplasm by measuring two major metabolic syndrome biomarkers, leptin and adiponectin. Objectives: To evaluate the serum levels of leptin and adiponectin in patients with colorectal polyps and colorectal cancer and to determine any correlation with metabolic risk score. Results: In total, 130 individuals were studied: 30 controls without colonic pathology, 18 with colonic adenoma (CAP), and 82 with colorectal adenocarcinoma (CRC, 17 cases of T1-2 and 65 cases of T3-4). The metabolic risk scores in CAP and T1-2 CRC were higher than those in the controls and T3-4 CRC cases. There were no statistically significant differences in leptin levels among CAPs, CRCs, and controls. Both leptin and adiponectin levels reflected differences in body mass index and metabolic risk scores. Cases in the CAP group and early T-stage CRC groups had lower adiponectin levels (14.03 and 13.01 mg/ml, respectively) than the no polyps group (19.5mg/ml, p = 0.03). The average serum adiponectin level in the invasive cancer group (18.5 ng/ml) was comparable with that of the control group. Conclusions: The level of serum adiponectin was positively correlated with the metabolic risk score. Decreased serum adiponectin was significantly associated with the development of colorectal adenoma and early stage colorectal carcinoma.","author":[{"dropping-particle":"","family":"Saetang","given":"Jirakrit","non-dropping-particle":"","parse-names":false,"suffix":""},{"dropping-particle":"","family":"Boonpipattanapong","given":"Teeranut","non-dropping-particle":"","parse-names":false,"suffix":""},{"dropping-particle":"","family":"Palanusont","given":"Anuwat","non-dropping-particle":"","parse-names":false,"suffix":""},{"dropping-particle":"","family":"Maneechay","given":"Wanwisa","non-dropping-particle":"","parse-names":false,"suffix":""},{"dropping-particle":"","family":"Sangkhathat","given":"Surasak","non-dropping-particle":"","parse-names":false,"suffix":""}],"container-title":"Asian Pacific Journal of Cancer Prevention","id":"ITEM-1","issued":{"date-parts":[["2016"]]},"title":"Alteration of leptin and adiponectin in multistep colorectal tumorigenesis","type":"article-journal"},"uris":["http://www.mendeley.com/documents/?uuid=23205ca1-4286-4731-9766-f47fa7bb1f16"]}],"mendeley":{"formattedCitation":"(15)","plainTextFormattedCitation":"(15)","previouslyFormattedCitation":"(15)"},"properties":{"noteIndex":0},"schema":"https://github.com/citation-style-language/schema/raw/master/csl-citation.json"}</w:instrText>
            </w:r>
            <w:r w:rsidRPr="00C9523F">
              <w:rPr>
                <w:rFonts w:asciiTheme="majorBidi" w:hAnsiTheme="majorBidi" w:cstheme="majorBidi"/>
                <w:sz w:val="24"/>
                <w:szCs w:val="24"/>
              </w:rPr>
              <w:fldChar w:fldCharType="separate"/>
            </w:r>
            <w:r w:rsidRPr="00BB2A0B">
              <w:rPr>
                <w:rFonts w:asciiTheme="majorBidi" w:hAnsiTheme="majorBidi" w:cstheme="majorBidi"/>
                <w:noProof/>
                <w:sz w:val="24"/>
                <w:szCs w:val="24"/>
              </w:rPr>
              <w:t>(15)</w:t>
            </w:r>
            <w:r w:rsidRPr="00C9523F">
              <w:rPr>
                <w:rFonts w:asciiTheme="majorBidi" w:hAnsiTheme="majorBidi" w:cstheme="majorBidi"/>
                <w:sz w:val="24"/>
                <w:szCs w:val="24"/>
              </w:rPr>
              <w:fldChar w:fldCharType="end"/>
            </w:r>
            <w:r>
              <w:rPr>
                <w:rFonts w:asciiTheme="majorBidi" w:hAnsiTheme="majorBidi" w:cstheme="majorBidi"/>
                <w:sz w:val="24"/>
                <w:szCs w:val="24"/>
              </w:rPr>
              <w:t>.</w:t>
            </w:r>
            <w:r w:rsidRPr="00C9523F">
              <w:rPr>
                <w:rFonts w:asciiTheme="majorBidi" w:hAnsiTheme="majorBidi" w:cstheme="majorBidi"/>
                <w:sz w:val="24"/>
                <w:szCs w:val="24"/>
              </w:rPr>
              <w:t xml:space="preserve"> </w:t>
            </w:r>
          </w:p>
        </w:tc>
        <w:tc>
          <w:tcPr>
            <w:tcW w:w="3634"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 xml:space="preserve">Leptin increases tumorigenesis and is an important growth factor for CRC. </w:t>
            </w:r>
            <w:r w:rsidRPr="00C9523F">
              <w:rPr>
                <w:rFonts w:asciiTheme="majorBidi" w:hAnsiTheme="majorBidi" w:cstheme="majorBidi"/>
                <w:i/>
                <w:iCs/>
                <w:sz w:val="24"/>
                <w:szCs w:val="24"/>
              </w:rPr>
              <w:t>LEP</w:t>
            </w:r>
            <w:r w:rsidRPr="00C9523F">
              <w:rPr>
                <w:rFonts w:asciiTheme="majorBidi" w:hAnsiTheme="majorBidi" w:cstheme="majorBidi"/>
                <w:sz w:val="24"/>
                <w:szCs w:val="24"/>
              </w:rPr>
              <w:t xml:space="preserve"> is overexpressed in CRC tissues</w:t>
            </w:r>
            <w:r w:rsidRPr="00C9523F">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{"citationItems":[{"id":"ITEM-1","itemData":{"DOI":"10.1136/jcp.2006.041004","ISSN":"00219746","abstract":"Background: Leptin is an adipocyte-derived neurohormone, high levels of which are found in obese individuals. Leptin controls energy expenditure, acting in the brain, and regulates different processes in peripheral organs. Recent studies have suggested that leptin may be involved in cancer development and progression. Aims: To analyse leptin expression in human colorectal cancer as well as in colorectal mucosa and colorectal adenomas. Methods: Leptin expression was assessed by immunohistochemistry in 166 colorectal cancers, 101 samples of colorectal mucosa and 41 adenomas. Leptin concentration in colorectal cancer was correlated with selected clinicopathological features. Results: Immunoreactivity for leptin was observed in 51.2% (85/166) of primary colorectal cancers. In adenomas leptin expression was observed in 14.6% (6/41) of studied cases. In normal mucosa, leptin was present at low levels, except in tumour bordering areas where its concentration appeared to reflect levels in the adjacent cancer tissue. Leptin expression in colorectal cancer significantly correlated with tumour G2 grade (p = 0.002) as well as with histological type (adenocarcinoma) of tumours (p = 0.044). Conclusions: Results indicate that leptin is overexpressed in human colorectal cancer, which suggests that the hormone might contribute to colorectal cancer development and progression.","author":[{"dropping-particle":"","family":"Koda","given":"Mariusz","non-dropping-particle":"","parse-names":false,"suffix":""},{"dropping-particle":"","family":"Sulkowska","given":"Mariola","non-dropping-particle":"","parse-names":false,"suffix":""},{"dropping-particle":"","family":"Kanczuga-Koda","given":"Luiza","non-dropping-particle":"","parse-names":false,"suffix":""},{"dropping-particle":"","family":"Surmacz","given":"Eva","non-dropping-particle":"","parse-names":false,"suffix":""},{"dropping-particle":"","family":"Sulkowski","given":"Stanislaw","non-dropping-particle":"","parse-names":false,"suffix":""}],"container-title":"Journal of Clinical Pathology","id":"ITEM-1","issued":{"date-parts":[["2007"]]},"title":"Overexpression of the obesity hormone leptin in human colorectal cancer","type":"article-journal"},"uris":["http://www.mendeley.com/documents/?uuid=f4a0bc70-693f-47ff-8453-e47579258942"]}],"mendeley":{"formattedCitation":"(16)","plainTextFormattedCitation":"(16)","previouslyFormattedCitation":"(16)"},"properties":{"noteIndex":0},"schema":"https://github.com/citation-style-language/schema/raw/master/csl-citation.json"}</w:instrText>
            </w:r>
            <w:r w:rsidRPr="00C9523F">
              <w:rPr>
                <w:rFonts w:asciiTheme="majorBidi" w:hAnsiTheme="majorBidi" w:cstheme="majorBidi"/>
                <w:sz w:val="24"/>
                <w:szCs w:val="24"/>
              </w:rPr>
              <w:fldChar w:fldCharType="separate"/>
            </w:r>
            <w:r w:rsidRPr="00BB2A0B">
              <w:rPr>
                <w:rFonts w:asciiTheme="majorBidi" w:hAnsiTheme="majorBidi" w:cstheme="majorBidi"/>
                <w:noProof/>
                <w:sz w:val="24"/>
                <w:szCs w:val="24"/>
              </w:rPr>
              <w:t>(16)</w:t>
            </w:r>
            <w:r w:rsidRPr="00C9523F">
              <w:rPr>
                <w:rFonts w:asciiTheme="majorBidi" w:hAnsiTheme="majorBidi" w:cstheme="majorBidi"/>
                <w:sz w:val="24"/>
                <w:szCs w:val="24"/>
              </w:rPr>
              <w:fldChar w:fldCharType="end"/>
            </w:r>
            <w:r>
              <w:rPr>
                <w:rFonts w:asciiTheme="majorBidi" w:hAnsiTheme="majorBidi" w:cstheme="majorBidi"/>
                <w:sz w:val="24"/>
                <w:szCs w:val="24"/>
              </w:rPr>
              <w:t>.</w:t>
            </w:r>
            <w:r w:rsidRPr="00C9523F">
              <w:rPr>
                <w:rFonts w:asciiTheme="majorBidi" w:hAnsiTheme="majorBidi" w:cstheme="majorBidi"/>
                <w:sz w:val="24"/>
                <w:szCs w:val="24"/>
              </w:rPr>
              <w:t xml:space="preserve"> </w:t>
            </w:r>
          </w:p>
        </w:tc>
      </w:tr>
      <w:tr w:rsidR="005C5797" w:rsidRPr="00C9523F" w:rsidTr="001E3CBE">
        <w:tc>
          <w:tcPr>
            <w:tcW w:w="1555" w:type="dxa"/>
          </w:tcPr>
          <w:p w:rsidR="005C5797" w:rsidRPr="00C9523F" w:rsidRDefault="005C5797" w:rsidP="001E3CBE">
            <w:pPr>
              <w:spacing w:line="480" w:lineRule="auto"/>
              <w:rPr>
                <w:rFonts w:asciiTheme="majorBidi" w:hAnsiTheme="majorBidi" w:cstheme="majorBidi"/>
                <w:b/>
                <w:bCs/>
                <w:i/>
                <w:iCs/>
                <w:sz w:val="24"/>
                <w:szCs w:val="24"/>
              </w:rPr>
            </w:pPr>
            <w:r w:rsidRPr="00C9523F">
              <w:rPr>
                <w:rFonts w:asciiTheme="majorBidi" w:hAnsiTheme="majorBidi" w:cstheme="majorBidi"/>
                <w:b/>
                <w:bCs/>
                <w:i/>
                <w:iCs/>
                <w:sz w:val="24"/>
                <w:szCs w:val="24"/>
              </w:rPr>
              <w:lastRenderedPageBreak/>
              <w:t>COX2</w:t>
            </w:r>
          </w:p>
        </w:tc>
        <w:tc>
          <w:tcPr>
            <w:tcW w:w="3827"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 xml:space="preserve">Encodes CycloOXygenase-2, an enzyme that catalyses </w:t>
            </w:r>
            <w:r>
              <w:rPr>
                <w:rFonts w:asciiTheme="majorBidi" w:hAnsiTheme="majorBidi" w:cstheme="majorBidi"/>
                <w:sz w:val="24"/>
                <w:szCs w:val="24"/>
              </w:rPr>
              <w:t xml:space="preserve">the </w:t>
            </w:r>
            <w:r w:rsidRPr="00C9523F">
              <w:rPr>
                <w:rFonts w:asciiTheme="majorBidi" w:hAnsiTheme="majorBidi" w:cstheme="majorBidi"/>
                <w:sz w:val="24"/>
                <w:szCs w:val="24"/>
              </w:rPr>
              <w:t>conversion of arachidonic acid to prostaglandin H2. It is an important precursor of prostacyclin, and is expressed in inflamed tissues</w:t>
            </w:r>
            <w:r>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{"citationItems":[{"id":"ITEM-1","itemData":{"DOI":"10.1186/gb-2004-5-9-241","ISSN":"14656906","PMID":"15345041","abstract":"Cyclooxygenases (COXs) catalyze the rate-limiting step in the production of prostaglandins, bioactive compounds involved in processes such as fever and sensitivity to pain, and are the target of aspirin-like drugs. In mammals, the two COX genes encode a constitutive isoenzyme (COX-1) and an inducible isoenzyme (COX-2).","author":[{"dropping-particle":"","family":"Chandrasekharan","given":"Nv","non-dropping-particle":"","parse-names":false,"suffix":""},{"dropping-particle":"","family":"Simmons","given":"Daniel L","non-dropping-particle":"","parse-names":false,"suffix":""}],"container-title":"Genome Biology","id":"ITEM-1","issued":{"date-parts":[["2004"]]},"title":"Protein Family Review - The Cyclooxygenases","type":"article-journal"},"uris":["http://www.mendeley.com/documents/?uuid=1a800975-2b4f-460b-a7df-bd1ee03df0a9"]}],"mendeley":{"formattedCitation":"(17)","plainTextFormattedCitation":"(17)","previouslyFormattedCitation":"(17)"},"properties":{"noteIndex":0},"schema":"https://github.com/citation-style-language/schema/raw/master/csl-citation.json"}</w:instrText>
            </w:r>
            <w:r>
              <w:rPr>
                <w:rFonts w:asciiTheme="majorBidi" w:hAnsiTheme="majorBidi" w:cstheme="majorBidi"/>
                <w:sz w:val="24"/>
                <w:szCs w:val="24"/>
              </w:rPr>
              <w:fldChar w:fldCharType="separate"/>
            </w:r>
            <w:r w:rsidRPr="00BB2A0B">
              <w:rPr>
                <w:rFonts w:asciiTheme="majorBidi" w:hAnsiTheme="majorBidi" w:cstheme="majorBidi"/>
                <w:noProof/>
                <w:sz w:val="24"/>
                <w:szCs w:val="24"/>
              </w:rPr>
              <w:t>(17)</w:t>
            </w:r>
            <w:r>
              <w:rPr>
                <w:rFonts w:asciiTheme="majorBidi" w:hAnsiTheme="majorBidi" w:cstheme="majorBidi"/>
                <w:sz w:val="24"/>
                <w:szCs w:val="24"/>
              </w:rPr>
              <w:fldChar w:fldCharType="end"/>
            </w:r>
            <w:r w:rsidRPr="00C9523F">
              <w:rPr>
                <w:rFonts w:asciiTheme="majorBidi" w:hAnsiTheme="majorBidi" w:cstheme="majorBidi"/>
                <w:sz w:val="24"/>
                <w:szCs w:val="24"/>
              </w:rPr>
              <w:t xml:space="preserve">. </w:t>
            </w:r>
          </w:p>
        </w:tc>
        <w:tc>
          <w:tcPr>
            <w:tcW w:w="3634"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i/>
                <w:sz w:val="24"/>
                <w:szCs w:val="24"/>
              </w:rPr>
              <w:t>COX2</w:t>
            </w:r>
            <w:r w:rsidRPr="00C9523F">
              <w:rPr>
                <w:rFonts w:asciiTheme="majorBidi" w:hAnsiTheme="majorBidi" w:cstheme="majorBidi"/>
                <w:sz w:val="24"/>
                <w:szCs w:val="24"/>
              </w:rPr>
              <w:t xml:space="preserve"> expression is increased in CRC tissues. Increased COX2 activity promotes tumour growth locally</w:t>
            </w:r>
            <w:r w:rsidRPr="00C9523F">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{"citationItems":[{"id":"ITEM-1","itemData":{"DOI":"10.1201/b16680","ISBN":"9781482253856","ISSN":"14712407","abstract":"Colorectal cancer is common in Western countries with unanimous findings that prostaglandins are important for both carcinogenesis and progression [1-3]. It has been repeatedly observed that Cyclooxygenase-1/-2 inhibition attenuates appearance of epithelial cancer in experimental models and in part also in patients. Both primary and secondary prevention with cyclooxygenase (COX) inhibitors demonstrate and confirm decreased incidence of colorectal carcinoma in both retrospective and randomized patient cohorts [4-7]. Thus, a large number of observations emphasize that induced prostaglandin production, particularly PGE2, is involved in cell signaling through prostanoid receptors, where our own observations suggested subtype EP2 receptor expression in colon cancer tissue to predict reduced survival [2]. An important issue behind the appearance and pro- gression of colorectal cancer seems to be increased production of PGE2 secondary to COX-2 induction in both transformed epithelial cells and host stroma [2,4,8-11]. Mechanisms behind COX-2 gene induction in colorectal cancer disease remain elusive, although a lot of information is available on the regulation of COX-2 gene expression [12,13]. Most such information has, however, been obtained in isolated cell culture experiments with obvious limitations compared to the in vivo situation based on uninterrupted host and tumor cell signaling. Therefore, the aim of the present study was to relate well-recognized external cell-and transcription factor expression to elevated tumor COX-2 expression in colorectal cancer tissue at primary operations aimed at cure.","author":[{"dropping-particle":"","family":"Asting","given":"Annika Gustafsson","non-dropping-particle":"","parse-names":false,"suffix":""},{"dropping-particle":"","family":"Carén","given":"Helena","non-dropping-particle":"","parse-names":false,"suffix":""},{"dropping-particle":"","family":"Andersson","given":"Marianne","non-dropping-particle":"","parse-names":false,"suffix":""},{"dropping-particle":"","family":"Lönnroth","given":"Christina","non-dropping-particle":"","parse-names":false,"suffix":""},{"dropping-particle":"","family":"Lagerstedt","given":"Kristina","non-dropping-particle":"","parse-names":false,"suffix":""},{"dropping-particle":"","family":"Lundholm","given":"Kent","non-dropping-particle":"","parse-names":false,"suffix":""}],"container-title":"Specific Gene Expression and Epigenetics: The Interplay Between the Genome and its Environment","id":"ITEM-1","issued":{"date-parts":[["2014"]]},"title":"COX-2 gene expression in colon cancer tissue related to regulating factors and promoter methylation status","type":"chapter"},"uris":["http://www.mendeley.com/documents/?uuid=ab7d0a03-7025-4d79-952b-9ae0685b5ca6"]}],"mendeley":{"formattedCitation":"(18)","plainTextFormattedCitation":"(18)","previouslyFormattedCitation":"(18)"},"properties":{"noteIndex":0},"schema":"https://github.com/citation-style-language/schema/raw/master/csl-citation.json"}</w:instrText>
            </w:r>
            <w:r w:rsidRPr="00C9523F">
              <w:rPr>
                <w:rFonts w:asciiTheme="majorBidi" w:hAnsiTheme="majorBidi" w:cstheme="majorBidi"/>
                <w:sz w:val="24"/>
                <w:szCs w:val="24"/>
              </w:rPr>
              <w:fldChar w:fldCharType="separate"/>
            </w:r>
            <w:r w:rsidRPr="00BB2A0B">
              <w:rPr>
                <w:rFonts w:asciiTheme="majorBidi" w:hAnsiTheme="majorBidi" w:cstheme="majorBidi"/>
                <w:noProof/>
                <w:sz w:val="24"/>
                <w:szCs w:val="24"/>
              </w:rPr>
              <w:t>(18)</w:t>
            </w:r>
            <w:r w:rsidRPr="00C9523F">
              <w:rPr>
                <w:rFonts w:asciiTheme="majorBidi" w:hAnsiTheme="majorBidi" w:cstheme="majorBidi"/>
                <w:sz w:val="24"/>
                <w:szCs w:val="24"/>
              </w:rPr>
              <w:fldChar w:fldCharType="end"/>
            </w:r>
            <w:r>
              <w:rPr>
                <w:rFonts w:asciiTheme="majorBidi" w:hAnsiTheme="majorBidi" w:cstheme="majorBidi"/>
                <w:sz w:val="24"/>
                <w:szCs w:val="24"/>
              </w:rPr>
              <w:t>.</w:t>
            </w:r>
          </w:p>
        </w:tc>
      </w:tr>
      <w:tr w:rsidR="005C5797" w:rsidRPr="00C9523F" w:rsidTr="001E3CBE">
        <w:tc>
          <w:tcPr>
            <w:tcW w:w="1555" w:type="dxa"/>
          </w:tcPr>
          <w:p w:rsidR="005C5797" w:rsidRPr="00C9523F" w:rsidRDefault="005C5797" w:rsidP="001E3CBE">
            <w:pPr>
              <w:spacing w:line="480" w:lineRule="auto"/>
              <w:rPr>
                <w:rFonts w:asciiTheme="majorBidi" w:hAnsiTheme="majorBidi" w:cstheme="majorBidi"/>
                <w:b/>
                <w:bCs/>
                <w:i/>
                <w:iCs/>
                <w:sz w:val="24"/>
                <w:szCs w:val="24"/>
              </w:rPr>
            </w:pPr>
            <w:r w:rsidRPr="00C9523F">
              <w:rPr>
                <w:rFonts w:asciiTheme="majorBidi" w:hAnsiTheme="majorBidi" w:cstheme="majorBidi"/>
                <w:b/>
                <w:bCs/>
                <w:i/>
                <w:iCs/>
                <w:sz w:val="24"/>
                <w:szCs w:val="24"/>
              </w:rPr>
              <w:t>MAPK7</w:t>
            </w:r>
          </w:p>
        </w:tc>
        <w:tc>
          <w:tcPr>
            <w:tcW w:w="3827"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Encodes Mitogen-Activated Protein Kinase 7 that regulates the expression of genes involved in proliferation, differentiation and apoptosis</w:t>
            </w:r>
            <w:r>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{"citationItems":[{"id":"ITEM-1","itemData":{"DOI":"10.1093/carcin/bgs305","ISSN":"01433334","abstract":"Mitogen-activated protein kinase (MAPK) pathways regulate many cellular functions including cell proliferation, differentiation, migration and apoptosis. We evaluate genetic variation in the c-Jun-N-terminal kinases, p38, and extracellular regulated kinases 1/2 MAPK-signaling pathways and colon and rectal cancer risk using data from population-based case-control studies (colon: n = 1555 cases, 1956 controls; rectal: n = 754 cases, 959 controls). We assess 19 genes (DUSP1, DUSP2, DUSP4, DUSP6, DUSP7, MAP2K1, MAP3K1, MAP3K2, MAP3K3, MAP3K7, MAP3K9, MAP3K10, MAP3K11, MAPK1, MAPK3, MAPK8, MAPK12, MAPK14 and RAF1). MAP2K1 rs8039880 [odds ratio (OR) = 0.57, 95% confidence interval (CI) = 0.38, 0.83; GG versus AA genotype] and MAP3K9 rs11625206 (OR = 1.41, 95% CI = 1.14, 1.76; recessive model) were associated with colon cancer (Padj value &lt; 0.05). DUSP1 rs322351 (OR = 1.43, 95% CI = 1.09, 1.88; TT versus CC) and MAPK8 rs10857561 (OR = 1.48, 95% CI 1.08, 2.03; AA versus GG/GA) were associated with rectal cancer (Padj &lt; 0.05). Aspirin/non-steroidal anti-inflammatory drug, cigarette smoking and body mass index interacted with several genes to alter cancer risk. Genetic variants had unique associations with KRAS, TP53 and CIMP+ tumors. DUSP2 rs1724120 [hazard rate ratio (HRR) = 0.72, 95%CI = 0.54, 0.96; AA versus GG/GA), MAP3K10 rs112956 (HRR = 1.40, 95% CI = 1.10, 1.76; CT/TT versus CC) and MAP3K11 (HRR = 1.76, 95% CI 1.18, 2.62 TT versus GG/GT) influenced survival after diagnosis with colon cancer; MAP2K1 rs8039880 (HRR = 2.53, 95% CI 1.34, 4.79 GG versus AG/GG) and Raf1 rs11923427 (HRR = 0.59 95% CI = 0.40, 0.86; AA versus TT/TA) were associated with rectal cancer survival. These data suggest that genetic variation in the MAPK-signaling pathway influences colorectal cancer risk and survival after diagnosis. Associations may be modified by lifestyle factors that influence inflammation and oxidative stress. © The Author 2012. Published by Oxford University Press. All rights reserved.","author":[{"dropping-particle":"","family":"Slattery","given":"Martha L.","non-dropping-particle":"","parse-names":false,"suffix":""},{"dropping-particle":"","family":"Lundgreen","given":"Abbie","non-dropping-particle":"","parse-names":false,"suffix":""},{"dropping-particle":"","family":"Wolff","given":"Roger K.","non-dropping-particle":"","parse-names":false,"suffix":""}],"container-title":"Carcinogenesis","id":"ITEM-1","issued":{"date-parts":[["2012"]]},"title":"MAP kinase genes and colon and rectal cancer","type":"article-journal"},"uris":["http://www.mendeley.com/documents/?uuid=035e71d7-6370-49ce-90b9-727a0affe0e0"]}],"mendeley":{"formattedCitation":"(19)","plainTextFormattedCitation":"(19)","previouslyFormattedCitation":"(19)"},"properties":{"noteIndex":0},"schema":"https://github.com/citation-style-language/schema/raw/master/csl-citation.json"}</w:instrText>
            </w:r>
            <w:r>
              <w:rPr>
                <w:rFonts w:asciiTheme="majorBidi" w:hAnsiTheme="majorBidi" w:cstheme="majorBidi"/>
                <w:sz w:val="24"/>
                <w:szCs w:val="24"/>
              </w:rPr>
              <w:fldChar w:fldCharType="separate"/>
            </w:r>
            <w:r w:rsidRPr="00BB2A0B">
              <w:rPr>
                <w:rFonts w:asciiTheme="majorBidi" w:hAnsiTheme="majorBidi" w:cstheme="majorBidi"/>
                <w:noProof/>
                <w:sz w:val="24"/>
                <w:szCs w:val="24"/>
              </w:rPr>
              <w:t>(19)</w:t>
            </w:r>
            <w:r>
              <w:rPr>
                <w:rFonts w:asciiTheme="majorBidi" w:hAnsiTheme="majorBidi" w:cstheme="majorBidi"/>
                <w:sz w:val="24"/>
                <w:szCs w:val="24"/>
              </w:rPr>
              <w:fldChar w:fldCharType="end"/>
            </w:r>
            <w:r w:rsidRPr="00C9523F">
              <w:rPr>
                <w:rFonts w:asciiTheme="majorBidi" w:hAnsiTheme="majorBidi" w:cstheme="majorBidi"/>
                <w:sz w:val="24"/>
                <w:szCs w:val="24"/>
              </w:rPr>
              <w:t>.</w:t>
            </w:r>
          </w:p>
        </w:tc>
        <w:tc>
          <w:tcPr>
            <w:tcW w:w="3634" w:type="dxa"/>
          </w:tcPr>
          <w:p w:rsidR="005C5797" w:rsidRPr="00C9523F" w:rsidRDefault="005C5797" w:rsidP="001E3CBE">
            <w:pPr>
              <w:spacing w:line="480" w:lineRule="auto"/>
              <w:rPr>
                <w:rFonts w:asciiTheme="majorBidi" w:hAnsiTheme="majorBidi" w:cstheme="majorBidi"/>
                <w:sz w:val="24"/>
                <w:szCs w:val="24"/>
              </w:rPr>
            </w:pPr>
            <w:r w:rsidRPr="00C9523F">
              <w:rPr>
                <w:rFonts w:asciiTheme="majorBidi" w:hAnsiTheme="majorBidi" w:cstheme="majorBidi"/>
                <w:sz w:val="24"/>
                <w:szCs w:val="24"/>
              </w:rPr>
              <w:t xml:space="preserve">MAPK7 gene promoter </w:t>
            </w:r>
            <w:proofErr w:type="spellStart"/>
            <w:r w:rsidRPr="00C9523F">
              <w:rPr>
                <w:rFonts w:asciiTheme="majorBidi" w:hAnsiTheme="majorBidi" w:cstheme="majorBidi"/>
                <w:sz w:val="24"/>
                <w:szCs w:val="24"/>
              </w:rPr>
              <w:t>hypomethylation</w:t>
            </w:r>
            <w:proofErr w:type="spellEnd"/>
            <w:r w:rsidRPr="00C9523F">
              <w:rPr>
                <w:rFonts w:asciiTheme="majorBidi" w:hAnsiTheme="majorBidi" w:cstheme="majorBidi"/>
                <w:sz w:val="24"/>
                <w:szCs w:val="24"/>
              </w:rPr>
              <w:t xml:space="preserve"> has been observed </w:t>
            </w:r>
            <w:r w:rsidRPr="00DF250F">
              <w:rPr>
                <w:rFonts w:ascii="Times New Roman" w:hAnsi="Times New Roman" w:cs="Times New Roman"/>
                <w:sz w:val="24"/>
                <w:szCs w:val="24"/>
              </w:rPr>
              <w:t xml:space="preserve">in CRC and was associated with </w:t>
            </w:r>
            <w:r w:rsidRPr="00DF250F">
              <w:rPr>
                <w:rFonts w:ascii="Times New Roman" w:hAnsi="Times New Roman" w:cs="Times New Roman"/>
                <w:color w:val="222222"/>
                <w:sz w:val="24"/>
                <w:szCs w:val="24"/>
                <w:shd w:val="clear" w:color="auto" w:fill="FFFFFF"/>
              </w:rPr>
              <w:t>Transforming growth factor beta  (TGFB) signa</w:t>
            </w:r>
            <w:r>
              <w:rPr>
                <w:rFonts w:ascii="Times New Roman" w:hAnsi="Times New Roman" w:cs="Times New Roman"/>
                <w:color w:val="222222"/>
                <w:sz w:val="24"/>
                <w:szCs w:val="24"/>
                <w:shd w:val="clear" w:color="auto" w:fill="FFFFFF"/>
              </w:rPr>
              <w:t>l</w:t>
            </w:r>
            <w:r w:rsidRPr="00DF250F">
              <w:rPr>
                <w:rFonts w:ascii="Times New Roman" w:hAnsi="Times New Roman" w:cs="Times New Roman"/>
                <w:color w:val="222222"/>
                <w:sz w:val="24"/>
                <w:szCs w:val="24"/>
                <w:shd w:val="clear" w:color="auto" w:fill="FFFFFF"/>
              </w:rPr>
              <w:t xml:space="preserve">ling pathway, </w:t>
            </w:r>
            <w:proofErr w:type="spellStart"/>
            <w:r w:rsidRPr="00DF250F">
              <w:rPr>
                <w:rFonts w:ascii="Times New Roman" w:hAnsi="Times New Roman" w:cs="Times New Roman"/>
                <w:color w:val="222222"/>
                <w:sz w:val="24"/>
                <w:szCs w:val="24"/>
                <w:shd w:val="clear" w:color="auto" w:fill="FFFFFF"/>
              </w:rPr>
              <w:t>neurotrophin</w:t>
            </w:r>
            <w:proofErr w:type="spellEnd"/>
            <w:r w:rsidRPr="00DF250F">
              <w:rPr>
                <w:rFonts w:ascii="Times New Roman" w:hAnsi="Times New Roman" w:cs="Times New Roman"/>
                <w:color w:val="222222"/>
                <w:sz w:val="24"/>
                <w:szCs w:val="24"/>
                <w:shd w:val="clear" w:color="auto" w:fill="FFFFFF"/>
              </w:rPr>
              <w:t xml:space="preserve"> signa</w:t>
            </w:r>
            <w:r>
              <w:rPr>
                <w:rFonts w:ascii="Times New Roman" w:hAnsi="Times New Roman" w:cs="Times New Roman"/>
                <w:color w:val="222222"/>
                <w:sz w:val="24"/>
                <w:szCs w:val="24"/>
                <w:shd w:val="clear" w:color="auto" w:fill="FFFFFF"/>
              </w:rPr>
              <w:t>l</w:t>
            </w:r>
            <w:r w:rsidRPr="00DF250F">
              <w:rPr>
                <w:rFonts w:ascii="Times New Roman" w:hAnsi="Times New Roman" w:cs="Times New Roman"/>
                <w:color w:val="222222"/>
                <w:sz w:val="24"/>
                <w:szCs w:val="24"/>
                <w:shd w:val="clear" w:color="auto" w:fill="FFFFFF"/>
              </w:rPr>
              <w:t>ling pathway and chemokine signal</w:t>
            </w:r>
            <w:r>
              <w:rPr>
                <w:rFonts w:ascii="Times New Roman" w:hAnsi="Times New Roman" w:cs="Times New Roman"/>
                <w:color w:val="222222"/>
                <w:sz w:val="24"/>
                <w:szCs w:val="24"/>
                <w:shd w:val="clear" w:color="auto" w:fill="FFFFFF"/>
              </w:rPr>
              <w:t>l</w:t>
            </w:r>
            <w:r w:rsidRPr="00DF250F">
              <w:rPr>
                <w:rFonts w:ascii="Times New Roman" w:hAnsi="Times New Roman" w:cs="Times New Roman"/>
                <w:color w:val="222222"/>
                <w:sz w:val="24"/>
                <w:szCs w:val="24"/>
                <w:shd w:val="clear" w:color="auto" w:fill="FFFFFF"/>
              </w:rPr>
              <w:t>ing pathway</w:t>
            </w:r>
            <w:r w:rsidRPr="00DF250F">
              <w:rPr>
                <w:rFonts w:ascii="Times New Roman" w:hAnsi="Times New Roman" w:cs="Times New Roman"/>
                <w:color w:val="222222"/>
                <w:sz w:val="24"/>
                <w:szCs w:val="24"/>
                <w:shd w:val="clear" w:color="auto" w:fill="FFFFFF"/>
              </w:rPr>
              <w:fldChar w:fldCharType="begin" w:fldLock="1"/>
            </w:r>
            <w:r>
              <w:rPr>
                <w:rFonts w:ascii="Times New Roman" w:hAnsi="Times New Roman" w:cs="Times New Roman"/>
                <w:color w:val="222222"/>
                <w:sz w:val="24"/>
                <w:szCs w:val="24"/>
                <w:shd w:val="clear" w:color="auto" w:fill="FFFFFF"/>
              </w:rPr>
              <w:instrText>ADDIN CSL_CITATION {"citationItems":[{"id":"ITEM-1","itemData":{"DOI":"10.1016/j.mrfmmm.2008.10.001","ISSN":"00275107","abstract":"Variation in genes associated with serum levels of proteins may be useful for examining specific disease pathways. Using data from a large study of colon cancer, we examine genetic variants in insulin, inflammation, estrogen, metabolizing enzymes, and energy homeostasis genes to explore associations with microsatellite instability (MSI), CpG Island methylator phenotype (CIMP), mutations of p53 in exons 5 through 8, and mutations in codons 12 and 13 of Ki-ras. Insulin-related genes were associated with CIMP-positive and MSI tumors, with the strongest associations among aspirin users. The Fok1 vitamin D receptor (VDR) polymorphism was associated with CIMP-positive/Ki-ras-mutated tumors; the Poly A and CDX2 VDR polymorphisms were associated only with Ki-ras-mutated tumors. NAT2 was associated with CIMP-positive/Ki-ras-mutated tumors but not with MSI tumors. The TCF7L2 rs7903146 polymorphism was associated with p53 mutated tumors. Most associations varied by recent aspirin/NSAID use: IL6 rs1800796 and rs1800795 polymorphisms were associated inversely with tumor mutations in the presence of aspirin/NSAIDs; POMC significantly reduced risk of Ki-ras-mutated tumors when aspirin/NSAIDs were not used; the TCF7L2 rs7903146 was associated with reduced risk of Ki-ras-mutated tumors in the presence of aspirin and increased risk in the absence of aspirin. These data, although exploratory, identify specific tumor subsets that may be associated with specific exposures/polymorphism combinations. The important modifying effects of aspirin/NSAIDs on associations with genetic polymorphisms reinforce the underlying role of inflammation in the etiology of colon cancer. © 2008 Elsevier B.V. All rights reserved.","author":[{"dropping-particle":"","family":"Slattery","given":"Martha L.","non-dropping-particle":"","parse-names":false,"suffix":""},{"dropping-particle":"","family":"Wolff","given":"Roger K.","non-dropping-particle":"","parse-names":false,"suffix":""},{"dropping-particle":"","family":"Curtin","given":"Karen","non-dropping-particle":"","parse-names":false,"suffix":""},{"dropping-particle":"","family":"Fitzpatrick","given":"Frank","non-dropping-particle":"","parse-names":false,"suffix":""},{"dropping-particle":"","family":"Herrick","given":"Jennifer","non-dropping-particle":"","parse-names":false,"suffix":""},{"dropping-particle":"","family":"Potter","given":"John D.","non-dropping-particle":"","parse-names":false,"suffix":""},{"dropping-particle":"","family":"Caan","given":"Bette J.","non-dropping-particle":"","parse-names":false,"suffix":""},{"dropping-particle":"","family":"Samowitz","given":"Wade S.","non-dropping-particle":"","parse-names":false,"suffix":""}],"container-title":"Mutation Research - Fundamental and Molecular Mechanisms of Mutagenesis","id":"ITEM-1","issued":{"date-parts":[["2009"]]},"title":"Colon tumor mutations and epigenetic changes associated with genetic polymorphism: Insight into disease pathways","type":"article-journal"},"uris":["http://www.mendeley.com/documents/?uuid=2040174d-09ce-4360-97d7-b48c72ce2d02"]},{"id":"ITEM-2","itemData":{"DOI":"10.2147/OTT.S81621","ISSN":"11786930","abstract":"Objective: To identify genes with aberrant promoter methylation for developing novel diagnostic markers and therapeutic targets against primary colorectal cancer (CRC). Methods: Two paired CRC and adjacent normal tissues were collected from two CRC patients. A Resi: MBD2b protein-sepharose-4B column was used to enrich the methylated DNA fragments. Difference in the average methylation level of each DNA methylation region between the tumor and control samples was determined by log2 fold change (FC) in each patient to screen the differentially methylated DNA regions. Genes with log 2 FC value ≥4 or ≤−4 were identified to be hypermethylated and hypomethylated, respectively. Then, the underlying functions of methylated genes were speculated by Gene Ontology database and pathway enrichment analyses. Furthermore, a protein–protein interaction network was built using Search Tool for the Retrieval of Interacting Genes/Proteins database, and the transcription factor binding sites were screened via the Encyclopedia of DNA Elements (ENCODE) database. Results: Totally, 2,284 and 1,142 genes were predicted to have aberrant promoter hypermethylation or hypomethylation, respectively. MAP3K5, MAP3K8, MAPK14, and MAPK9 with promoter hypermethylation functioned via MAPK signaling pathway, focal adhesion, or Wnt signaling pathway, whereas MAP2K1, MAPK3, MAPK11, and MAPK7 with promoter hypomethylation functioned via TGF-beta signaling pathway, neurotrophin signaling pathway, and chemokine signaling pathway. CREBBP, PIK3R1, MAPK14, APP, ESR1, MAPK3, and HRAS were the seven hubs in the constructed protein–protein interaction network. RPL22, RPL36, RPLP2, RPS7, and RPS9 were commonly regulated by transcription factors, and YY1 and IRF4 were hypermethylated. Conclusion: MAPK14, MAPK3, HRAS, YY1, and IRF4 may be considered as potential biomarkers for early diagnosis and therapy of CRC.","author":[{"dropping-particle":"","family":"Tian","given":"Xiao Qing","non-dropping-particle":"","parse-names":false,"suffix":""},{"dropping-particle":"","family":"Sun","given":"Dan Feng","non-dropping-particle":"","parse-names":false,"suffix":""},{"dropping-particle":"","family":"Zhao","given":"Shu Liang","non-dropping-particle":"","parse-names":false,"suffix":""},{"dropping-particle":"","family":"Xiong","given":"Hua","non-dropping-particle":"","parse-names":false,"suffix":""},{"dropping-particle":"","family":"Fang","given":"Jing Yuan","non-dropping-particle":"","parse-names":false,"suffix":""}],"container-title":"OncoTargets and Therapy","id":"ITEM-2","issued":{"date-parts":[["2015"]]},"title":"Screening of potential diagnostic markers and therapeutic targets against colorectal cancer","type":"article-journal"},"uris":["http://www.mendeley.com/documents/?uuid=2c1bf932-4f2c-4ce0-87e3-3e8bab32e9e3"]}],"mendeley":{"formattedCitation":"(20,21)","plainTextFormattedCitation":"(20,21)","previouslyFormattedCitation":"(20,21)"},"properties":{"noteIndex":0},"schema":"https://github.com/citation-style-language/schema/raw/master/csl-citation.json"}</w:instrText>
            </w:r>
            <w:r w:rsidRPr="00DF250F">
              <w:rPr>
                <w:rFonts w:ascii="Times New Roman" w:hAnsi="Times New Roman" w:cs="Times New Roman"/>
                <w:color w:val="222222"/>
                <w:sz w:val="24"/>
                <w:szCs w:val="24"/>
                <w:shd w:val="clear" w:color="auto" w:fill="FFFFFF"/>
              </w:rPr>
              <w:fldChar w:fldCharType="separate"/>
            </w:r>
            <w:r w:rsidRPr="00BB2A0B">
              <w:rPr>
                <w:rFonts w:ascii="Times New Roman" w:hAnsi="Times New Roman" w:cs="Times New Roman"/>
                <w:noProof/>
                <w:color w:val="222222"/>
                <w:sz w:val="24"/>
                <w:szCs w:val="24"/>
                <w:shd w:val="clear" w:color="auto" w:fill="FFFFFF"/>
              </w:rPr>
              <w:t>(20,21)</w:t>
            </w:r>
            <w:r w:rsidRPr="00DF250F">
              <w:rPr>
                <w:rFonts w:ascii="Times New Roman" w:hAnsi="Times New Roman" w:cs="Times New Roman"/>
                <w:color w:val="222222"/>
                <w:sz w:val="24"/>
                <w:szCs w:val="24"/>
                <w:shd w:val="clear" w:color="auto" w:fill="FFFFFF"/>
              </w:rPr>
              <w:fldChar w:fldCharType="end"/>
            </w:r>
            <w:r w:rsidRPr="00DF250F">
              <w:rPr>
                <w:rFonts w:ascii="Times New Roman" w:hAnsi="Times New Roman" w:cs="Times New Roman"/>
                <w:color w:val="222222"/>
                <w:shd w:val="clear" w:color="auto" w:fill="FFFFFF"/>
              </w:rPr>
              <w:t>.</w:t>
            </w:r>
          </w:p>
        </w:tc>
      </w:tr>
      <w:tr w:rsidR="005C5797" w:rsidRPr="00C9523F" w:rsidTr="001E3CBE">
        <w:tc>
          <w:tcPr>
            <w:tcW w:w="1555" w:type="dxa"/>
          </w:tcPr>
          <w:p w:rsidR="005C5797" w:rsidRPr="00C9523F" w:rsidRDefault="005C5797" w:rsidP="001E3CBE">
            <w:pPr>
              <w:spacing w:line="480" w:lineRule="auto"/>
              <w:rPr>
                <w:rFonts w:asciiTheme="majorBidi" w:hAnsiTheme="majorBidi" w:cstheme="majorBidi"/>
                <w:b/>
                <w:bCs/>
                <w:i/>
                <w:iCs/>
                <w:sz w:val="24"/>
                <w:szCs w:val="24"/>
              </w:rPr>
            </w:pPr>
            <w:r w:rsidRPr="00C9523F">
              <w:rPr>
                <w:rFonts w:asciiTheme="majorBidi" w:hAnsiTheme="majorBidi" w:cstheme="majorBidi"/>
                <w:b/>
                <w:bCs/>
                <w:i/>
                <w:iCs/>
                <w:sz w:val="24"/>
                <w:szCs w:val="24"/>
              </w:rPr>
              <w:t xml:space="preserve">POMC </w:t>
            </w:r>
          </w:p>
        </w:tc>
        <w:tc>
          <w:tcPr>
            <w:tcW w:w="3827" w:type="dxa"/>
          </w:tcPr>
          <w:p w:rsidR="005C5797" w:rsidRPr="00C9523F" w:rsidRDefault="005C5797" w:rsidP="001E3CBE">
            <w:pPr>
              <w:spacing w:line="480" w:lineRule="auto"/>
              <w:rPr>
                <w:rFonts w:asciiTheme="majorBidi" w:hAnsiTheme="majorBidi" w:cstheme="majorBidi"/>
                <w:color w:val="000000"/>
                <w:sz w:val="24"/>
                <w:szCs w:val="24"/>
                <w:shd w:val="clear" w:color="auto" w:fill="FFFFFF"/>
              </w:rPr>
            </w:pPr>
            <w:r w:rsidRPr="00C9523F">
              <w:rPr>
                <w:rFonts w:asciiTheme="majorBidi" w:hAnsiTheme="majorBidi" w:cstheme="majorBidi"/>
                <w:sz w:val="24"/>
                <w:szCs w:val="24"/>
              </w:rPr>
              <w:t xml:space="preserve">Encodes the </w:t>
            </w:r>
            <w:proofErr w:type="spellStart"/>
            <w:r w:rsidRPr="00C9523F">
              <w:rPr>
                <w:rFonts w:asciiTheme="majorBidi" w:hAnsiTheme="majorBidi" w:cstheme="majorBidi"/>
                <w:sz w:val="24"/>
                <w:szCs w:val="24"/>
              </w:rPr>
              <w:t>ProOpioMelanoCortin</w:t>
            </w:r>
            <w:proofErr w:type="spellEnd"/>
            <w:r w:rsidRPr="00C9523F">
              <w:rPr>
                <w:rFonts w:asciiTheme="majorBidi" w:hAnsiTheme="majorBidi" w:cstheme="majorBidi"/>
                <w:sz w:val="24"/>
                <w:szCs w:val="24"/>
              </w:rPr>
              <w:t xml:space="preserve"> protein which is a</w:t>
            </w:r>
            <w:r w:rsidRPr="00C9523F">
              <w:rPr>
                <w:rFonts w:asciiTheme="majorBidi" w:hAnsiTheme="majorBidi" w:cstheme="majorBidi"/>
                <w:color w:val="000000"/>
                <w:sz w:val="24"/>
                <w:szCs w:val="24"/>
                <w:shd w:val="clear" w:color="auto" w:fill="FFFFFF"/>
              </w:rPr>
              <w:t>ssociated with energy homeostasis</w:t>
            </w:r>
            <w:r w:rsidRPr="00C9523F">
              <w:rPr>
                <w:rFonts w:asciiTheme="majorBidi" w:hAnsiTheme="majorBidi" w:cstheme="majorBidi"/>
                <w:color w:val="000000"/>
                <w:sz w:val="24"/>
                <w:szCs w:val="24"/>
                <w:shd w:val="clear" w:color="auto" w:fill="FFFFFF"/>
              </w:rPr>
              <w:fldChar w:fldCharType="begin" w:fldLock="1"/>
            </w:r>
            <w:r>
              <w:rPr>
                <w:rFonts w:asciiTheme="majorBidi" w:hAnsiTheme="majorBidi" w:cstheme="majorBidi"/>
                <w:color w:val="000000"/>
                <w:sz w:val="24"/>
                <w:szCs w:val="24"/>
                <w:shd w:val="clear" w:color="auto" w:fill="FFFFFF"/>
              </w:rPr>
              <w:instrText>ADDIN CSL_CITATION {"citationItems":[{"id":"ITEM-1","itemData":{"DOI":"10.1093/hmg/11.17.1997","ISSN":"0964-6906","abstract":"The functional loss of both alleles of the human pro-opiomelanocortin (POMC) gene leads to a very rare syndrome of hypoadrenalism, red hair and early-onset obesity. In order to examine whether more subtle genetic variants in POMC might contribute to early-onset obesity, the coding region of the gene was sequenced in 262 Caucasian subjects with a history of severe obesity from childhood. Two children were found to be heterozygous for a missense mutation, R236G, which disrupts the dibasic cleavage site between beta melanocyte-stimulating hormone (beta-MSH) and beta-endorphin. Beta-TC3 cells transfected with the mutant POMC cDNA produced a mutant beta-MSH/beta-endorphin fusion protein. This fusion protein bound to the human melanocortin-4 receptor (hMC4R) with an affinity similar to its natural ligands, but had a markedly reduced ability to activate the receptor. This variant co-segregated with early-onset obesity over three generations in one family and was absent in 412 normal weight UK Caucasian controls. Combining the results in UK Caucasians with a new case-control study in French subjects and three previously published reports, mutations disrupting this processing site were present in 0.88% of subjects with early-onset obesity and 0.22% of normal-weight controls. These results suggest that the R236G mutation may confer an inherited susceptibility to obesity through the production of an aberrant fusion protein that has the capacity to interfere with central melanocortin signalling.","author":[{"dropping-particle":"","family":"Challis","given":"B. G.","non-dropping-particle":"","parse-names":false,"suffix":""}],"container-title":"Human Molecular Genetics","id":"ITEM-1","issued":{"date-parts":[["2002"]]},"title":"A missense mutation disrupting a dibasic prohormone processing site in pro-opiomelanocortin (POMC) increases susceptibility to early-onset obesity through a novel molecular mechanism","type":"article-journal"},"uris":["http://www.mendeley.com/documents/?uuid=0bd62901-eb87-479a-a3c9-4c15fb718ead"]}],"mendeley":{"formattedCitation":"(22)","plainTextFormattedCitation":"(22)","previouslyFormattedCitation":"(22)"},"properties":{"noteIndex":0},"schema":"https://github.com/citation-style-language/schema/raw/master/csl-citation.json"}</w:instrText>
            </w:r>
            <w:r w:rsidRPr="00C9523F">
              <w:rPr>
                <w:rFonts w:asciiTheme="majorBidi" w:hAnsiTheme="majorBidi" w:cstheme="majorBidi"/>
                <w:color w:val="000000"/>
                <w:sz w:val="24"/>
                <w:szCs w:val="24"/>
                <w:shd w:val="clear" w:color="auto" w:fill="FFFFFF"/>
              </w:rPr>
              <w:fldChar w:fldCharType="separate"/>
            </w:r>
            <w:r w:rsidRPr="00BB2A0B">
              <w:rPr>
                <w:rFonts w:asciiTheme="majorBidi" w:hAnsiTheme="majorBidi" w:cstheme="majorBidi"/>
                <w:noProof/>
                <w:color w:val="000000"/>
                <w:sz w:val="24"/>
                <w:szCs w:val="24"/>
                <w:shd w:val="clear" w:color="auto" w:fill="FFFFFF"/>
              </w:rPr>
              <w:t>(22)</w:t>
            </w:r>
            <w:r w:rsidRPr="00C9523F">
              <w:rPr>
                <w:rFonts w:asciiTheme="majorBidi" w:hAnsiTheme="majorBidi" w:cstheme="majorBidi"/>
                <w:color w:val="000000"/>
                <w:sz w:val="24"/>
                <w:szCs w:val="24"/>
                <w:shd w:val="clear" w:color="auto" w:fill="FFFFFF"/>
              </w:rPr>
              <w:fldChar w:fldCharType="end"/>
            </w:r>
            <w:r w:rsidRPr="00C9523F">
              <w:rPr>
                <w:rFonts w:asciiTheme="majorBidi" w:hAnsiTheme="majorBidi" w:cstheme="majorBidi"/>
                <w:color w:val="000000"/>
                <w:sz w:val="24"/>
                <w:szCs w:val="24"/>
                <w:shd w:val="clear" w:color="auto" w:fill="FFFFFF"/>
              </w:rPr>
              <w:t>.</w:t>
            </w:r>
          </w:p>
          <w:p w:rsidR="005C5797" w:rsidRPr="00C9523F" w:rsidRDefault="005C5797" w:rsidP="001E3CBE">
            <w:pPr>
              <w:spacing w:line="480" w:lineRule="auto"/>
              <w:rPr>
                <w:rFonts w:asciiTheme="majorBidi" w:hAnsiTheme="majorBidi" w:cstheme="majorBidi"/>
                <w:sz w:val="24"/>
                <w:szCs w:val="24"/>
              </w:rPr>
            </w:pPr>
            <w:r w:rsidRPr="00C9523F">
              <w:rPr>
                <w:color w:val="000000"/>
                <w:shd w:val="clear" w:color="auto" w:fill="FFFFFF"/>
              </w:rPr>
              <w:t xml:space="preserve"> </w:t>
            </w:r>
          </w:p>
        </w:tc>
        <w:tc>
          <w:tcPr>
            <w:tcW w:w="3634" w:type="dxa"/>
          </w:tcPr>
          <w:p w:rsidR="005C5797" w:rsidRPr="00C9523F" w:rsidRDefault="005C5797" w:rsidP="001E3CBE">
            <w:pPr>
              <w:spacing w:line="480" w:lineRule="auto"/>
              <w:rPr>
                <w:rFonts w:asciiTheme="majorBidi" w:hAnsiTheme="majorBidi" w:cstheme="majorBidi"/>
                <w:sz w:val="24"/>
                <w:szCs w:val="24"/>
              </w:rPr>
            </w:pPr>
            <w:r>
              <w:rPr>
                <w:rFonts w:asciiTheme="majorBidi" w:hAnsiTheme="majorBidi" w:cstheme="majorBidi"/>
                <w:sz w:val="24"/>
                <w:szCs w:val="24"/>
              </w:rPr>
              <w:t xml:space="preserve">Increased </w:t>
            </w:r>
            <w:r w:rsidRPr="000C2E25">
              <w:rPr>
                <w:rFonts w:asciiTheme="majorBidi" w:hAnsiTheme="majorBidi" w:cstheme="majorBidi"/>
                <w:i/>
                <w:iCs/>
                <w:sz w:val="24"/>
                <w:szCs w:val="24"/>
              </w:rPr>
              <w:t>POMC</w:t>
            </w:r>
            <w:r w:rsidRPr="00C9523F">
              <w:rPr>
                <w:rFonts w:asciiTheme="majorBidi" w:hAnsiTheme="majorBidi" w:cstheme="majorBidi"/>
                <w:sz w:val="24"/>
                <w:szCs w:val="24"/>
              </w:rPr>
              <w:t xml:space="preserve"> </w:t>
            </w:r>
            <w:r>
              <w:rPr>
                <w:rFonts w:asciiTheme="majorBidi" w:hAnsiTheme="majorBidi" w:cstheme="majorBidi"/>
                <w:sz w:val="24"/>
                <w:szCs w:val="24"/>
              </w:rPr>
              <w:t xml:space="preserve">methylation </w:t>
            </w:r>
            <w:r w:rsidRPr="00C9523F">
              <w:rPr>
                <w:rFonts w:asciiTheme="majorBidi" w:hAnsiTheme="majorBidi" w:cstheme="majorBidi"/>
                <w:sz w:val="24"/>
                <w:szCs w:val="24"/>
              </w:rPr>
              <w:t>significantly reduce</w:t>
            </w:r>
            <w:r>
              <w:rPr>
                <w:rFonts w:asciiTheme="majorBidi" w:hAnsiTheme="majorBidi" w:cstheme="majorBidi"/>
                <w:sz w:val="24"/>
                <w:szCs w:val="24"/>
              </w:rPr>
              <w:t>s the</w:t>
            </w:r>
            <w:r w:rsidRPr="00C9523F">
              <w:rPr>
                <w:rFonts w:asciiTheme="majorBidi" w:hAnsiTheme="majorBidi" w:cstheme="majorBidi"/>
                <w:sz w:val="24"/>
                <w:szCs w:val="24"/>
              </w:rPr>
              <w:t xml:space="preserve"> risk of Ki-</w:t>
            </w:r>
            <w:proofErr w:type="spellStart"/>
            <w:r w:rsidRPr="00C9523F">
              <w:rPr>
                <w:rFonts w:asciiTheme="majorBidi" w:hAnsiTheme="majorBidi" w:cstheme="majorBidi"/>
                <w:sz w:val="24"/>
                <w:szCs w:val="24"/>
              </w:rPr>
              <w:t>ras</w:t>
            </w:r>
            <w:proofErr w:type="spellEnd"/>
            <w:r w:rsidRPr="00C9523F">
              <w:rPr>
                <w:rFonts w:asciiTheme="majorBidi" w:hAnsiTheme="majorBidi" w:cstheme="majorBidi"/>
                <w:sz w:val="24"/>
                <w:szCs w:val="24"/>
              </w:rPr>
              <w:t xml:space="preserve">-mutated tumours due to </w:t>
            </w:r>
            <w:r>
              <w:rPr>
                <w:rFonts w:asciiTheme="majorBidi" w:hAnsiTheme="majorBidi" w:cstheme="majorBidi"/>
                <w:sz w:val="24"/>
                <w:szCs w:val="24"/>
              </w:rPr>
              <w:t xml:space="preserve">its </w:t>
            </w:r>
            <w:r w:rsidRPr="00C9523F">
              <w:rPr>
                <w:rFonts w:asciiTheme="majorBidi" w:hAnsiTheme="majorBidi" w:cstheme="majorBidi"/>
                <w:sz w:val="24"/>
                <w:szCs w:val="24"/>
              </w:rPr>
              <w:t>anti-inflammatory properties</w:t>
            </w:r>
            <w:r w:rsidRPr="00C9523F">
              <w:rPr>
                <w:rFonts w:asciiTheme="majorBidi" w:hAnsiTheme="majorBidi" w:cstheme="majorBidi"/>
                <w:sz w:val="24"/>
                <w:szCs w:val="24"/>
              </w:rPr>
              <w:fldChar w:fldCharType="begin" w:fldLock="1"/>
            </w:r>
            <w:r>
              <w:rPr>
                <w:rFonts w:asciiTheme="majorBidi" w:hAnsiTheme="majorBidi" w:cstheme="majorBidi"/>
                <w:sz w:val="24"/>
                <w:szCs w:val="24"/>
              </w:rPr>
              <w:instrText>ADDIN CSL_CITATION {"citationItems":[{"id":"ITEM-1","itemData":{"DOI":"10.1016/j.mrfmmm.2008.10.001","ISSN":"00275107","abstract":"Variation in genes associated with serum levels of proteins may be useful for examining specific disease pathways. Using data from a large study of colon cancer, we examine genetic variants in insulin, inflammation, estrogen, metabolizing enzymes, and energy homeostasis genes to explore associations with microsatellite instability (MSI), CpG Island methylator phenotype (CIMP), mutations of p53 in exons 5 through 8, and mutations in codons 12 and 13 of Ki-ras. Insulin-related genes were associated with CIMP-positive and MSI tumors, with the strongest associations among aspirin users. The Fok1 vitamin D receptor (VDR) polymorphism was associated with CIMP-positive/Ki-ras-mutated tumors; the Poly A and CDX2 VDR polymorphisms were associated only with Ki-ras-mutated tumors. NAT2 was associated with CIMP-positive/Ki-ras-mutated tumors but not with MSI tumors. The TCF7L2 rs7903146 polymorphism was associated with p53 mutated tumors. Most associations varied by recent aspirin/NSAID use: IL6 rs1800796 and rs1800795 polymorphisms were associated inversely with tumor mutations in the presence of aspirin/NSAIDs; POMC significantly reduced risk of Ki-ras-mutated tumors when aspirin/NSAIDs were not used; the TCF7L2 rs7903146 was associated with reduced risk of Ki-ras-mutated tumors in the presence of aspirin and increased risk in the absence of aspirin. These data, although exploratory, identify specific tumor subsets that may be associated with specific exposures/polymorphism combinations. The important modifying effects of aspirin/NSAIDs on associations with genetic polymorphisms reinforce the underlying role of inflammation in the etiology of colon cancer. © 2008 Elsevier B.V. All rights reserved.","author":[{"dropping-particle":"","family":"Slattery","given":"Martha L.","non-dropping-particle":"","parse-names":false,"suffix":""},{"dropping-particle":"","family":"Wolff","given":"Roger K.","non-dropping-particle":"","parse-names":false,"suffix":""},{"dropping-particle":"","family":"Curtin","given":"Karen","non-dropping-particle":"","parse-names":false,"suffix":""},{"dropping-particle":"","family":"Fitzpatrick","given":"Frank","non-dropping-particle":"","parse-names":false,"suffix":""},{"dropping-particle":"","family":"Herrick","given":"Jennifer","non-dropping-particle":"","parse-names":false,"suffix":""},{"dropping-particle":"","family":"Potter","given":"John D.","non-dropping-particle":"","parse-names":false,"suffix":""},{"dropping-particle":"","family":"Caan","given":"Bette J.","non-dropping-particle":"","parse-names":false,"suffix":""},{"dropping-particle":"","family":"Samowitz","given":"Wade S.","non-dropping-particle":"","parse-names":false,"suffix":""}],"container-title":"Mutation Research - Fundamental and Molecular Mechanisms of Mutagenesis","id":"ITEM-1","issued":{"date-parts":[["2009"]]},"title":"Colon tumor mutations and epigenetic changes associated with genetic polymorphism: Insight into disease pathways","type":"article-journal"},"uris":["http://www.mendeley.com/documents/?uuid=2040174d-09ce-4360-97d7-b48c72ce2d02"]}],"mendeley":{"formattedCitation":"(20)","plainTextFormattedCitation":"(20)","previouslyFormattedCitation":"(20)"},"properties":{"noteIndex":0},"schema":"https://github.com/citation-style-language/schema/raw/master/csl-citation.json"}</w:instrText>
            </w:r>
            <w:r w:rsidRPr="00C9523F">
              <w:rPr>
                <w:rFonts w:asciiTheme="majorBidi" w:hAnsiTheme="majorBidi" w:cstheme="majorBidi"/>
                <w:sz w:val="24"/>
                <w:szCs w:val="24"/>
              </w:rPr>
              <w:fldChar w:fldCharType="separate"/>
            </w:r>
            <w:r w:rsidRPr="00BB2A0B">
              <w:rPr>
                <w:rFonts w:asciiTheme="majorBidi" w:hAnsiTheme="majorBidi" w:cstheme="majorBidi"/>
                <w:noProof/>
                <w:sz w:val="24"/>
                <w:szCs w:val="24"/>
              </w:rPr>
              <w:t>(20)</w:t>
            </w:r>
            <w:r w:rsidRPr="00C9523F">
              <w:rPr>
                <w:rFonts w:asciiTheme="majorBidi" w:hAnsiTheme="majorBidi" w:cstheme="majorBidi"/>
                <w:sz w:val="24"/>
                <w:szCs w:val="24"/>
              </w:rPr>
              <w:fldChar w:fldCharType="end"/>
            </w:r>
            <w:r w:rsidRPr="00C9523F">
              <w:rPr>
                <w:rFonts w:asciiTheme="majorBidi" w:hAnsiTheme="majorBidi" w:cstheme="majorBidi"/>
                <w:sz w:val="24"/>
                <w:szCs w:val="24"/>
              </w:rPr>
              <w:t xml:space="preserve">. </w:t>
            </w:r>
          </w:p>
        </w:tc>
      </w:tr>
    </w:tbl>
    <w:p w:rsidR="000F6B0D" w:rsidRDefault="000F6B0D"/>
    <w:p w:rsidR="005C5797" w:rsidRDefault="005C5797"/>
    <w:p w:rsidR="005C5797" w:rsidRDefault="005C5797"/>
    <w:p w:rsidR="004E5DBB" w:rsidRDefault="004E5DBB"/>
    <w:p w:rsidR="004E5DBB" w:rsidRDefault="004E5DBB"/>
    <w:p w:rsidR="001E3CBE" w:rsidRPr="001E3CBE" w:rsidRDefault="001E3CBE" w:rsidP="001E3CBE">
      <w:pPr>
        <w:spacing w:after="160" w:line="259" w:lineRule="auto"/>
        <w:rPr>
          <w:rFonts w:asciiTheme="minorBidi" w:hAnsiTheme="minorBidi"/>
          <w:sz w:val="24"/>
          <w:szCs w:val="24"/>
        </w:rPr>
      </w:pPr>
      <w:r w:rsidRPr="001E3CBE">
        <w:rPr>
          <w:rFonts w:asciiTheme="minorBidi" w:hAnsiTheme="minorBidi"/>
          <w:b/>
          <w:bCs/>
          <w:sz w:val="24"/>
          <w:szCs w:val="24"/>
        </w:rPr>
        <w:lastRenderedPageBreak/>
        <w:t>Supplementary Table</w:t>
      </w:r>
      <w:r>
        <w:rPr>
          <w:rFonts w:asciiTheme="minorBidi" w:hAnsiTheme="minorBidi"/>
          <w:b/>
          <w:bCs/>
          <w:sz w:val="24"/>
          <w:szCs w:val="24"/>
        </w:rPr>
        <w:t xml:space="preserve"> 3</w:t>
      </w:r>
      <w:r w:rsidRPr="001E3CBE">
        <w:rPr>
          <w:rFonts w:asciiTheme="minorBidi" w:hAnsiTheme="minorBidi"/>
          <w:sz w:val="24"/>
          <w:szCs w:val="24"/>
        </w:rPr>
        <w:t xml:space="preserve">: Methylation of selected genes in rectal mucosal biopsies from Obese individuals (Pre and Post Surgery) and Non-Obese Controls. </w:t>
      </w:r>
    </w:p>
    <w:tbl>
      <w:tblPr>
        <w:tblStyle w:val="TableGrid1"/>
        <w:tblpPr w:leftFromText="180" w:rightFromText="180" w:vertAnchor="page" w:horzAnchor="margin" w:tblpXSpec="center" w:tblpY="2438"/>
        <w:tblW w:w="10453" w:type="dxa"/>
        <w:tblLook w:val="04A0" w:firstRow="1" w:lastRow="0" w:firstColumn="1" w:lastColumn="0" w:noHBand="0" w:noVBand="1"/>
      </w:tblPr>
      <w:tblGrid>
        <w:gridCol w:w="1637"/>
        <w:gridCol w:w="1012"/>
        <w:gridCol w:w="1003"/>
        <w:gridCol w:w="870"/>
        <w:gridCol w:w="981"/>
        <w:gridCol w:w="1003"/>
        <w:gridCol w:w="910"/>
        <w:gridCol w:w="1084"/>
        <w:gridCol w:w="1003"/>
        <w:gridCol w:w="950"/>
      </w:tblGrid>
      <w:tr w:rsidR="001E3CBE" w:rsidRPr="001E3CBE" w:rsidTr="001E3CBE">
        <w:trPr>
          <w:trHeight w:val="290"/>
        </w:trPr>
        <w:tc>
          <w:tcPr>
            <w:tcW w:w="1637" w:type="dxa"/>
            <w:vMerge w:val="restart"/>
            <w:noWrap/>
            <w:vAlign w:val="center"/>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Rectal Samples</w:t>
            </w:r>
          </w:p>
        </w:tc>
        <w:tc>
          <w:tcPr>
            <w:tcW w:w="2885" w:type="dxa"/>
            <w:gridSpan w:val="3"/>
            <w:noWrap/>
          </w:tcPr>
          <w:p w:rsidR="001E3CBE" w:rsidRPr="001E3CBE" w:rsidRDefault="001E3CBE" w:rsidP="001E3CBE">
            <w:pPr>
              <w:spacing w:after="0" w:line="360" w:lineRule="auto"/>
              <w:jc w:val="center"/>
              <w:rPr>
                <w:rFonts w:asciiTheme="majorBidi" w:hAnsiTheme="majorBidi" w:cstheme="majorBidi"/>
                <w:b/>
                <w:bCs/>
                <w:sz w:val="24"/>
                <w:szCs w:val="24"/>
              </w:rPr>
            </w:pPr>
            <w:r w:rsidRPr="001E3CBE">
              <w:rPr>
                <w:rFonts w:asciiTheme="majorBidi" w:hAnsiTheme="majorBidi" w:cstheme="majorBidi"/>
                <w:b/>
                <w:bCs/>
                <w:sz w:val="24"/>
                <w:szCs w:val="24"/>
              </w:rPr>
              <w:t>Pre-Surgery</w:t>
            </w:r>
          </w:p>
        </w:tc>
        <w:tc>
          <w:tcPr>
            <w:tcW w:w="2894" w:type="dxa"/>
            <w:gridSpan w:val="3"/>
            <w:noWrap/>
          </w:tcPr>
          <w:p w:rsidR="001E3CBE" w:rsidRPr="001E3CBE" w:rsidRDefault="001E3CBE" w:rsidP="001E3CBE">
            <w:pPr>
              <w:spacing w:after="0" w:line="360" w:lineRule="auto"/>
              <w:jc w:val="center"/>
              <w:rPr>
                <w:rFonts w:asciiTheme="majorBidi" w:hAnsiTheme="majorBidi" w:cstheme="majorBidi"/>
                <w:b/>
                <w:bCs/>
                <w:sz w:val="24"/>
                <w:szCs w:val="24"/>
              </w:rPr>
            </w:pPr>
            <w:r w:rsidRPr="001E3CBE">
              <w:rPr>
                <w:rFonts w:asciiTheme="majorBidi" w:hAnsiTheme="majorBidi" w:cstheme="majorBidi"/>
                <w:b/>
                <w:bCs/>
                <w:sz w:val="24"/>
                <w:szCs w:val="24"/>
              </w:rPr>
              <w:t>Post-Surgery</w:t>
            </w:r>
          </w:p>
        </w:tc>
        <w:tc>
          <w:tcPr>
            <w:tcW w:w="3037" w:type="dxa"/>
            <w:gridSpan w:val="3"/>
            <w:noWrap/>
          </w:tcPr>
          <w:p w:rsidR="001E3CBE" w:rsidRPr="001E3CBE" w:rsidRDefault="001E3CBE" w:rsidP="001E3CBE">
            <w:pPr>
              <w:spacing w:after="0" w:line="360" w:lineRule="auto"/>
              <w:jc w:val="center"/>
              <w:rPr>
                <w:rFonts w:asciiTheme="majorBidi" w:hAnsiTheme="majorBidi" w:cstheme="majorBidi"/>
                <w:b/>
                <w:bCs/>
                <w:sz w:val="24"/>
                <w:szCs w:val="24"/>
              </w:rPr>
            </w:pPr>
            <w:r w:rsidRPr="001E3CBE">
              <w:rPr>
                <w:rFonts w:asciiTheme="majorBidi" w:hAnsiTheme="majorBidi" w:cstheme="majorBidi"/>
                <w:b/>
                <w:bCs/>
                <w:sz w:val="24"/>
                <w:szCs w:val="24"/>
              </w:rPr>
              <w:t>Non-Obese</w:t>
            </w:r>
          </w:p>
        </w:tc>
      </w:tr>
      <w:tr w:rsidR="001E3CBE" w:rsidRPr="001E3CBE" w:rsidTr="001E3CBE">
        <w:trPr>
          <w:trHeight w:val="290"/>
        </w:trPr>
        <w:tc>
          <w:tcPr>
            <w:tcW w:w="1637" w:type="dxa"/>
            <w:vMerge/>
            <w:noWrap/>
            <w:hideMark/>
          </w:tcPr>
          <w:p w:rsidR="001E3CBE" w:rsidRPr="001E3CBE" w:rsidRDefault="001E3CBE" w:rsidP="001E3CBE">
            <w:pPr>
              <w:spacing w:after="0" w:line="240" w:lineRule="auto"/>
              <w:rPr>
                <w:rFonts w:asciiTheme="majorBidi" w:hAnsiTheme="majorBidi" w:cstheme="majorBidi"/>
                <w:b/>
                <w:bCs/>
                <w:sz w:val="24"/>
                <w:szCs w:val="24"/>
              </w:rPr>
            </w:pPr>
          </w:p>
        </w:tc>
        <w:tc>
          <w:tcPr>
            <w:tcW w:w="1012"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SWT</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p-value</w:t>
            </w:r>
          </w:p>
        </w:tc>
        <w:tc>
          <w:tcPr>
            <w:tcW w:w="1003"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Mean/</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Median</w:t>
            </w:r>
          </w:p>
        </w:tc>
        <w:tc>
          <w:tcPr>
            <w:tcW w:w="870"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SEM/</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Range</w:t>
            </w:r>
          </w:p>
        </w:tc>
        <w:tc>
          <w:tcPr>
            <w:tcW w:w="981"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SWT</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p-value</w:t>
            </w:r>
          </w:p>
        </w:tc>
        <w:tc>
          <w:tcPr>
            <w:tcW w:w="1003"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Mean/</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Median</w:t>
            </w:r>
          </w:p>
        </w:tc>
        <w:tc>
          <w:tcPr>
            <w:tcW w:w="910"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SEM/</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Range</w:t>
            </w:r>
          </w:p>
        </w:tc>
        <w:tc>
          <w:tcPr>
            <w:tcW w:w="1084"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SWT</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p-value</w:t>
            </w:r>
          </w:p>
        </w:tc>
        <w:tc>
          <w:tcPr>
            <w:tcW w:w="1003"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Mean/</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Median</w:t>
            </w:r>
          </w:p>
        </w:tc>
        <w:tc>
          <w:tcPr>
            <w:tcW w:w="950" w:type="dxa"/>
            <w:noWrap/>
            <w:hideMark/>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SEM/</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Range</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IL6</w:t>
            </w:r>
          </w:p>
        </w:tc>
        <w:tc>
          <w:tcPr>
            <w:tcW w:w="2885" w:type="dxa"/>
            <w:gridSpan w:val="3"/>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n=28</w:t>
            </w:r>
          </w:p>
        </w:tc>
        <w:tc>
          <w:tcPr>
            <w:tcW w:w="2894" w:type="dxa"/>
            <w:gridSpan w:val="3"/>
            <w:noWrap/>
            <w:hideMark/>
          </w:tcPr>
          <w:p w:rsidR="001E3CBE" w:rsidRPr="001E3CBE" w:rsidRDefault="001E3CBE" w:rsidP="001E3CBE">
            <w:pPr>
              <w:spacing w:after="0"/>
              <w:jc w:val="center"/>
              <w:rPr>
                <w:rFonts w:asciiTheme="majorBidi" w:hAnsiTheme="majorBidi" w:cstheme="majorBidi"/>
                <w:b/>
                <w:bCs/>
                <w:sz w:val="24"/>
                <w:szCs w:val="24"/>
              </w:rPr>
            </w:pPr>
          </w:p>
        </w:tc>
        <w:tc>
          <w:tcPr>
            <w:tcW w:w="1084" w:type="dxa"/>
            <w:noWrap/>
            <w:hideMark/>
          </w:tcPr>
          <w:p w:rsidR="001E3CBE" w:rsidRPr="001E3CBE" w:rsidRDefault="001E3CBE" w:rsidP="001E3CBE">
            <w:pPr>
              <w:spacing w:after="0"/>
              <w:jc w:val="center"/>
              <w:rPr>
                <w:rFonts w:asciiTheme="majorBidi" w:hAnsiTheme="majorBidi" w:cstheme="majorBidi"/>
                <w:b/>
                <w:bCs/>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b/>
                <w:bCs/>
                <w:sz w:val="24"/>
                <w:szCs w:val="24"/>
              </w:rPr>
            </w:pPr>
          </w:p>
        </w:tc>
        <w:tc>
          <w:tcPr>
            <w:tcW w:w="950" w:type="dxa"/>
            <w:noWrap/>
            <w:hideMark/>
          </w:tcPr>
          <w:p w:rsidR="001E3CBE" w:rsidRPr="001E3CBE" w:rsidRDefault="001E3CBE" w:rsidP="001E3CBE">
            <w:pPr>
              <w:spacing w:after="0"/>
              <w:jc w:val="center"/>
              <w:rPr>
                <w:rFonts w:asciiTheme="majorBidi" w:hAnsiTheme="majorBidi" w:cstheme="majorBidi"/>
                <w:b/>
                <w:bCs/>
                <w:sz w:val="24"/>
                <w:szCs w:val="24"/>
              </w:rPr>
            </w:pP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0.08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50.9</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1.3</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0.14</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50.8</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w:t>
            </w:r>
          </w:p>
        </w:tc>
        <w:tc>
          <w:tcPr>
            <w:tcW w:w="1084" w:type="dxa"/>
            <w:noWrap/>
            <w:hideMark/>
          </w:tcPr>
          <w:p w:rsidR="001E3CBE" w:rsidRPr="001E3CBE" w:rsidRDefault="001E3CBE" w:rsidP="001E3CBE">
            <w:pPr>
              <w:spacing w:after="0"/>
              <w:jc w:val="center"/>
              <w:rPr>
                <w:rFonts w:asciiTheme="majorBidi" w:hAnsiTheme="majorBidi" w:cstheme="majorBidi"/>
                <w:b/>
                <w:bCs/>
                <w:sz w:val="24"/>
                <w:szCs w:val="24"/>
              </w:rPr>
            </w:pPr>
            <w:r w:rsidRPr="001E3CBE">
              <w:rPr>
                <w:rFonts w:asciiTheme="majorBidi" w:hAnsiTheme="majorBidi" w:cstheme="majorBidi"/>
                <w:b/>
                <w:bCs/>
                <w:sz w:val="24"/>
                <w:szCs w:val="24"/>
              </w:rPr>
              <w:t>0.04</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53.6</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35.1</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0.03</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53.5</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39.7</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52.7</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w:t>
            </w:r>
          </w:p>
        </w:tc>
        <w:tc>
          <w:tcPr>
            <w:tcW w:w="1084" w:type="dxa"/>
            <w:noWrap/>
            <w:hideMark/>
          </w:tcPr>
          <w:p w:rsidR="001E3CBE" w:rsidRPr="001E3CBE" w:rsidRDefault="001E3CBE" w:rsidP="001E3CBE">
            <w:pPr>
              <w:spacing w:after="0"/>
              <w:jc w:val="center"/>
              <w:rPr>
                <w:rFonts w:asciiTheme="majorBidi" w:hAnsiTheme="majorBidi" w:cstheme="majorBidi"/>
                <w:b/>
                <w:bCs/>
                <w:sz w:val="24"/>
                <w:szCs w:val="24"/>
              </w:rPr>
            </w:pPr>
            <w:r w:rsidRPr="001E3CBE">
              <w:rPr>
                <w:rFonts w:asciiTheme="majorBidi" w:hAnsiTheme="majorBidi" w:cstheme="majorBidi"/>
                <w:b/>
                <w:bCs/>
                <w:sz w:val="24"/>
                <w:szCs w:val="24"/>
              </w:rPr>
              <w:t>0.05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56.5</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35.8</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0.06</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51.8</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1.5</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0.18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51.7</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w:t>
            </w:r>
          </w:p>
        </w:tc>
        <w:tc>
          <w:tcPr>
            <w:tcW w:w="1084" w:type="dxa"/>
            <w:noWrap/>
            <w:hideMark/>
          </w:tcPr>
          <w:p w:rsidR="001E3CBE" w:rsidRPr="001E3CBE" w:rsidRDefault="001E3CBE" w:rsidP="001E3CBE">
            <w:pPr>
              <w:spacing w:after="0"/>
              <w:jc w:val="center"/>
              <w:rPr>
                <w:rFonts w:asciiTheme="majorBidi" w:hAnsiTheme="majorBidi" w:cstheme="majorBidi"/>
                <w:b/>
                <w:bCs/>
                <w:sz w:val="24"/>
                <w:szCs w:val="24"/>
              </w:rPr>
            </w:pPr>
            <w:r w:rsidRPr="001E3CBE">
              <w:rPr>
                <w:rFonts w:asciiTheme="majorBidi" w:hAnsiTheme="majorBidi" w:cstheme="majorBidi"/>
                <w:b/>
                <w:bCs/>
                <w:sz w:val="24"/>
                <w:szCs w:val="24"/>
              </w:rPr>
              <w:t>0.05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54.9</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35.4</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LEP</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0.24</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64.6</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67.5</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1.3</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70.3</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2.3</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0.51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26.8</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0.08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29.4</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30.0</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1.9</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0.63</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39.9</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0.34</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43.6</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46.1</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2.8</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0.53</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56.4</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0.58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59.9</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0.84</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62.7</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2.7</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0.50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46.9</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0.51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50.1</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52.3</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2.3</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LINE1</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23.0</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23.0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12.0</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0.87</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80.0</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72.7</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18.4</w:t>
            </w:r>
          </w:p>
        </w:tc>
        <w:tc>
          <w:tcPr>
            <w:tcW w:w="1084"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72.3</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15.8</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0.15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76.2</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69.0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15.0</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0.35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71.4</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1.5</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0.99</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78.4</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71.4</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13.6</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0.14</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73.1</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87.8</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75.3</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21.7</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77.9</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2.0</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CpG5</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0.77</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66.4</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0.3</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56.3</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16.5</w:t>
            </w:r>
          </w:p>
        </w:tc>
        <w:tc>
          <w:tcPr>
            <w:tcW w:w="1084"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57.2</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30.1</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77.7</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68.4</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14.1</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0.06</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71.9</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1.6</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POMC</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28.0</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28.0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12.0</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0.32</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12.4</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0.26</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11.3</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10.5</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6.9</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10.0</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9.0</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0.06</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5.6</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5.7</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0.08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3.8</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0.3</w:t>
            </w:r>
          </w:p>
        </w:tc>
        <w:tc>
          <w:tcPr>
            <w:tcW w:w="1084"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3.4</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6.5</w:t>
            </w:r>
          </w:p>
        </w:tc>
      </w:tr>
      <w:tr w:rsidR="001E3CBE" w:rsidRPr="001E3CBE" w:rsidTr="001E3CBE">
        <w:trPr>
          <w:trHeight w:val="30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8.3</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0.3</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0.3</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6.3</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w:t>
            </w:r>
          </w:p>
        </w:tc>
      </w:tr>
      <w:tr w:rsidR="001E3CBE" w:rsidRPr="001E3CBE" w:rsidTr="001E3CBE">
        <w:trPr>
          <w:trHeight w:val="31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MAPK7</w:t>
            </w:r>
          </w:p>
        </w:tc>
        <w:tc>
          <w:tcPr>
            <w:tcW w:w="2885" w:type="dxa"/>
            <w:gridSpan w:val="3"/>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n=25</w:t>
            </w:r>
          </w:p>
        </w:tc>
        <w:tc>
          <w:tcPr>
            <w:tcW w:w="2894" w:type="dxa"/>
            <w:gridSpan w:val="3"/>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n=25</w:t>
            </w:r>
          </w:p>
        </w:tc>
        <w:tc>
          <w:tcPr>
            <w:tcW w:w="3037" w:type="dxa"/>
            <w:gridSpan w:val="3"/>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n=10</w:t>
            </w:r>
          </w:p>
        </w:tc>
      </w:tr>
      <w:tr w:rsidR="001E3CBE" w:rsidRPr="001E3CBE" w:rsidTr="001E3CBE">
        <w:trPr>
          <w:trHeight w:val="30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12.8</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26.3</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0.62</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12.8</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11.2</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1.5</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0.02</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21.9</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31.3</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0.58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21.9</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0.29</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17.8</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1.9</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15.9</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29.0</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0.72</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0.7</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0.73</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12.6</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10.6</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23.3</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0.65</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0.7</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0.86</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8.7</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1.3</w:t>
            </w:r>
          </w:p>
        </w:tc>
      </w:tr>
      <w:tr w:rsidR="001E3CBE" w:rsidRPr="001E3CBE" w:rsidTr="001E3CBE">
        <w:trPr>
          <w:trHeight w:val="30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14.8</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27.4</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0.87</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14.2</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0.21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12.6</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w:t>
            </w:r>
          </w:p>
        </w:tc>
      </w:tr>
      <w:tr w:rsidR="001E3CBE" w:rsidRPr="001E3CBE" w:rsidTr="001E3CBE">
        <w:trPr>
          <w:trHeight w:val="31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COX2</w:t>
            </w:r>
          </w:p>
        </w:tc>
        <w:tc>
          <w:tcPr>
            <w:tcW w:w="2885" w:type="dxa"/>
            <w:gridSpan w:val="3"/>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n=26</w:t>
            </w:r>
          </w:p>
        </w:tc>
        <w:tc>
          <w:tcPr>
            <w:tcW w:w="2894" w:type="dxa"/>
            <w:gridSpan w:val="3"/>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n=26</w:t>
            </w:r>
          </w:p>
        </w:tc>
        <w:tc>
          <w:tcPr>
            <w:tcW w:w="3037" w:type="dxa"/>
            <w:gridSpan w:val="3"/>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n=9</w:t>
            </w:r>
          </w:p>
        </w:tc>
      </w:tr>
      <w:tr w:rsidR="001E3CBE" w:rsidRPr="001E3CBE" w:rsidTr="001E3CBE">
        <w:trPr>
          <w:trHeight w:val="30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0.00</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7.1</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12.8</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7.4</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11.2</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0.44</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5.7</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1.3</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0.98</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16.6</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0.8</w:t>
            </w:r>
          </w:p>
        </w:tc>
        <w:tc>
          <w:tcPr>
            <w:tcW w:w="981"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0.62</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16.0</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0.79</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15.7</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1012"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13.8</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52.1</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11.8</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60.8</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0.59</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14.6</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w:t>
            </w:r>
          </w:p>
        </w:tc>
      </w:tr>
      <w:tr w:rsidR="001E3CBE" w:rsidRPr="001E3CBE" w:rsidTr="001E3CBE">
        <w:trPr>
          <w:trHeight w:val="290"/>
        </w:trPr>
        <w:tc>
          <w:tcPr>
            <w:tcW w:w="1637"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1012"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0.011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11.3</w:t>
            </w:r>
          </w:p>
        </w:tc>
        <w:tc>
          <w:tcPr>
            <w:tcW w:w="87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24.6</w:t>
            </w:r>
          </w:p>
        </w:tc>
        <w:tc>
          <w:tcPr>
            <w:tcW w:w="981" w:type="dxa"/>
            <w:noWrap/>
            <w:hideMark/>
          </w:tcPr>
          <w:p w:rsidR="001E3CBE" w:rsidRPr="001E3CBE" w:rsidRDefault="001E3CBE" w:rsidP="001E3CBE">
            <w:pPr>
              <w:spacing w:after="0"/>
              <w:jc w:val="center"/>
              <w:rPr>
                <w:rFonts w:asciiTheme="majorBidi" w:hAnsiTheme="majorBidi" w:cstheme="majorBidi"/>
                <w:b/>
                <w:bCs/>
                <w:sz w:val="24"/>
                <w:szCs w:val="24"/>
                <w:u w:val="single"/>
              </w:rPr>
            </w:pPr>
            <w:r w:rsidRPr="001E3CBE">
              <w:rPr>
                <w:rFonts w:asciiTheme="majorBidi" w:hAnsiTheme="majorBidi" w:cstheme="majorBidi"/>
                <w:b/>
                <w:bCs/>
                <w:sz w:val="24"/>
                <w:szCs w:val="24"/>
                <w:u w:val="single"/>
              </w:rPr>
              <w:t>&lt;0.01</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11.5</w:t>
            </w:r>
          </w:p>
        </w:tc>
        <w:tc>
          <w:tcPr>
            <w:tcW w:w="91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27.5</w:t>
            </w:r>
          </w:p>
        </w:tc>
        <w:tc>
          <w:tcPr>
            <w:tcW w:w="1084"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0.62</w:t>
            </w:r>
          </w:p>
        </w:tc>
        <w:tc>
          <w:tcPr>
            <w:tcW w:w="1003"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12.0</w:t>
            </w:r>
          </w:p>
        </w:tc>
        <w:tc>
          <w:tcPr>
            <w:tcW w:w="950" w:type="dxa"/>
            <w:noWrap/>
            <w:hideMark/>
          </w:tcPr>
          <w:p w:rsidR="001E3CBE" w:rsidRPr="001E3CBE" w:rsidRDefault="001E3CBE" w:rsidP="001E3CBE">
            <w:pPr>
              <w:spacing w:after="0"/>
              <w:jc w:val="center"/>
              <w:rPr>
                <w:rFonts w:asciiTheme="majorBidi" w:hAnsiTheme="majorBidi" w:cstheme="majorBidi"/>
                <w:sz w:val="24"/>
                <w:szCs w:val="24"/>
              </w:rPr>
            </w:pPr>
            <w:r w:rsidRPr="001E3CBE">
              <w:rPr>
                <w:rFonts w:asciiTheme="majorBidi" w:hAnsiTheme="majorBidi" w:cstheme="majorBidi"/>
                <w:sz w:val="24"/>
                <w:szCs w:val="24"/>
              </w:rPr>
              <w:t>1.0</w:t>
            </w:r>
          </w:p>
        </w:tc>
      </w:tr>
    </w:tbl>
    <w:p w:rsidR="001E3CBE" w:rsidRPr="001E3CBE" w:rsidRDefault="001E3CBE" w:rsidP="001E3CBE">
      <w:pPr>
        <w:spacing w:after="160" w:line="259" w:lineRule="auto"/>
        <w:rPr>
          <w:rFonts w:asciiTheme="minorBidi" w:hAnsiTheme="minorBidi"/>
          <w:b/>
          <w:bCs/>
        </w:rPr>
      </w:pPr>
      <w:r w:rsidRPr="001E3CBE">
        <w:rPr>
          <w:rFonts w:asciiTheme="minorBidi" w:hAnsiTheme="minorBidi"/>
        </w:rPr>
        <w:t xml:space="preserve">(SWT:  Shapiro Wilk test of normality, results are expressed in a) mean and standard errors of mean (SEM) for parametric data or b) Median and range for non-parametric data, significant p-value is defined &lt;0.05) </w:t>
      </w:r>
    </w:p>
    <w:p w:rsidR="001E3CBE" w:rsidRPr="001E3CBE" w:rsidRDefault="001E3CBE" w:rsidP="001E3CBE">
      <w:pPr>
        <w:spacing w:after="160" w:line="259" w:lineRule="auto"/>
        <w:rPr>
          <w:rFonts w:asciiTheme="minorBidi" w:hAnsiTheme="minorBidi"/>
          <w:sz w:val="24"/>
          <w:szCs w:val="24"/>
        </w:rPr>
      </w:pPr>
      <w:r w:rsidRPr="001E3CBE">
        <w:rPr>
          <w:rFonts w:asciiTheme="minorBidi" w:hAnsiTheme="minorBidi"/>
          <w:b/>
          <w:bCs/>
          <w:sz w:val="24"/>
          <w:szCs w:val="24"/>
        </w:rPr>
        <w:lastRenderedPageBreak/>
        <w:t xml:space="preserve">Supplementary </w:t>
      </w:r>
      <w:r>
        <w:rPr>
          <w:rFonts w:asciiTheme="minorBidi" w:hAnsiTheme="minorBidi"/>
          <w:b/>
          <w:bCs/>
          <w:sz w:val="24"/>
          <w:szCs w:val="24"/>
        </w:rPr>
        <w:t>T</w:t>
      </w:r>
      <w:r w:rsidRPr="001E3CBE">
        <w:rPr>
          <w:rFonts w:asciiTheme="minorBidi" w:hAnsiTheme="minorBidi"/>
          <w:b/>
          <w:bCs/>
          <w:sz w:val="24"/>
          <w:szCs w:val="24"/>
        </w:rPr>
        <w:t>able</w:t>
      </w:r>
      <w:r>
        <w:rPr>
          <w:rFonts w:asciiTheme="minorBidi" w:hAnsiTheme="minorBidi"/>
          <w:b/>
          <w:bCs/>
          <w:sz w:val="24"/>
          <w:szCs w:val="24"/>
        </w:rPr>
        <w:t xml:space="preserve"> </w:t>
      </w:r>
      <w:proofErr w:type="gramStart"/>
      <w:r>
        <w:rPr>
          <w:rFonts w:asciiTheme="minorBidi" w:hAnsiTheme="minorBidi"/>
          <w:b/>
          <w:bCs/>
          <w:sz w:val="24"/>
          <w:szCs w:val="24"/>
        </w:rPr>
        <w:t>4</w:t>
      </w:r>
      <w:r w:rsidRPr="001E3CBE">
        <w:rPr>
          <w:rFonts w:asciiTheme="minorBidi" w:hAnsiTheme="minorBidi"/>
          <w:b/>
          <w:bCs/>
          <w:sz w:val="24"/>
          <w:szCs w:val="24"/>
        </w:rPr>
        <w:t xml:space="preserve"> :</w:t>
      </w:r>
      <w:proofErr w:type="gramEnd"/>
      <w:r w:rsidRPr="001E3CBE">
        <w:rPr>
          <w:rFonts w:asciiTheme="minorBidi" w:hAnsiTheme="minorBidi"/>
          <w:b/>
          <w:bCs/>
          <w:sz w:val="24"/>
          <w:szCs w:val="24"/>
        </w:rPr>
        <w:t xml:space="preserve"> </w:t>
      </w:r>
      <w:r w:rsidRPr="001E3CBE">
        <w:rPr>
          <w:rFonts w:asciiTheme="minorBidi" w:hAnsiTheme="minorBidi"/>
          <w:sz w:val="24"/>
          <w:szCs w:val="24"/>
        </w:rPr>
        <w:t xml:space="preserve"> Comparison of p-values of ANOVA </w:t>
      </w:r>
      <w:r w:rsidRPr="001E3CBE">
        <w:rPr>
          <w:rFonts w:asciiTheme="minorBidi" w:hAnsiTheme="minorBidi"/>
          <w:sz w:val="24"/>
          <w:szCs w:val="24"/>
          <w:vertAlign w:val="superscript"/>
        </w:rPr>
        <w:t>(*)</w:t>
      </w:r>
      <w:r w:rsidRPr="001E3CBE">
        <w:rPr>
          <w:rFonts w:asciiTheme="minorBidi" w:hAnsiTheme="minorBidi"/>
          <w:sz w:val="24"/>
          <w:szCs w:val="24"/>
        </w:rPr>
        <w:t xml:space="preserve"> and Paired Student T-test </w:t>
      </w:r>
      <w:r w:rsidRPr="001E3CBE">
        <w:rPr>
          <w:rFonts w:asciiTheme="minorBidi" w:hAnsiTheme="minorBidi"/>
          <w:sz w:val="24"/>
          <w:szCs w:val="24"/>
          <w:vertAlign w:val="superscript"/>
        </w:rPr>
        <w:t xml:space="preserve">(1) </w:t>
      </w:r>
      <w:r w:rsidRPr="001E3CBE">
        <w:rPr>
          <w:rFonts w:asciiTheme="minorBidi" w:hAnsiTheme="minorBidi"/>
          <w:sz w:val="24"/>
          <w:szCs w:val="24"/>
        </w:rPr>
        <w:t xml:space="preserve">or Wilcoxon signed rank test </w:t>
      </w:r>
      <w:r w:rsidRPr="001E3CBE">
        <w:rPr>
          <w:rFonts w:asciiTheme="minorBidi" w:hAnsiTheme="minorBidi"/>
          <w:sz w:val="24"/>
          <w:szCs w:val="24"/>
          <w:vertAlign w:val="superscript"/>
        </w:rPr>
        <w:t>(</w:t>
      </w:r>
      <w:r w:rsidRPr="001E3CBE">
        <w:rPr>
          <w:rFonts w:asciiTheme="minorBidi" w:hAnsiTheme="minorBidi"/>
          <w:b/>
          <w:bCs/>
          <w:sz w:val="24"/>
          <w:szCs w:val="24"/>
          <w:vertAlign w:val="superscript"/>
        </w:rPr>
        <w:t xml:space="preserve">2) </w:t>
      </w:r>
      <w:r w:rsidRPr="001E3CBE">
        <w:rPr>
          <w:rFonts w:asciiTheme="minorBidi" w:hAnsiTheme="minorBidi"/>
          <w:sz w:val="24"/>
          <w:szCs w:val="24"/>
        </w:rPr>
        <w:t xml:space="preserve">of methylation of specific genetic loci in rectal mucosal biopsies between Non-Obese, Pre-Surgery and Post-Surgery group </w:t>
      </w:r>
    </w:p>
    <w:tbl>
      <w:tblPr>
        <w:tblStyle w:val="TableGrid1"/>
        <w:tblW w:w="0" w:type="auto"/>
        <w:tblLook w:val="04A0" w:firstRow="1" w:lastRow="0" w:firstColumn="1" w:lastColumn="0" w:noHBand="0" w:noVBand="1"/>
      </w:tblPr>
      <w:tblGrid>
        <w:gridCol w:w="1980"/>
        <w:gridCol w:w="2551"/>
        <w:gridCol w:w="2284"/>
        <w:gridCol w:w="7"/>
        <w:gridCol w:w="2194"/>
      </w:tblGrid>
      <w:tr w:rsidR="001E3CBE" w:rsidRPr="001E3CBE" w:rsidTr="001E3CBE">
        <w:trPr>
          <w:trHeight w:val="816"/>
        </w:trPr>
        <w:tc>
          <w:tcPr>
            <w:tcW w:w="1980" w:type="dxa"/>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Rectal Samples</w:t>
            </w:r>
          </w:p>
        </w:tc>
        <w:tc>
          <w:tcPr>
            <w:tcW w:w="2551" w:type="dxa"/>
            <w:noWrap/>
            <w:vAlign w:val="center"/>
            <w:hideMark/>
          </w:tcPr>
          <w:p w:rsidR="001E3CBE" w:rsidRPr="001E3CBE" w:rsidRDefault="001E3CBE" w:rsidP="001E3CBE">
            <w:pPr>
              <w:spacing w:after="0"/>
              <w:jc w:val="center"/>
              <w:rPr>
                <w:rFonts w:asciiTheme="minorBidi" w:hAnsiTheme="minorBidi"/>
                <w:b/>
                <w:bCs/>
                <w:sz w:val="24"/>
                <w:szCs w:val="24"/>
              </w:rPr>
            </w:pPr>
            <w:r w:rsidRPr="001E3CBE">
              <w:rPr>
                <w:rFonts w:asciiTheme="minorBidi" w:hAnsiTheme="minorBidi"/>
                <w:b/>
                <w:bCs/>
                <w:sz w:val="24"/>
                <w:szCs w:val="24"/>
              </w:rPr>
              <w:t>Obese (Pre-surgery) vs Non-Obese *</w:t>
            </w:r>
          </w:p>
        </w:tc>
        <w:tc>
          <w:tcPr>
            <w:tcW w:w="2284" w:type="dxa"/>
            <w:noWrap/>
            <w:vAlign w:val="center"/>
            <w:hideMark/>
          </w:tcPr>
          <w:p w:rsidR="001E3CBE" w:rsidRPr="001E3CBE" w:rsidRDefault="001E3CBE" w:rsidP="001E3CBE">
            <w:pPr>
              <w:spacing w:after="0"/>
              <w:jc w:val="center"/>
              <w:rPr>
                <w:rFonts w:asciiTheme="minorBidi" w:hAnsiTheme="minorBidi"/>
                <w:b/>
                <w:bCs/>
                <w:sz w:val="24"/>
                <w:szCs w:val="24"/>
              </w:rPr>
            </w:pPr>
            <w:r w:rsidRPr="001E3CBE">
              <w:rPr>
                <w:rFonts w:asciiTheme="minorBidi" w:hAnsiTheme="minorBidi"/>
                <w:b/>
                <w:bCs/>
                <w:sz w:val="24"/>
                <w:szCs w:val="24"/>
              </w:rPr>
              <w:t>Pre-Surgery vs Post-Surgery</w:t>
            </w:r>
          </w:p>
        </w:tc>
        <w:tc>
          <w:tcPr>
            <w:tcW w:w="2201" w:type="dxa"/>
            <w:gridSpan w:val="2"/>
            <w:noWrap/>
            <w:vAlign w:val="center"/>
            <w:hideMark/>
          </w:tcPr>
          <w:p w:rsidR="001E3CBE" w:rsidRPr="001E3CBE" w:rsidRDefault="001E3CBE" w:rsidP="001E3CBE">
            <w:pPr>
              <w:spacing w:after="0"/>
              <w:jc w:val="center"/>
              <w:rPr>
                <w:rFonts w:asciiTheme="minorBidi" w:hAnsiTheme="minorBidi"/>
                <w:b/>
                <w:bCs/>
                <w:sz w:val="24"/>
                <w:szCs w:val="24"/>
              </w:rPr>
            </w:pPr>
            <w:r w:rsidRPr="001E3CBE">
              <w:rPr>
                <w:rFonts w:asciiTheme="minorBidi" w:hAnsiTheme="minorBidi"/>
                <w:b/>
                <w:bCs/>
                <w:sz w:val="24"/>
                <w:szCs w:val="24"/>
              </w:rPr>
              <w:t>Post-Surgery vs Non-Obese *</w:t>
            </w:r>
          </w:p>
        </w:tc>
      </w:tr>
      <w:tr w:rsidR="001E3CBE" w:rsidRPr="001E3CBE" w:rsidTr="001E3CBE">
        <w:trPr>
          <w:trHeight w:val="290"/>
        </w:trPr>
        <w:tc>
          <w:tcPr>
            <w:tcW w:w="9016" w:type="dxa"/>
            <w:gridSpan w:val="5"/>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sz w:val="24"/>
                <w:szCs w:val="24"/>
              </w:rPr>
              <w:t>IL6</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0.39</w:t>
            </w:r>
          </w:p>
        </w:tc>
        <w:tc>
          <w:tcPr>
            <w:tcW w:w="22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0.926</w:t>
            </w:r>
            <w:r w:rsidRPr="001E3CBE">
              <w:rPr>
                <w:rFonts w:asciiTheme="minorBidi" w:hAnsiTheme="minorBidi"/>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0.432</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0.261</w:t>
            </w:r>
          </w:p>
        </w:tc>
        <w:tc>
          <w:tcPr>
            <w:tcW w:w="22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0.964</w:t>
            </w:r>
            <w:r w:rsidRPr="001E3CBE">
              <w:rPr>
                <w:rFonts w:asciiTheme="minorBidi" w:hAnsiTheme="minorBidi"/>
                <w:sz w:val="24"/>
                <w:szCs w:val="24"/>
                <w:vertAlign w:val="superscript"/>
              </w:rPr>
              <w:t>2</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0.303</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0.312</w:t>
            </w:r>
          </w:p>
        </w:tc>
        <w:tc>
          <w:tcPr>
            <w:tcW w:w="22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0.961</w:t>
            </w:r>
            <w:r w:rsidRPr="001E3CBE">
              <w:rPr>
                <w:rFonts w:asciiTheme="minorBidi" w:hAnsiTheme="minorBidi"/>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0.354</w:t>
            </w:r>
          </w:p>
        </w:tc>
      </w:tr>
      <w:tr w:rsidR="001E3CBE" w:rsidRPr="001E3CBE" w:rsidTr="001E3CBE">
        <w:trPr>
          <w:trHeight w:val="290"/>
        </w:trPr>
        <w:tc>
          <w:tcPr>
            <w:tcW w:w="9016" w:type="dxa"/>
            <w:gridSpan w:val="5"/>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sz w:val="24"/>
                <w:szCs w:val="24"/>
              </w:rPr>
              <w:t>LEP</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0.064</w:t>
            </w:r>
          </w:p>
        </w:tc>
        <w:tc>
          <w:tcPr>
            <w:tcW w:w="22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0.009</w:t>
            </w:r>
            <w:r w:rsidRPr="001E3CBE">
              <w:rPr>
                <w:rFonts w:asciiTheme="minorBidi" w:hAnsiTheme="minorBidi"/>
                <w:b/>
                <w:bCs/>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0.398</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0.128</w:t>
            </w:r>
          </w:p>
        </w:tc>
        <w:tc>
          <w:tcPr>
            <w:tcW w:w="22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w:t>
            </w:r>
            <w:r w:rsidRPr="001E3CBE">
              <w:rPr>
                <w:rFonts w:asciiTheme="minorBidi" w:hAnsiTheme="minorBidi"/>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0.676</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0.035</w:t>
            </w:r>
          </w:p>
        </w:tc>
        <w:tc>
          <w:tcPr>
            <w:tcW w:w="22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0.002</w:t>
            </w:r>
            <w:r w:rsidRPr="001E3CBE">
              <w:rPr>
                <w:rFonts w:asciiTheme="minorBidi" w:hAnsiTheme="minorBidi"/>
                <w:b/>
                <w:bCs/>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0.39</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0.017</w:t>
            </w:r>
          </w:p>
        </w:tc>
        <w:tc>
          <w:tcPr>
            <w:tcW w:w="22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0.001</w:t>
            </w:r>
            <w:r w:rsidRPr="001E3CBE">
              <w:rPr>
                <w:rFonts w:asciiTheme="minorBidi" w:hAnsiTheme="minorBidi"/>
                <w:b/>
                <w:bCs/>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0.348</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0.031</w:t>
            </w:r>
          </w:p>
        </w:tc>
        <w:tc>
          <w:tcPr>
            <w:tcW w:w="22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0.002</w:t>
            </w:r>
            <w:r w:rsidRPr="001E3CBE">
              <w:rPr>
                <w:rFonts w:asciiTheme="minorBidi" w:hAnsiTheme="minorBidi"/>
                <w:b/>
                <w:bCs/>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0.069</w:t>
            </w:r>
          </w:p>
        </w:tc>
      </w:tr>
      <w:tr w:rsidR="001E3CBE" w:rsidRPr="001E3CBE" w:rsidTr="001E3CBE">
        <w:trPr>
          <w:trHeight w:val="290"/>
        </w:trPr>
        <w:tc>
          <w:tcPr>
            <w:tcW w:w="9016" w:type="dxa"/>
            <w:gridSpan w:val="5"/>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b/>
                <w:bCs/>
                <w:i/>
                <w:iCs/>
                <w:sz w:val="24"/>
                <w:szCs w:val="24"/>
              </w:rPr>
              <w:t>LINE1</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0.011</w:t>
            </w:r>
          </w:p>
        </w:tc>
        <w:tc>
          <w:tcPr>
            <w:tcW w:w="2284"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0.007</w:t>
            </w:r>
            <w:r w:rsidRPr="001E3CBE">
              <w:rPr>
                <w:rFonts w:asciiTheme="minorBidi" w:hAnsiTheme="minorBidi"/>
                <w:b/>
                <w:bCs/>
                <w:sz w:val="24"/>
                <w:szCs w:val="24"/>
                <w:vertAlign w:val="superscript"/>
              </w:rPr>
              <w:t>2</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0.948</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0.001</w:t>
            </w:r>
          </w:p>
        </w:tc>
        <w:tc>
          <w:tcPr>
            <w:tcW w:w="2291" w:type="dxa"/>
            <w:gridSpan w:val="2"/>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0.002</w:t>
            </w:r>
            <w:r w:rsidRPr="001E3CBE">
              <w:rPr>
                <w:rFonts w:asciiTheme="minorBidi" w:hAnsiTheme="minorBidi"/>
                <w:b/>
                <w:bCs/>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0.966</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&lt;0.001</w:t>
            </w:r>
          </w:p>
        </w:tc>
        <w:tc>
          <w:tcPr>
            <w:tcW w:w="2291" w:type="dxa"/>
            <w:gridSpan w:val="2"/>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&lt;0.001</w:t>
            </w:r>
            <w:r w:rsidRPr="001E3CBE">
              <w:rPr>
                <w:rFonts w:asciiTheme="minorBidi" w:hAnsiTheme="minorBidi"/>
                <w:b/>
                <w:bCs/>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0.909</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&lt;0.001</w:t>
            </w:r>
          </w:p>
        </w:tc>
        <w:tc>
          <w:tcPr>
            <w:tcW w:w="2291" w:type="dxa"/>
            <w:gridSpan w:val="2"/>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0.001</w:t>
            </w:r>
            <w:r w:rsidRPr="001E3CBE">
              <w:rPr>
                <w:rFonts w:asciiTheme="minorBidi" w:hAnsiTheme="minorBidi"/>
                <w:b/>
                <w:bCs/>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0.573</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CpG5</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0.02</w:t>
            </w:r>
          </w:p>
        </w:tc>
        <w:tc>
          <w:tcPr>
            <w:tcW w:w="2291" w:type="dxa"/>
            <w:gridSpan w:val="2"/>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0.004</w:t>
            </w:r>
            <w:r w:rsidRPr="001E3CBE">
              <w:rPr>
                <w:rFonts w:asciiTheme="minorBidi" w:hAnsiTheme="minorBidi"/>
                <w:b/>
                <w:bCs/>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0.567</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&lt;0.001</w:t>
            </w:r>
          </w:p>
        </w:tc>
        <w:tc>
          <w:tcPr>
            <w:tcW w:w="2291" w:type="dxa"/>
            <w:gridSpan w:val="2"/>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0.002</w:t>
            </w:r>
            <w:r w:rsidRPr="001E3CBE">
              <w:rPr>
                <w:rFonts w:asciiTheme="minorBidi" w:hAnsiTheme="minorBidi"/>
                <w:b/>
                <w:bCs/>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0.973</w:t>
            </w:r>
          </w:p>
        </w:tc>
      </w:tr>
      <w:tr w:rsidR="001E3CBE" w:rsidRPr="001E3CBE" w:rsidTr="001E3CBE">
        <w:trPr>
          <w:trHeight w:val="290"/>
        </w:trPr>
        <w:tc>
          <w:tcPr>
            <w:tcW w:w="9016" w:type="dxa"/>
            <w:gridSpan w:val="5"/>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b/>
                <w:bCs/>
                <w:i/>
                <w:iCs/>
                <w:sz w:val="24"/>
                <w:szCs w:val="24"/>
              </w:rPr>
              <w:t>POMC</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0.141</w:t>
            </w:r>
          </w:p>
        </w:tc>
        <w:tc>
          <w:tcPr>
            <w:tcW w:w="229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0.062</w:t>
            </w:r>
            <w:r w:rsidRPr="001E3CBE">
              <w:rPr>
                <w:rFonts w:asciiTheme="minorBidi" w:hAnsiTheme="minorBidi"/>
                <w:sz w:val="24"/>
                <w:szCs w:val="24"/>
                <w:vertAlign w:val="superscript"/>
              </w:rPr>
              <w:t>1</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0.444</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0.42</w:t>
            </w:r>
          </w:p>
        </w:tc>
        <w:tc>
          <w:tcPr>
            <w:tcW w:w="22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0.202</w:t>
            </w:r>
            <w:r w:rsidRPr="001E3CBE">
              <w:rPr>
                <w:rFonts w:asciiTheme="minorBidi" w:hAnsiTheme="minorBidi"/>
                <w:sz w:val="24"/>
                <w:szCs w:val="24"/>
                <w:vertAlign w:val="superscript"/>
              </w:rPr>
              <w:t>2</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0.777</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p>
        </w:tc>
        <w:tc>
          <w:tcPr>
            <w:tcW w:w="22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r w:rsidRPr="001E3CBE">
              <w:rPr>
                <w:rFonts w:asciiTheme="minorBidi" w:hAnsiTheme="minorBidi"/>
                <w:b/>
                <w:bCs/>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0.318</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0.029</w:t>
            </w:r>
          </w:p>
        </w:tc>
        <w:tc>
          <w:tcPr>
            <w:tcW w:w="22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0.009</w:t>
            </w:r>
            <w:r w:rsidRPr="001E3CBE">
              <w:rPr>
                <w:rFonts w:asciiTheme="minorBidi" w:hAnsiTheme="minorBidi"/>
                <w:b/>
                <w:bCs/>
                <w:sz w:val="24"/>
                <w:szCs w:val="24"/>
                <w:vertAlign w:val="superscript"/>
              </w:rPr>
              <w:t>1</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0.452</w:t>
            </w:r>
          </w:p>
        </w:tc>
      </w:tr>
      <w:tr w:rsidR="001E3CBE" w:rsidRPr="001E3CBE" w:rsidTr="001E3CBE">
        <w:trPr>
          <w:trHeight w:val="290"/>
        </w:trPr>
        <w:tc>
          <w:tcPr>
            <w:tcW w:w="9016" w:type="dxa"/>
            <w:gridSpan w:val="5"/>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b/>
                <w:bCs/>
                <w:i/>
                <w:iCs/>
                <w:sz w:val="24"/>
                <w:szCs w:val="24"/>
              </w:rPr>
              <w:t>MAPK7</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w:t>
            </w:r>
          </w:p>
        </w:tc>
        <w:tc>
          <w:tcPr>
            <w:tcW w:w="22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0.382</w:t>
            </w:r>
            <w:r w:rsidRPr="001E3CBE">
              <w:rPr>
                <w:rFonts w:asciiTheme="minorBidi" w:hAnsiTheme="minorBidi"/>
                <w:sz w:val="24"/>
                <w:szCs w:val="24"/>
                <w:vertAlign w:val="superscript"/>
              </w:rPr>
              <w:t>2</w:t>
            </w:r>
          </w:p>
        </w:tc>
        <w:tc>
          <w:tcPr>
            <w:tcW w:w="220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0.019</w:t>
            </w:r>
          </w:p>
        </w:tc>
        <w:tc>
          <w:tcPr>
            <w:tcW w:w="229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u w:val="single"/>
              </w:rPr>
              <w:t>0.032</w:t>
            </w:r>
            <w:r w:rsidRPr="001E3CBE">
              <w:rPr>
                <w:rFonts w:asciiTheme="minorBidi" w:hAnsiTheme="minorBidi"/>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0.019</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0.579</w:t>
            </w:r>
          </w:p>
        </w:tc>
        <w:tc>
          <w:tcPr>
            <w:tcW w:w="2291" w:type="dxa"/>
            <w:gridSpan w:val="2"/>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&lt;0.001</w:t>
            </w:r>
            <w:r w:rsidRPr="001E3CBE">
              <w:rPr>
                <w:rFonts w:asciiTheme="minorBidi" w:hAnsiTheme="minorBidi"/>
                <w:b/>
                <w:bCs/>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0.579</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25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0.05</w:t>
            </w:r>
          </w:p>
        </w:tc>
        <w:tc>
          <w:tcPr>
            <w:tcW w:w="229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0.15</w:t>
            </w:r>
            <w:r w:rsidRPr="001E3CBE">
              <w:rPr>
                <w:rFonts w:asciiTheme="minorBidi" w:hAnsiTheme="minorBidi"/>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0.05</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0.11</w:t>
            </w:r>
          </w:p>
        </w:tc>
        <w:tc>
          <w:tcPr>
            <w:tcW w:w="2291" w:type="dxa"/>
            <w:gridSpan w:val="2"/>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u w:val="single"/>
              </w:rPr>
              <w:t>0.007</w:t>
            </w:r>
            <w:r w:rsidRPr="001E3CBE">
              <w:rPr>
                <w:rFonts w:asciiTheme="minorBidi" w:hAnsiTheme="minorBidi"/>
                <w:b/>
                <w:bCs/>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0.11</w:t>
            </w:r>
          </w:p>
        </w:tc>
      </w:tr>
      <w:tr w:rsidR="001E3CBE" w:rsidRPr="001E3CBE" w:rsidTr="001E3CBE">
        <w:trPr>
          <w:trHeight w:val="290"/>
        </w:trPr>
        <w:tc>
          <w:tcPr>
            <w:tcW w:w="9016" w:type="dxa"/>
            <w:gridSpan w:val="5"/>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b/>
                <w:bCs/>
                <w:i/>
                <w:iCs/>
                <w:sz w:val="24"/>
                <w:szCs w:val="24"/>
              </w:rPr>
              <w:t>COX2</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0.789</w:t>
            </w:r>
          </w:p>
        </w:tc>
        <w:tc>
          <w:tcPr>
            <w:tcW w:w="229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0.976</w:t>
            </w:r>
            <w:r w:rsidRPr="001E3CBE">
              <w:rPr>
                <w:rFonts w:asciiTheme="minorBidi" w:hAnsiTheme="minorBidi"/>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0.329</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0.771</w:t>
            </w:r>
          </w:p>
        </w:tc>
        <w:tc>
          <w:tcPr>
            <w:tcW w:w="229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0.488</w:t>
            </w:r>
            <w:r w:rsidRPr="001E3CBE">
              <w:rPr>
                <w:rFonts w:asciiTheme="minorBidi" w:hAnsiTheme="minorBidi"/>
                <w:sz w:val="24"/>
                <w:szCs w:val="24"/>
                <w:vertAlign w:val="superscript"/>
              </w:rPr>
              <w:t>1</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0.819</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0.928</w:t>
            </w:r>
          </w:p>
        </w:tc>
        <w:tc>
          <w:tcPr>
            <w:tcW w:w="229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0.174</w:t>
            </w:r>
            <w:r w:rsidRPr="001E3CBE">
              <w:rPr>
                <w:rFonts w:asciiTheme="minorBidi" w:hAnsiTheme="minorBidi"/>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0.793</w:t>
            </w:r>
          </w:p>
        </w:tc>
      </w:tr>
      <w:tr w:rsidR="001E3CBE" w:rsidRPr="001E3CBE" w:rsidTr="001E3CBE">
        <w:trPr>
          <w:trHeight w:val="290"/>
        </w:trPr>
        <w:tc>
          <w:tcPr>
            <w:tcW w:w="198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5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0.903</w:t>
            </w:r>
          </w:p>
        </w:tc>
        <w:tc>
          <w:tcPr>
            <w:tcW w:w="2291" w:type="dxa"/>
            <w:gridSpan w:val="2"/>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0.585</w:t>
            </w:r>
            <w:r w:rsidRPr="001E3CBE">
              <w:rPr>
                <w:rFonts w:asciiTheme="minorBidi" w:hAnsiTheme="minorBidi"/>
                <w:sz w:val="24"/>
                <w:szCs w:val="24"/>
                <w:vertAlign w:val="superscript"/>
              </w:rPr>
              <w:t>2</w:t>
            </w:r>
          </w:p>
        </w:tc>
        <w:tc>
          <w:tcPr>
            <w:tcW w:w="219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0.89</w:t>
            </w:r>
          </w:p>
        </w:tc>
      </w:tr>
    </w:tbl>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sz w:val="24"/>
          <w:szCs w:val="24"/>
        </w:rPr>
      </w:pPr>
      <w:r w:rsidRPr="001E3CBE">
        <w:rPr>
          <w:rFonts w:asciiTheme="minorBidi" w:hAnsiTheme="minorBidi"/>
          <w:b/>
          <w:bCs/>
          <w:sz w:val="24"/>
          <w:szCs w:val="24"/>
        </w:rPr>
        <w:lastRenderedPageBreak/>
        <w:t>Supplementary table 5</w:t>
      </w:r>
      <w:r w:rsidRPr="001E3CBE">
        <w:rPr>
          <w:rFonts w:asciiTheme="minorBidi" w:hAnsiTheme="minorBidi"/>
          <w:sz w:val="24"/>
          <w:szCs w:val="24"/>
        </w:rPr>
        <w:t>: Comparison of p-values of ANOVA and independent student T-test</w:t>
      </w:r>
      <w:r w:rsidRPr="001E3CBE">
        <w:rPr>
          <w:rFonts w:asciiTheme="minorBidi" w:hAnsiTheme="minorBidi"/>
          <w:sz w:val="24"/>
          <w:szCs w:val="24"/>
          <w:vertAlign w:val="superscript"/>
        </w:rPr>
        <w:t>1</w:t>
      </w:r>
      <w:r w:rsidRPr="001E3CBE">
        <w:rPr>
          <w:rFonts w:asciiTheme="minorBidi" w:hAnsiTheme="minorBidi"/>
          <w:sz w:val="24"/>
          <w:szCs w:val="24"/>
        </w:rPr>
        <w:t xml:space="preserve"> or Mann Whitney U test</w:t>
      </w:r>
      <w:r w:rsidRPr="001E3CBE">
        <w:rPr>
          <w:rFonts w:asciiTheme="minorBidi" w:hAnsiTheme="minorBidi"/>
          <w:sz w:val="24"/>
          <w:szCs w:val="24"/>
          <w:vertAlign w:val="superscript"/>
        </w:rPr>
        <w:t>2</w:t>
      </w:r>
      <w:r w:rsidRPr="001E3CBE">
        <w:rPr>
          <w:rFonts w:asciiTheme="minorBidi" w:hAnsiTheme="minorBidi"/>
          <w:sz w:val="24"/>
          <w:szCs w:val="24"/>
        </w:rPr>
        <w:t xml:space="preserve"> (MWT) for sensitivity analysis of results of comparison of DNA methylation in rectal mucosal biopsies between Pre-Surgery and Non-Obese groups   </w:t>
      </w:r>
    </w:p>
    <w:tbl>
      <w:tblPr>
        <w:tblStyle w:val="TableGrid1"/>
        <w:tblW w:w="0" w:type="auto"/>
        <w:tblLook w:val="04A0" w:firstRow="1" w:lastRow="0" w:firstColumn="1" w:lastColumn="0" w:noHBand="0" w:noVBand="1"/>
      </w:tblPr>
      <w:tblGrid>
        <w:gridCol w:w="1980"/>
        <w:gridCol w:w="2114"/>
        <w:gridCol w:w="1218"/>
        <w:gridCol w:w="1523"/>
        <w:gridCol w:w="1150"/>
      </w:tblGrid>
      <w:tr w:rsidR="001E3CBE" w:rsidRPr="001E3CBE" w:rsidTr="001E3CBE">
        <w:trPr>
          <w:trHeight w:val="619"/>
        </w:trPr>
        <w:tc>
          <w:tcPr>
            <w:tcW w:w="1980" w:type="dxa"/>
            <w:vMerge w:val="restart"/>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 xml:space="preserve">Pre-Surgery vs Non-Obese </w:t>
            </w:r>
          </w:p>
        </w:tc>
        <w:tc>
          <w:tcPr>
            <w:tcW w:w="2114" w:type="dxa"/>
            <w:vMerge w:val="restart"/>
            <w:noWrap/>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Independent Student T-test</w:t>
            </w:r>
            <w:r w:rsidRPr="001E3CBE">
              <w:rPr>
                <w:rFonts w:asciiTheme="minorBidi" w:hAnsiTheme="minorBidi"/>
                <w:b/>
                <w:bCs/>
                <w:sz w:val="24"/>
                <w:szCs w:val="24"/>
                <w:vertAlign w:val="superscript"/>
              </w:rPr>
              <w:t>1</w:t>
            </w:r>
            <w:r w:rsidRPr="001E3CBE">
              <w:rPr>
                <w:rFonts w:asciiTheme="minorBidi" w:hAnsiTheme="minorBidi"/>
                <w:b/>
                <w:bCs/>
                <w:sz w:val="24"/>
                <w:szCs w:val="24"/>
              </w:rPr>
              <w:t xml:space="preserve"> or MWT</w:t>
            </w:r>
            <w:r w:rsidRPr="001E3CBE">
              <w:rPr>
                <w:rFonts w:asciiTheme="minorBidi" w:hAnsiTheme="minorBidi"/>
                <w:b/>
                <w:bCs/>
                <w:sz w:val="24"/>
                <w:szCs w:val="24"/>
                <w:vertAlign w:val="superscript"/>
              </w:rPr>
              <w:t xml:space="preserve">2  </w:t>
            </w:r>
          </w:p>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p-value</w:t>
            </w:r>
          </w:p>
        </w:tc>
        <w:tc>
          <w:tcPr>
            <w:tcW w:w="3891" w:type="dxa"/>
            <w:gridSpan w:val="3"/>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ANOVA</w:t>
            </w:r>
          </w:p>
        </w:tc>
      </w:tr>
      <w:tr w:rsidR="001E3CBE" w:rsidRPr="001E3CBE" w:rsidTr="001E3CBE">
        <w:trPr>
          <w:trHeight w:val="290"/>
        </w:trPr>
        <w:tc>
          <w:tcPr>
            <w:tcW w:w="1980" w:type="dxa"/>
            <w:vMerge/>
            <w:noWrap/>
            <w:hideMark/>
          </w:tcPr>
          <w:p w:rsidR="001E3CBE" w:rsidRPr="001E3CBE" w:rsidRDefault="001E3CBE" w:rsidP="001E3CBE">
            <w:pPr>
              <w:spacing w:after="0" w:line="240" w:lineRule="auto"/>
              <w:rPr>
                <w:rFonts w:asciiTheme="minorBidi" w:hAnsiTheme="minorBidi"/>
                <w:b/>
                <w:bCs/>
                <w:sz w:val="24"/>
                <w:szCs w:val="24"/>
              </w:rPr>
            </w:pPr>
          </w:p>
        </w:tc>
        <w:tc>
          <w:tcPr>
            <w:tcW w:w="2114" w:type="dxa"/>
            <w:vMerge/>
            <w:noWrap/>
          </w:tcPr>
          <w:p w:rsidR="001E3CBE" w:rsidRPr="001E3CBE" w:rsidRDefault="001E3CBE" w:rsidP="001E3CBE">
            <w:pPr>
              <w:spacing w:after="0" w:line="240" w:lineRule="auto"/>
              <w:jc w:val="center"/>
              <w:rPr>
                <w:rFonts w:asciiTheme="minorBidi" w:hAnsiTheme="minorBidi"/>
                <w:b/>
                <w:bCs/>
                <w:sz w:val="24"/>
                <w:szCs w:val="24"/>
              </w:rPr>
            </w:pPr>
          </w:p>
        </w:tc>
        <w:tc>
          <w:tcPr>
            <w:tcW w:w="1218" w:type="dxa"/>
            <w:noWrap/>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p-value</w:t>
            </w:r>
          </w:p>
        </w:tc>
        <w:tc>
          <w:tcPr>
            <w:tcW w:w="1523" w:type="dxa"/>
            <w:noWrap/>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Age</w:t>
            </w:r>
          </w:p>
        </w:tc>
        <w:tc>
          <w:tcPr>
            <w:tcW w:w="1150" w:type="dxa"/>
            <w:noWrap/>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Gender</w:t>
            </w:r>
          </w:p>
        </w:tc>
      </w:tr>
      <w:tr w:rsidR="001E3CBE" w:rsidRPr="001E3CBE" w:rsidTr="001E3CBE">
        <w:trPr>
          <w:trHeight w:val="290"/>
        </w:trPr>
        <w:tc>
          <w:tcPr>
            <w:tcW w:w="1980" w:type="dxa"/>
            <w:noWrap/>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IL6</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p>
        </w:tc>
        <w:tc>
          <w:tcPr>
            <w:tcW w:w="1218" w:type="dxa"/>
            <w:noWrap/>
          </w:tcPr>
          <w:p w:rsidR="001E3CBE" w:rsidRPr="001E3CBE" w:rsidRDefault="001E3CBE" w:rsidP="001E3CBE">
            <w:pPr>
              <w:spacing w:after="0" w:line="240" w:lineRule="auto"/>
              <w:jc w:val="center"/>
              <w:rPr>
                <w:rFonts w:asciiTheme="minorBidi" w:hAnsiTheme="minorBidi"/>
                <w:sz w:val="24"/>
                <w:szCs w:val="24"/>
              </w:rPr>
            </w:pPr>
          </w:p>
        </w:tc>
        <w:tc>
          <w:tcPr>
            <w:tcW w:w="1523" w:type="dxa"/>
            <w:noWrap/>
          </w:tcPr>
          <w:p w:rsidR="001E3CBE" w:rsidRPr="001E3CBE" w:rsidRDefault="001E3CBE" w:rsidP="001E3CBE">
            <w:pPr>
              <w:spacing w:after="0" w:line="240" w:lineRule="auto"/>
              <w:jc w:val="center"/>
              <w:rPr>
                <w:rFonts w:asciiTheme="minorBidi" w:hAnsiTheme="minorBidi"/>
                <w:sz w:val="24"/>
                <w:szCs w:val="24"/>
              </w:rPr>
            </w:pPr>
          </w:p>
        </w:tc>
        <w:tc>
          <w:tcPr>
            <w:tcW w:w="1150" w:type="dxa"/>
            <w:noWrap/>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0.262</w:t>
            </w:r>
            <w:r w:rsidRPr="001E3CBE">
              <w:rPr>
                <w:rFonts w:asciiTheme="minorBidi" w:hAnsiTheme="minorBidi"/>
                <w:sz w:val="24"/>
                <w:szCs w:val="24"/>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0.39</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0.404</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0.587</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0.093</w:t>
            </w:r>
            <w:r w:rsidRPr="001E3CBE">
              <w:rPr>
                <w:rFonts w:asciiTheme="minorBidi" w:hAnsiTheme="minorBidi"/>
                <w:sz w:val="24"/>
                <w:szCs w:val="24"/>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0.579</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0.509</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0.157</w:t>
            </w:r>
            <w:r w:rsidRPr="001E3CBE">
              <w:rPr>
                <w:rFonts w:asciiTheme="minorBidi" w:hAnsiTheme="minorBidi"/>
                <w:sz w:val="24"/>
                <w:szCs w:val="24"/>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0.312</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0.49</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0.541</w:t>
            </w:r>
          </w:p>
        </w:tc>
      </w:tr>
      <w:tr w:rsidR="001E3CBE" w:rsidRPr="001E3CBE" w:rsidTr="001E3CBE">
        <w:trPr>
          <w:trHeight w:val="290"/>
        </w:trPr>
        <w:tc>
          <w:tcPr>
            <w:tcW w:w="1980" w:type="dxa"/>
            <w:noWrap/>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LEP</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p>
        </w:tc>
        <w:tc>
          <w:tcPr>
            <w:tcW w:w="1218" w:type="dxa"/>
            <w:noWrap/>
          </w:tcPr>
          <w:p w:rsidR="001E3CBE" w:rsidRPr="001E3CBE" w:rsidRDefault="001E3CBE" w:rsidP="001E3CBE">
            <w:pPr>
              <w:spacing w:after="0" w:line="240" w:lineRule="auto"/>
              <w:jc w:val="center"/>
              <w:rPr>
                <w:rFonts w:asciiTheme="minorBidi" w:hAnsiTheme="minorBidi"/>
                <w:sz w:val="24"/>
                <w:szCs w:val="24"/>
              </w:rPr>
            </w:pPr>
          </w:p>
        </w:tc>
        <w:tc>
          <w:tcPr>
            <w:tcW w:w="1523" w:type="dxa"/>
            <w:noWrap/>
          </w:tcPr>
          <w:p w:rsidR="001E3CBE" w:rsidRPr="001E3CBE" w:rsidRDefault="001E3CBE" w:rsidP="001E3CBE">
            <w:pPr>
              <w:spacing w:after="0" w:line="240" w:lineRule="auto"/>
              <w:jc w:val="center"/>
              <w:rPr>
                <w:rFonts w:asciiTheme="minorBidi" w:hAnsiTheme="minorBidi"/>
                <w:sz w:val="24"/>
                <w:szCs w:val="24"/>
              </w:rPr>
            </w:pPr>
          </w:p>
        </w:tc>
        <w:tc>
          <w:tcPr>
            <w:tcW w:w="1150" w:type="dxa"/>
            <w:noWrap/>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0.029</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0.064</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0.18</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0.257</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0.096</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0.128</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0.339</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0.873</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0.035</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0.124</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0.268</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0.017</w:t>
            </w:r>
          </w:p>
        </w:tc>
        <w:tc>
          <w:tcPr>
            <w:tcW w:w="1523"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0.037</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0.488</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0.016</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0.103</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0.375</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LINE1</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p>
        </w:tc>
        <w:tc>
          <w:tcPr>
            <w:tcW w:w="1218" w:type="dxa"/>
            <w:noWrap/>
          </w:tcPr>
          <w:p w:rsidR="001E3CBE" w:rsidRPr="001E3CBE" w:rsidRDefault="001E3CBE" w:rsidP="001E3CBE">
            <w:pPr>
              <w:spacing w:after="0" w:line="240" w:lineRule="auto"/>
              <w:jc w:val="center"/>
              <w:rPr>
                <w:rFonts w:asciiTheme="minorBidi" w:hAnsiTheme="minorBidi"/>
                <w:sz w:val="24"/>
                <w:szCs w:val="24"/>
              </w:rPr>
            </w:pPr>
          </w:p>
        </w:tc>
        <w:tc>
          <w:tcPr>
            <w:tcW w:w="1523" w:type="dxa"/>
            <w:noWrap/>
          </w:tcPr>
          <w:p w:rsidR="001E3CBE" w:rsidRPr="001E3CBE" w:rsidRDefault="001E3CBE" w:rsidP="001E3CBE">
            <w:pPr>
              <w:spacing w:after="0" w:line="240" w:lineRule="auto"/>
              <w:jc w:val="center"/>
              <w:rPr>
                <w:rFonts w:asciiTheme="minorBidi" w:hAnsiTheme="minorBidi"/>
                <w:sz w:val="24"/>
                <w:szCs w:val="24"/>
              </w:rPr>
            </w:pPr>
          </w:p>
        </w:tc>
        <w:tc>
          <w:tcPr>
            <w:tcW w:w="1150" w:type="dxa"/>
            <w:noWrap/>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0.019</w:t>
            </w:r>
            <w:r w:rsidRPr="001E3CBE">
              <w:rPr>
                <w:rFonts w:asciiTheme="minorBidi" w:hAnsiTheme="minorBidi"/>
                <w:b/>
                <w:bCs/>
                <w:sz w:val="24"/>
                <w:szCs w:val="24"/>
                <w:u w:val="single"/>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0.194</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0.397</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0.008</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0.206</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0.191</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0.93</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0.73</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0.438</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0.432</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CpG5</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0.006</w:t>
            </w:r>
            <w:r w:rsidRPr="001E3CBE">
              <w:rPr>
                <w:rFonts w:asciiTheme="minorBidi" w:hAnsiTheme="minorBidi"/>
                <w:b/>
                <w:bCs/>
                <w:sz w:val="24"/>
                <w:szCs w:val="24"/>
                <w:u w:val="single"/>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0.211</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0.444</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0.003</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0.242</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0.335</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POMC</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p>
        </w:tc>
        <w:tc>
          <w:tcPr>
            <w:tcW w:w="1218" w:type="dxa"/>
            <w:noWrap/>
          </w:tcPr>
          <w:p w:rsidR="001E3CBE" w:rsidRPr="001E3CBE" w:rsidRDefault="001E3CBE" w:rsidP="001E3CBE">
            <w:pPr>
              <w:spacing w:after="0" w:line="240" w:lineRule="auto"/>
              <w:jc w:val="center"/>
              <w:rPr>
                <w:rFonts w:asciiTheme="minorBidi" w:hAnsiTheme="minorBidi"/>
                <w:sz w:val="24"/>
                <w:szCs w:val="24"/>
              </w:rPr>
            </w:pPr>
          </w:p>
        </w:tc>
        <w:tc>
          <w:tcPr>
            <w:tcW w:w="1523" w:type="dxa"/>
            <w:noWrap/>
          </w:tcPr>
          <w:p w:rsidR="001E3CBE" w:rsidRPr="001E3CBE" w:rsidRDefault="001E3CBE" w:rsidP="001E3CBE">
            <w:pPr>
              <w:spacing w:after="0" w:line="240" w:lineRule="auto"/>
              <w:jc w:val="center"/>
              <w:rPr>
                <w:rFonts w:asciiTheme="minorBidi" w:hAnsiTheme="minorBidi"/>
                <w:sz w:val="24"/>
                <w:szCs w:val="24"/>
              </w:rPr>
            </w:pPr>
          </w:p>
        </w:tc>
        <w:tc>
          <w:tcPr>
            <w:tcW w:w="1150" w:type="dxa"/>
            <w:noWrap/>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0.041</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0.141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0.753</w:t>
            </w:r>
          </w:p>
        </w:tc>
        <w:tc>
          <w:tcPr>
            <w:tcW w:w="1150"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0.011</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0.417</w:t>
            </w:r>
            <w:r w:rsidRPr="001E3CBE">
              <w:rPr>
                <w:rFonts w:asciiTheme="minorBidi" w:hAnsiTheme="minorBidi"/>
                <w:sz w:val="24"/>
                <w:szCs w:val="24"/>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0.42</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w:t>
            </w:r>
          </w:p>
        </w:tc>
        <w:tc>
          <w:tcPr>
            <w:tcW w:w="1150"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0.027</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0.002</w:t>
            </w:r>
            <w:r w:rsidRPr="001E3CBE">
              <w:rPr>
                <w:rFonts w:asciiTheme="minorBidi" w:hAnsiTheme="minorBidi"/>
                <w:b/>
                <w:bCs/>
                <w:sz w:val="24"/>
                <w:szCs w:val="24"/>
                <w:u w:val="single"/>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&lt;0.001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0.971</w:t>
            </w:r>
          </w:p>
        </w:tc>
        <w:tc>
          <w:tcPr>
            <w:tcW w:w="1150"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0.027</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114"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0.035</w:t>
            </w:r>
            <w:r w:rsidRPr="001E3CBE">
              <w:rPr>
                <w:rFonts w:asciiTheme="minorBidi" w:hAnsiTheme="minorBidi"/>
                <w:b/>
                <w:bCs/>
                <w:sz w:val="24"/>
                <w:szCs w:val="24"/>
                <w:u w:val="single"/>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0.029</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0.554</w:t>
            </w:r>
          </w:p>
        </w:tc>
        <w:tc>
          <w:tcPr>
            <w:tcW w:w="1150"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0.008</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MAPK7</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p>
        </w:tc>
        <w:tc>
          <w:tcPr>
            <w:tcW w:w="1218" w:type="dxa"/>
            <w:noWrap/>
          </w:tcPr>
          <w:p w:rsidR="001E3CBE" w:rsidRPr="001E3CBE" w:rsidRDefault="001E3CBE" w:rsidP="001E3CBE">
            <w:pPr>
              <w:spacing w:after="0" w:line="240" w:lineRule="auto"/>
              <w:jc w:val="center"/>
              <w:rPr>
                <w:rFonts w:asciiTheme="minorBidi" w:hAnsiTheme="minorBidi"/>
                <w:sz w:val="24"/>
                <w:szCs w:val="24"/>
              </w:rPr>
            </w:pPr>
          </w:p>
        </w:tc>
        <w:tc>
          <w:tcPr>
            <w:tcW w:w="1523" w:type="dxa"/>
            <w:noWrap/>
          </w:tcPr>
          <w:p w:rsidR="001E3CBE" w:rsidRPr="001E3CBE" w:rsidRDefault="001E3CBE" w:rsidP="001E3CBE">
            <w:pPr>
              <w:spacing w:after="0" w:line="240" w:lineRule="auto"/>
              <w:jc w:val="center"/>
              <w:rPr>
                <w:rFonts w:asciiTheme="minorBidi" w:hAnsiTheme="minorBidi"/>
                <w:sz w:val="24"/>
                <w:szCs w:val="24"/>
              </w:rPr>
            </w:pPr>
          </w:p>
        </w:tc>
        <w:tc>
          <w:tcPr>
            <w:tcW w:w="1150" w:type="dxa"/>
            <w:noWrap/>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0.307</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0.261</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0.049</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0.074</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0.019</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0.605</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0.086</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0.307</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0.579</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0.158</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0.19</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0.125</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0.05</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0.561</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0.183</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0.29</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0.349</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0.086</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COX2</w:t>
            </w:r>
          </w:p>
        </w:tc>
        <w:tc>
          <w:tcPr>
            <w:tcW w:w="2114" w:type="dxa"/>
            <w:noWrap/>
          </w:tcPr>
          <w:p w:rsidR="001E3CBE" w:rsidRPr="001E3CBE" w:rsidRDefault="001E3CBE" w:rsidP="001E3CBE">
            <w:pPr>
              <w:spacing w:after="0" w:line="240" w:lineRule="auto"/>
              <w:jc w:val="center"/>
              <w:rPr>
                <w:rFonts w:asciiTheme="minorBidi" w:hAnsiTheme="minorBidi"/>
                <w:b/>
                <w:bCs/>
                <w:sz w:val="24"/>
                <w:szCs w:val="24"/>
              </w:rPr>
            </w:pPr>
          </w:p>
        </w:tc>
        <w:tc>
          <w:tcPr>
            <w:tcW w:w="1218" w:type="dxa"/>
            <w:noWrap/>
          </w:tcPr>
          <w:p w:rsidR="001E3CBE" w:rsidRPr="001E3CBE" w:rsidRDefault="001E3CBE" w:rsidP="001E3CBE">
            <w:pPr>
              <w:spacing w:after="0" w:line="240" w:lineRule="auto"/>
              <w:jc w:val="center"/>
              <w:rPr>
                <w:rFonts w:asciiTheme="minorBidi" w:hAnsiTheme="minorBidi"/>
                <w:b/>
                <w:bCs/>
                <w:sz w:val="24"/>
                <w:szCs w:val="24"/>
              </w:rPr>
            </w:pPr>
          </w:p>
        </w:tc>
        <w:tc>
          <w:tcPr>
            <w:tcW w:w="1523" w:type="dxa"/>
            <w:noWrap/>
          </w:tcPr>
          <w:p w:rsidR="001E3CBE" w:rsidRPr="001E3CBE" w:rsidRDefault="001E3CBE" w:rsidP="001E3CBE">
            <w:pPr>
              <w:spacing w:after="0" w:line="240" w:lineRule="auto"/>
              <w:jc w:val="center"/>
              <w:rPr>
                <w:rFonts w:asciiTheme="minorBidi" w:hAnsiTheme="minorBidi"/>
                <w:b/>
                <w:bCs/>
                <w:sz w:val="24"/>
                <w:szCs w:val="24"/>
              </w:rPr>
            </w:pPr>
          </w:p>
        </w:tc>
        <w:tc>
          <w:tcPr>
            <w:tcW w:w="1150" w:type="dxa"/>
            <w:noWrap/>
          </w:tcPr>
          <w:p w:rsidR="001E3CBE" w:rsidRPr="001E3CBE" w:rsidRDefault="001E3CBE" w:rsidP="001E3CBE">
            <w:pPr>
              <w:spacing w:after="0" w:line="240" w:lineRule="auto"/>
              <w:jc w:val="center"/>
              <w:rPr>
                <w:rFonts w:asciiTheme="minorBidi" w:hAnsiTheme="minorBidi"/>
                <w:b/>
                <w:bCs/>
                <w:sz w:val="24"/>
                <w:szCs w:val="24"/>
              </w:rPr>
            </w:pP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0.62</w:t>
            </w:r>
            <w:r w:rsidRPr="001E3CBE">
              <w:rPr>
                <w:rFonts w:asciiTheme="minorBidi" w:hAnsiTheme="minorBidi"/>
                <w:sz w:val="24"/>
                <w:szCs w:val="24"/>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0.789</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0.537</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0.554</w:t>
            </w:r>
            <w:r w:rsidRPr="001E3CBE">
              <w:rPr>
                <w:rFonts w:asciiTheme="minorBidi" w:hAnsiTheme="minorBidi"/>
                <w:sz w:val="24"/>
                <w:szCs w:val="24"/>
                <w:vertAlign w:val="superscript"/>
              </w:rPr>
              <w:t>1</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0.771</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0.16</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0.582</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0.406</w:t>
            </w:r>
            <w:r w:rsidRPr="001E3CBE">
              <w:rPr>
                <w:rFonts w:asciiTheme="minorBidi" w:hAnsiTheme="minorBidi"/>
                <w:sz w:val="24"/>
                <w:szCs w:val="24"/>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0.928</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0.493</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0.887</w:t>
            </w:r>
          </w:p>
        </w:tc>
      </w:tr>
      <w:tr w:rsidR="001E3CBE" w:rsidRPr="001E3CBE" w:rsidTr="001E3CBE">
        <w:trPr>
          <w:trHeight w:val="290"/>
        </w:trPr>
        <w:tc>
          <w:tcPr>
            <w:tcW w:w="1980"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114"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0.94</w:t>
            </w:r>
            <w:r w:rsidRPr="001E3CBE">
              <w:rPr>
                <w:rFonts w:asciiTheme="minorBidi" w:hAnsiTheme="minorBidi"/>
                <w:sz w:val="24"/>
                <w:szCs w:val="24"/>
                <w:vertAlign w:val="superscript"/>
              </w:rPr>
              <w:t>2</w:t>
            </w:r>
          </w:p>
        </w:tc>
        <w:tc>
          <w:tcPr>
            <w:tcW w:w="1218"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0.903</w:t>
            </w:r>
          </w:p>
        </w:tc>
        <w:tc>
          <w:tcPr>
            <w:tcW w:w="1523"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0.295</w:t>
            </w:r>
          </w:p>
        </w:tc>
        <w:tc>
          <w:tcPr>
            <w:tcW w:w="1150" w:type="dxa"/>
            <w:noWrap/>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0.933</w:t>
            </w:r>
          </w:p>
        </w:tc>
      </w:tr>
    </w:tbl>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r>
        <w:rPr>
          <w:rFonts w:asciiTheme="minorBidi" w:hAnsiTheme="minorBidi"/>
          <w:b/>
          <w:bCs/>
          <w:sz w:val="24"/>
          <w:szCs w:val="24"/>
        </w:rPr>
        <w:lastRenderedPageBreak/>
        <w:t>Supplementary table 6</w:t>
      </w:r>
      <w:r w:rsidRPr="001E3CBE">
        <w:rPr>
          <w:rFonts w:asciiTheme="minorBidi" w:hAnsiTheme="minorBidi"/>
          <w:sz w:val="24"/>
          <w:szCs w:val="24"/>
        </w:rPr>
        <w:t>: Comparison of p-values of ANOVA and independent student T-test</w:t>
      </w:r>
      <w:r w:rsidRPr="001E3CBE">
        <w:rPr>
          <w:rFonts w:asciiTheme="minorBidi" w:hAnsiTheme="minorBidi"/>
          <w:sz w:val="24"/>
          <w:szCs w:val="24"/>
          <w:vertAlign w:val="superscript"/>
        </w:rPr>
        <w:t>1</w:t>
      </w:r>
      <w:r w:rsidRPr="001E3CBE">
        <w:rPr>
          <w:rFonts w:asciiTheme="minorBidi" w:hAnsiTheme="minorBidi"/>
          <w:sz w:val="24"/>
          <w:szCs w:val="24"/>
        </w:rPr>
        <w:t xml:space="preserve"> or Mann Whitney U test</w:t>
      </w:r>
      <w:r w:rsidRPr="001E3CBE">
        <w:rPr>
          <w:rFonts w:asciiTheme="minorBidi" w:hAnsiTheme="minorBidi"/>
          <w:sz w:val="24"/>
          <w:szCs w:val="24"/>
          <w:vertAlign w:val="superscript"/>
        </w:rPr>
        <w:t>2</w:t>
      </w:r>
      <w:r w:rsidRPr="001E3CBE">
        <w:rPr>
          <w:rFonts w:asciiTheme="minorBidi" w:hAnsiTheme="minorBidi"/>
          <w:sz w:val="24"/>
          <w:szCs w:val="24"/>
        </w:rPr>
        <w:t xml:space="preserve"> (MWT) for sensitivity analysis of results of comparison of DNA methylation in rectal mucosal biopsies between Pre-Surgery and Non-Obese groups   </w:t>
      </w:r>
    </w:p>
    <w:tbl>
      <w:tblPr>
        <w:tblStyle w:val="TableGrid1"/>
        <w:tblpPr w:leftFromText="180" w:rightFromText="180" w:vertAnchor="text" w:horzAnchor="margin" w:tblpY="366"/>
        <w:tblW w:w="0" w:type="auto"/>
        <w:tblLook w:val="04A0" w:firstRow="1" w:lastRow="0" w:firstColumn="1" w:lastColumn="0" w:noHBand="0" w:noVBand="1"/>
      </w:tblPr>
      <w:tblGrid>
        <w:gridCol w:w="2412"/>
        <w:gridCol w:w="2403"/>
        <w:gridCol w:w="1088"/>
        <w:gridCol w:w="1463"/>
        <w:gridCol w:w="1418"/>
      </w:tblGrid>
      <w:tr w:rsidR="001E3CBE" w:rsidRPr="001E3CBE" w:rsidTr="001E3CBE">
        <w:trPr>
          <w:trHeight w:val="710"/>
        </w:trPr>
        <w:tc>
          <w:tcPr>
            <w:tcW w:w="2412" w:type="dxa"/>
            <w:vMerge w:val="restart"/>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 xml:space="preserve">Post-Surgery vs Non-Obese </w:t>
            </w:r>
          </w:p>
        </w:tc>
        <w:tc>
          <w:tcPr>
            <w:tcW w:w="2403" w:type="dxa"/>
            <w:vMerge w:val="restart"/>
            <w:noWrap/>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Independent Student T-test</w:t>
            </w:r>
            <w:r w:rsidRPr="001E3CBE">
              <w:rPr>
                <w:rFonts w:asciiTheme="minorBidi" w:hAnsiTheme="minorBidi"/>
                <w:b/>
                <w:bCs/>
                <w:sz w:val="24"/>
                <w:szCs w:val="24"/>
                <w:vertAlign w:val="superscript"/>
              </w:rPr>
              <w:t>1</w:t>
            </w:r>
            <w:r w:rsidRPr="001E3CBE">
              <w:rPr>
                <w:rFonts w:asciiTheme="minorBidi" w:hAnsiTheme="minorBidi"/>
                <w:b/>
                <w:bCs/>
                <w:sz w:val="24"/>
                <w:szCs w:val="24"/>
              </w:rPr>
              <w:t xml:space="preserve"> or MW test</w:t>
            </w:r>
            <w:r w:rsidRPr="001E3CBE">
              <w:rPr>
                <w:rFonts w:asciiTheme="minorBidi" w:hAnsiTheme="minorBidi"/>
                <w:b/>
                <w:bCs/>
                <w:sz w:val="24"/>
                <w:szCs w:val="24"/>
                <w:vertAlign w:val="superscript"/>
              </w:rPr>
              <w:t xml:space="preserve">2  </w:t>
            </w:r>
            <w:r w:rsidRPr="001E3CBE">
              <w:rPr>
                <w:rFonts w:asciiTheme="minorBidi" w:hAnsiTheme="minorBidi"/>
                <w:b/>
                <w:bCs/>
                <w:sz w:val="24"/>
                <w:szCs w:val="24"/>
              </w:rPr>
              <w:t>p-value</w:t>
            </w:r>
          </w:p>
        </w:tc>
        <w:tc>
          <w:tcPr>
            <w:tcW w:w="3969" w:type="dxa"/>
            <w:gridSpan w:val="3"/>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ANOVA</w:t>
            </w:r>
          </w:p>
        </w:tc>
      </w:tr>
      <w:tr w:rsidR="001E3CBE" w:rsidRPr="001E3CBE" w:rsidTr="001E3CBE">
        <w:trPr>
          <w:trHeight w:val="290"/>
        </w:trPr>
        <w:tc>
          <w:tcPr>
            <w:tcW w:w="2412" w:type="dxa"/>
            <w:vMerge/>
            <w:noWrap/>
            <w:hideMark/>
          </w:tcPr>
          <w:p w:rsidR="001E3CBE" w:rsidRPr="001E3CBE" w:rsidRDefault="001E3CBE" w:rsidP="001E3CBE">
            <w:pPr>
              <w:spacing w:after="0" w:line="240" w:lineRule="auto"/>
              <w:rPr>
                <w:rFonts w:asciiTheme="minorBidi" w:hAnsiTheme="minorBidi"/>
                <w:b/>
                <w:bCs/>
                <w:sz w:val="24"/>
                <w:szCs w:val="24"/>
              </w:rPr>
            </w:pPr>
          </w:p>
        </w:tc>
        <w:tc>
          <w:tcPr>
            <w:tcW w:w="2403" w:type="dxa"/>
            <w:vMerge/>
            <w:noWrap/>
            <w:hideMark/>
          </w:tcPr>
          <w:p w:rsidR="001E3CBE" w:rsidRPr="001E3CBE" w:rsidRDefault="001E3CBE" w:rsidP="001E3CBE">
            <w:pPr>
              <w:spacing w:after="0" w:line="240" w:lineRule="auto"/>
              <w:jc w:val="center"/>
              <w:rPr>
                <w:rFonts w:asciiTheme="minorBidi" w:hAnsiTheme="minorBidi"/>
                <w:b/>
                <w:bCs/>
                <w:sz w:val="24"/>
                <w:szCs w:val="24"/>
              </w:rPr>
            </w:pPr>
          </w:p>
        </w:tc>
        <w:tc>
          <w:tcPr>
            <w:tcW w:w="1088"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p-value</w:t>
            </w:r>
          </w:p>
        </w:tc>
        <w:tc>
          <w:tcPr>
            <w:tcW w:w="1463"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Age</w:t>
            </w:r>
          </w:p>
        </w:tc>
        <w:tc>
          <w:tcPr>
            <w:tcW w:w="1418"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Gender</w:t>
            </w:r>
          </w:p>
        </w:tc>
      </w:tr>
      <w:tr w:rsidR="001E3CBE" w:rsidRPr="001E3CBE" w:rsidTr="001E3CBE">
        <w:trPr>
          <w:trHeight w:val="290"/>
        </w:trPr>
        <w:tc>
          <w:tcPr>
            <w:tcW w:w="2412" w:type="dxa"/>
            <w:noWrap/>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IL6</w:t>
            </w:r>
          </w:p>
        </w:tc>
        <w:tc>
          <w:tcPr>
            <w:tcW w:w="2403" w:type="dxa"/>
            <w:noWrap/>
          </w:tcPr>
          <w:p w:rsidR="001E3CBE" w:rsidRPr="001E3CBE" w:rsidRDefault="001E3CBE" w:rsidP="001E3CBE">
            <w:pPr>
              <w:spacing w:after="0" w:line="240" w:lineRule="auto"/>
              <w:jc w:val="center"/>
              <w:rPr>
                <w:rFonts w:asciiTheme="minorBidi" w:hAnsiTheme="minorBidi"/>
                <w:sz w:val="24"/>
                <w:szCs w:val="24"/>
              </w:rPr>
            </w:pPr>
          </w:p>
        </w:tc>
        <w:tc>
          <w:tcPr>
            <w:tcW w:w="1088" w:type="dxa"/>
            <w:noWrap/>
          </w:tcPr>
          <w:p w:rsidR="001E3CBE" w:rsidRPr="001E3CBE" w:rsidRDefault="001E3CBE" w:rsidP="001E3CBE">
            <w:pPr>
              <w:spacing w:after="0" w:line="240" w:lineRule="auto"/>
              <w:rPr>
                <w:rFonts w:asciiTheme="minorBidi" w:hAnsiTheme="minorBidi"/>
                <w:sz w:val="24"/>
                <w:szCs w:val="24"/>
              </w:rPr>
            </w:pPr>
          </w:p>
        </w:tc>
        <w:tc>
          <w:tcPr>
            <w:tcW w:w="1463" w:type="dxa"/>
            <w:noWrap/>
          </w:tcPr>
          <w:p w:rsidR="001E3CBE" w:rsidRPr="001E3CBE" w:rsidRDefault="001E3CBE" w:rsidP="001E3CBE">
            <w:pPr>
              <w:spacing w:after="0" w:line="240" w:lineRule="auto"/>
              <w:rPr>
                <w:rFonts w:asciiTheme="minorBidi" w:hAnsiTheme="minorBidi"/>
                <w:sz w:val="24"/>
                <w:szCs w:val="24"/>
              </w:rPr>
            </w:pPr>
          </w:p>
        </w:tc>
        <w:tc>
          <w:tcPr>
            <w:tcW w:w="1418" w:type="dxa"/>
            <w:noWrap/>
          </w:tcPr>
          <w:p w:rsidR="001E3CBE" w:rsidRPr="001E3CBE" w:rsidRDefault="001E3CBE" w:rsidP="001E3CBE">
            <w:pPr>
              <w:spacing w:after="0" w:line="240" w:lineRule="auto"/>
              <w:rPr>
                <w:rFonts w:asciiTheme="minorBidi" w:hAnsiTheme="minorBidi"/>
                <w:sz w:val="24"/>
                <w:szCs w:val="24"/>
              </w:rPr>
            </w:pP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0.226</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0.432</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0.395</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0.155</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0.303</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0.417</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0.088</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0.157</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0.354</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0.401</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0.111</w:t>
            </w:r>
          </w:p>
        </w:tc>
      </w:tr>
      <w:tr w:rsidR="001E3CBE" w:rsidRPr="001E3CBE" w:rsidTr="001E3CBE">
        <w:trPr>
          <w:trHeight w:val="290"/>
        </w:trPr>
        <w:tc>
          <w:tcPr>
            <w:tcW w:w="2412" w:type="dxa"/>
            <w:noWrap/>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LEP</w:t>
            </w:r>
          </w:p>
        </w:tc>
        <w:tc>
          <w:tcPr>
            <w:tcW w:w="2403" w:type="dxa"/>
            <w:noWrap/>
          </w:tcPr>
          <w:p w:rsidR="001E3CBE" w:rsidRPr="001E3CBE" w:rsidRDefault="001E3CBE" w:rsidP="001E3CBE">
            <w:pPr>
              <w:spacing w:after="0" w:line="240" w:lineRule="auto"/>
              <w:jc w:val="center"/>
              <w:rPr>
                <w:rFonts w:asciiTheme="minorBidi" w:hAnsiTheme="minorBidi"/>
                <w:sz w:val="24"/>
                <w:szCs w:val="24"/>
              </w:rPr>
            </w:pPr>
          </w:p>
        </w:tc>
        <w:tc>
          <w:tcPr>
            <w:tcW w:w="1088" w:type="dxa"/>
            <w:noWrap/>
          </w:tcPr>
          <w:p w:rsidR="001E3CBE" w:rsidRPr="001E3CBE" w:rsidRDefault="001E3CBE" w:rsidP="001E3CBE">
            <w:pPr>
              <w:spacing w:after="0" w:line="240" w:lineRule="auto"/>
              <w:rPr>
                <w:rFonts w:asciiTheme="minorBidi" w:hAnsiTheme="minorBidi"/>
                <w:sz w:val="24"/>
                <w:szCs w:val="24"/>
              </w:rPr>
            </w:pPr>
          </w:p>
        </w:tc>
        <w:tc>
          <w:tcPr>
            <w:tcW w:w="1463" w:type="dxa"/>
            <w:noWrap/>
          </w:tcPr>
          <w:p w:rsidR="001E3CBE" w:rsidRPr="001E3CBE" w:rsidRDefault="001E3CBE" w:rsidP="001E3CBE">
            <w:pPr>
              <w:spacing w:after="0" w:line="240" w:lineRule="auto"/>
              <w:rPr>
                <w:rFonts w:asciiTheme="minorBidi" w:hAnsiTheme="minorBidi"/>
                <w:sz w:val="24"/>
                <w:szCs w:val="24"/>
              </w:rPr>
            </w:pPr>
          </w:p>
        </w:tc>
        <w:tc>
          <w:tcPr>
            <w:tcW w:w="1418" w:type="dxa"/>
            <w:noWrap/>
          </w:tcPr>
          <w:p w:rsidR="001E3CBE" w:rsidRPr="001E3CBE" w:rsidRDefault="001E3CBE" w:rsidP="001E3CBE">
            <w:pPr>
              <w:spacing w:after="0" w:line="240" w:lineRule="auto"/>
              <w:rPr>
                <w:rFonts w:asciiTheme="minorBidi" w:hAnsiTheme="minorBidi"/>
                <w:sz w:val="24"/>
                <w:szCs w:val="24"/>
              </w:rPr>
            </w:pP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0.27</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0.398</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0.172</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0.44</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0.766</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0.676</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0.129</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0.495</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0.441</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0.059</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0.991</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0.254</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0.348</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0.044</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0.547</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0.338</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0.069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0.824</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0.403</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LINE1</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088" w:type="dxa"/>
            <w:noWrap/>
            <w:hideMark/>
          </w:tcPr>
          <w:p w:rsidR="001E3CBE" w:rsidRPr="001E3CBE" w:rsidRDefault="001E3CBE" w:rsidP="001E3CBE">
            <w:pPr>
              <w:spacing w:after="0" w:line="240" w:lineRule="auto"/>
              <w:rPr>
                <w:rFonts w:asciiTheme="minorBidi" w:hAnsiTheme="minorBidi"/>
                <w:sz w:val="24"/>
                <w:szCs w:val="24"/>
              </w:rPr>
            </w:pPr>
          </w:p>
        </w:tc>
        <w:tc>
          <w:tcPr>
            <w:tcW w:w="1463" w:type="dxa"/>
            <w:noWrap/>
            <w:hideMark/>
          </w:tcPr>
          <w:p w:rsidR="001E3CBE" w:rsidRPr="001E3CBE" w:rsidRDefault="001E3CBE" w:rsidP="001E3CBE">
            <w:pPr>
              <w:spacing w:after="0" w:line="240" w:lineRule="auto"/>
              <w:rPr>
                <w:rFonts w:asciiTheme="minorBidi" w:hAnsiTheme="minorBidi"/>
                <w:sz w:val="24"/>
                <w:szCs w:val="24"/>
              </w:rPr>
            </w:pPr>
          </w:p>
        </w:tc>
        <w:tc>
          <w:tcPr>
            <w:tcW w:w="1418" w:type="dxa"/>
            <w:noWrap/>
            <w:hideMark/>
          </w:tcPr>
          <w:p w:rsidR="001E3CBE" w:rsidRPr="001E3CBE" w:rsidRDefault="001E3CBE" w:rsidP="001E3CBE">
            <w:pPr>
              <w:spacing w:after="0" w:line="240" w:lineRule="auto"/>
              <w:rPr>
                <w:rFonts w:asciiTheme="minorBidi" w:hAnsiTheme="minorBidi"/>
                <w:sz w:val="24"/>
                <w:szCs w:val="24"/>
              </w:rPr>
            </w:pP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0.945</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0.948</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0.064</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0.245</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0.835</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0.966</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0.163</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0.528</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0.466</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0.909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0.18</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0.611</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0.404</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0.573</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0.082</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0.456</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CpG5</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0.702</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0.567</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0.088</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0.528</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0.808</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0.973</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0.079</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0.511</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POMC</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088" w:type="dxa"/>
            <w:noWrap/>
            <w:hideMark/>
          </w:tcPr>
          <w:p w:rsidR="001E3CBE" w:rsidRPr="001E3CBE" w:rsidRDefault="001E3CBE" w:rsidP="001E3CBE">
            <w:pPr>
              <w:spacing w:after="0" w:line="240" w:lineRule="auto"/>
              <w:rPr>
                <w:rFonts w:asciiTheme="minorBidi" w:hAnsiTheme="minorBidi"/>
                <w:sz w:val="24"/>
                <w:szCs w:val="24"/>
              </w:rPr>
            </w:pPr>
          </w:p>
        </w:tc>
        <w:tc>
          <w:tcPr>
            <w:tcW w:w="1463" w:type="dxa"/>
            <w:noWrap/>
            <w:hideMark/>
          </w:tcPr>
          <w:p w:rsidR="001E3CBE" w:rsidRPr="001E3CBE" w:rsidRDefault="001E3CBE" w:rsidP="001E3CBE">
            <w:pPr>
              <w:spacing w:after="0" w:line="240" w:lineRule="auto"/>
              <w:rPr>
                <w:rFonts w:asciiTheme="minorBidi" w:hAnsiTheme="minorBidi"/>
                <w:sz w:val="24"/>
                <w:szCs w:val="24"/>
              </w:rPr>
            </w:pPr>
          </w:p>
        </w:tc>
        <w:tc>
          <w:tcPr>
            <w:tcW w:w="1418" w:type="dxa"/>
            <w:noWrap/>
            <w:hideMark/>
          </w:tcPr>
          <w:p w:rsidR="001E3CBE" w:rsidRPr="001E3CBE" w:rsidRDefault="001E3CBE" w:rsidP="001E3CBE">
            <w:pPr>
              <w:spacing w:after="0" w:line="240" w:lineRule="auto"/>
              <w:rPr>
                <w:rFonts w:asciiTheme="minorBidi" w:hAnsiTheme="minorBidi"/>
                <w:sz w:val="24"/>
                <w:szCs w:val="24"/>
              </w:rPr>
            </w:pP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0.397</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0.444</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0.798</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0.92</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0.723</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0.777</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0.678</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0.98</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0.318</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0.437</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0.344</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0.37</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0.452</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0.862</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0.722</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MAPK7</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088" w:type="dxa"/>
            <w:noWrap/>
            <w:hideMark/>
          </w:tcPr>
          <w:p w:rsidR="001E3CBE" w:rsidRPr="001E3CBE" w:rsidRDefault="001E3CBE" w:rsidP="001E3CBE">
            <w:pPr>
              <w:spacing w:after="0" w:line="240" w:lineRule="auto"/>
              <w:rPr>
                <w:rFonts w:asciiTheme="minorBidi" w:hAnsiTheme="minorBidi"/>
                <w:sz w:val="24"/>
                <w:szCs w:val="24"/>
              </w:rPr>
            </w:pPr>
          </w:p>
        </w:tc>
        <w:tc>
          <w:tcPr>
            <w:tcW w:w="1463" w:type="dxa"/>
            <w:noWrap/>
            <w:hideMark/>
          </w:tcPr>
          <w:p w:rsidR="001E3CBE" w:rsidRPr="001E3CBE" w:rsidRDefault="001E3CBE" w:rsidP="001E3CBE">
            <w:pPr>
              <w:spacing w:after="0" w:line="240" w:lineRule="auto"/>
              <w:rPr>
                <w:rFonts w:asciiTheme="minorBidi" w:hAnsiTheme="minorBidi"/>
                <w:sz w:val="24"/>
                <w:szCs w:val="24"/>
              </w:rPr>
            </w:pPr>
          </w:p>
        </w:tc>
        <w:tc>
          <w:tcPr>
            <w:tcW w:w="1418" w:type="dxa"/>
            <w:noWrap/>
            <w:hideMark/>
          </w:tcPr>
          <w:p w:rsidR="001E3CBE" w:rsidRPr="001E3CBE" w:rsidRDefault="001E3CBE" w:rsidP="001E3CBE">
            <w:pPr>
              <w:spacing w:after="0" w:line="240" w:lineRule="auto"/>
              <w:rPr>
                <w:rFonts w:asciiTheme="minorBidi" w:hAnsiTheme="minorBidi"/>
                <w:sz w:val="24"/>
                <w:szCs w:val="24"/>
              </w:rPr>
            </w:pP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0.336</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0.261</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0.049</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0.083</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b/>
                <w:bCs/>
                <w:sz w:val="24"/>
                <w:szCs w:val="24"/>
                <w:u w:val="single"/>
              </w:rPr>
            </w:pPr>
            <w:r w:rsidRPr="001E3CBE">
              <w:rPr>
                <w:rFonts w:asciiTheme="minorBidi" w:hAnsiTheme="minorBidi"/>
                <w:b/>
                <w:bCs/>
                <w:sz w:val="24"/>
                <w:szCs w:val="24"/>
                <w:u w:val="single"/>
              </w:rPr>
              <w:t>0.019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0.605</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0.086</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0.273</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0.579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0.158</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0.19</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CpG4</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0.107</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b/>
                <w:bCs/>
                <w:sz w:val="24"/>
                <w:szCs w:val="24"/>
                <w:u w:val="single"/>
              </w:rPr>
            </w:pPr>
            <w:r w:rsidRPr="001E3CBE">
              <w:rPr>
                <w:rFonts w:asciiTheme="minorBidi" w:hAnsiTheme="minorBidi"/>
                <w:b/>
                <w:bCs/>
                <w:sz w:val="24"/>
                <w:szCs w:val="24"/>
                <w:u w:val="single"/>
              </w:rPr>
              <w:t>0.05</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0.561</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0.183</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0.302</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0.11</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0.349</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0.086</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i/>
                <w:iCs/>
                <w:sz w:val="24"/>
                <w:szCs w:val="24"/>
              </w:rPr>
            </w:pPr>
            <w:r w:rsidRPr="001E3CBE">
              <w:rPr>
                <w:rFonts w:asciiTheme="majorBidi" w:hAnsiTheme="majorBidi" w:cstheme="majorBidi"/>
                <w:b/>
                <w:bCs/>
                <w:i/>
                <w:iCs/>
                <w:sz w:val="24"/>
                <w:szCs w:val="24"/>
              </w:rPr>
              <w:t>COX2</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088" w:type="dxa"/>
            <w:noWrap/>
            <w:hideMark/>
          </w:tcPr>
          <w:p w:rsidR="001E3CBE" w:rsidRPr="001E3CBE" w:rsidRDefault="001E3CBE" w:rsidP="001E3CBE">
            <w:pPr>
              <w:spacing w:after="0" w:line="240" w:lineRule="auto"/>
              <w:rPr>
                <w:rFonts w:asciiTheme="minorBidi" w:hAnsiTheme="minorBidi"/>
                <w:sz w:val="24"/>
                <w:szCs w:val="24"/>
              </w:rPr>
            </w:pPr>
          </w:p>
        </w:tc>
        <w:tc>
          <w:tcPr>
            <w:tcW w:w="1463" w:type="dxa"/>
            <w:noWrap/>
            <w:hideMark/>
          </w:tcPr>
          <w:p w:rsidR="001E3CBE" w:rsidRPr="001E3CBE" w:rsidRDefault="001E3CBE" w:rsidP="001E3CBE">
            <w:pPr>
              <w:spacing w:after="0" w:line="240" w:lineRule="auto"/>
              <w:rPr>
                <w:rFonts w:asciiTheme="minorBidi" w:hAnsiTheme="minorBidi"/>
                <w:sz w:val="24"/>
                <w:szCs w:val="24"/>
              </w:rPr>
            </w:pPr>
          </w:p>
        </w:tc>
        <w:tc>
          <w:tcPr>
            <w:tcW w:w="1418" w:type="dxa"/>
            <w:noWrap/>
            <w:hideMark/>
          </w:tcPr>
          <w:p w:rsidR="001E3CBE" w:rsidRPr="001E3CBE" w:rsidRDefault="001E3CBE" w:rsidP="001E3CBE">
            <w:pPr>
              <w:spacing w:after="0" w:line="240" w:lineRule="auto"/>
              <w:rPr>
                <w:rFonts w:asciiTheme="minorBidi" w:hAnsiTheme="minorBidi"/>
                <w:sz w:val="24"/>
                <w:szCs w:val="24"/>
              </w:rPr>
            </w:pP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CpG1</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0.519</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0.329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0.904</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0.078</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CpG2</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0.786</w:t>
            </w:r>
            <w:r w:rsidRPr="001E3CBE">
              <w:rPr>
                <w:rFonts w:asciiTheme="minorBidi" w:hAnsiTheme="minorBidi"/>
                <w:sz w:val="24"/>
                <w:szCs w:val="24"/>
                <w:vertAlign w:val="superscript"/>
              </w:rPr>
              <w:t>1</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0.819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0.41</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0.913</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CpG3</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0.093</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0.793</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0.697</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0.91</w:t>
            </w:r>
          </w:p>
        </w:tc>
      </w:tr>
      <w:tr w:rsidR="001E3CBE" w:rsidRPr="001E3CBE" w:rsidTr="001E3CBE">
        <w:trPr>
          <w:trHeight w:val="290"/>
        </w:trPr>
        <w:tc>
          <w:tcPr>
            <w:tcW w:w="2412" w:type="dxa"/>
            <w:noWrap/>
            <w:hideMark/>
          </w:tcPr>
          <w:p w:rsidR="001E3CBE" w:rsidRPr="001E3CBE" w:rsidRDefault="001E3CBE" w:rsidP="001E3CBE">
            <w:pPr>
              <w:spacing w:after="0"/>
              <w:rPr>
                <w:rFonts w:asciiTheme="majorBidi" w:hAnsiTheme="majorBidi" w:cstheme="majorBidi"/>
                <w:b/>
                <w:bCs/>
                <w:sz w:val="24"/>
                <w:szCs w:val="24"/>
              </w:rPr>
            </w:pPr>
            <w:r w:rsidRPr="001E3CBE">
              <w:rPr>
                <w:rFonts w:asciiTheme="majorBidi" w:hAnsiTheme="majorBidi" w:cstheme="majorBidi"/>
                <w:b/>
                <w:bCs/>
                <w:sz w:val="24"/>
                <w:szCs w:val="24"/>
              </w:rPr>
              <w:t>Mean</w:t>
            </w:r>
          </w:p>
        </w:tc>
        <w:tc>
          <w:tcPr>
            <w:tcW w:w="24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0.88</w:t>
            </w:r>
            <w:r w:rsidRPr="001E3CBE">
              <w:rPr>
                <w:rFonts w:asciiTheme="minorBidi" w:hAnsiTheme="minorBidi"/>
                <w:sz w:val="24"/>
                <w:szCs w:val="24"/>
                <w:vertAlign w:val="superscript"/>
              </w:rPr>
              <w:t>2</w:t>
            </w:r>
          </w:p>
        </w:tc>
        <w:tc>
          <w:tcPr>
            <w:tcW w:w="108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0.89</w:t>
            </w:r>
          </w:p>
        </w:tc>
        <w:tc>
          <w:tcPr>
            <w:tcW w:w="1463"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0.627</w:t>
            </w:r>
          </w:p>
        </w:tc>
        <w:tc>
          <w:tcPr>
            <w:tcW w:w="1418" w:type="dxa"/>
            <w:noWrap/>
            <w:hideMark/>
          </w:tcPr>
          <w:p w:rsidR="001E3CBE" w:rsidRPr="001E3CBE" w:rsidRDefault="001E3CBE" w:rsidP="001E3CBE">
            <w:pPr>
              <w:spacing w:after="0" w:line="240" w:lineRule="auto"/>
              <w:rPr>
                <w:rFonts w:asciiTheme="minorBidi" w:hAnsiTheme="minorBidi"/>
                <w:sz w:val="24"/>
                <w:szCs w:val="24"/>
              </w:rPr>
            </w:pPr>
            <w:r w:rsidRPr="001E3CBE">
              <w:rPr>
                <w:rFonts w:asciiTheme="minorBidi" w:hAnsiTheme="minorBidi"/>
                <w:sz w:val="24"/>
                <w:szCs w:val="24"/>
              </w:rPr>
              <w:t>0.563</w:t>
            </w:r>
          </w:p>
        </w:tc>
      </w:tr>
    </w:tbl>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sz w:val="24"/>
          <w:szCs w:val="24"/>
        </w:rPr>
      </w:pPr>
      <w:r w:rsidRPr="001E3CBE">
        <w:rPr>
          <w:rFonts w:asciiTheme="minorBidi" w:hAnsiTheme="minorBidi"/>
          <w:b/>
          <w:bCs/>
          <w:sz w:val="24"/>
          <w:szCs w:val="24"/>
        </w:rPr>
        <w:lastRenderedPageBreak/>
        <w:t xml:space="preserve">Supplementary Table </w:t>
      </w:r>
      <w:r>
        <w:rPr>
          <w:rFonts w:asciiTheme="minorBidi" w:hAnsiTheme="minorBidi"/>
          <w:b/>
          <w:bCs/>
          <w:sz w:val="24"/>
          <w:szCs w:val="24"/>
        </w:rPr>
        <w:t>7</w:t>
      </w:r>
      <w:r w:rsidRPr="001E3CBE">
        <w:rPr>
          <w:rFonts w:asciiTheme="minorBidi" w:hAnsiTheme="minorBidi"/>
          <w:sz w:val="24"/>
          <w:szCs w:val="24"/>
        </w:rPr>
        <w:t xml:space="preserve">: Methylation of selected genes in </w:t>
      </w:r>
      <w:proofErr w:type="spellStart"/>
      <w:r w:rsidRPr="001E3CBE">
        <w:rPr>
          <w:rFonts w:asciiTheme="minorBidi" w:hAnsiTheme="minorBidi"/>
          <w:sz w:val="24"/>
          <w:szCs w:val="24"/>
        </w:rPr>
        <w:t>cfDNA</w:t>
      </w:r>
      <w:proofErr w:type="spellEnd"/>
      <w:r w:rsidRPr="001E3CBE">
        <w:rPr>
          <w:rFonts w:asciiTheme="minorBidi" w:hAnsiTheme="minorBidi"/>
          <w:sz w:val="24"/>
          <w:szCs w:val="24"/>
        </w:rPr>
        <w:t xml:space="preserve"> from Obese individuals (Pre and Post Surgery) and Non-Obese Controls. </w:t>
      </w:r>
    </w:p>
    <w:tbl>
      <w:tblPr>
        <w:tblStyle w:val="TableGrid1"/>
        <w:tblpPr w:leftFromText="180" w:rightFromText="180" w:vertAnchor="text" w:horzAnchor="margin" w:tblpXSpec="center" w:tblpY="372"/>
        <w:tblW w:w="10410" w:type="dxa"/>
        <w:tblLook w:val="04A0" w:firstRow="1" w:lastRow="0" w:firstColumn="1" w:lastColumn="0" w:noHBand="0" w:noVBand="1"/>
      </w:tblPr>
      <w:tblGrid>
        <w:gridCol w:w="1591"/>
        <w:gridCol w:w="992"/>
        <w:gridCol w:w="1003"/>
        <w:gridCol w:w="870"/>
        <w:gridCol w:w="1104"/>
        <w:gridCol w:w="1003"/>
        <w:gridCol w:w="870"/>
        <w:gridCol w:w="1104"/>
        <w:gridCol w:w="1003"/>
        <w:gridCol w:w="870"/>
      </w:tblGrid>
      <w:tr w:rsidR="001E3CBE" w:rsidRPr="001E3CBE" w:rsidTr="001E3CBE">
        <w:trPr>
          <w:trHeight w:val="663"/>
        </w:trPr>
        <w:tc>
          <w:tcPr>
            <w:tcW w:w="1591" w:type="dxa"/>
            <w:noWrap/>
            <w:vAlign w:val="center"/>
          </w:tcPr>
          <w:p w:rsidR="001E3CBE" w:rsidRPr="001E3CBE" w:rsidRDefault="001E3CBE" w:rsidP="001E3CBE">
            <w:pPr>
              <w:spacing w:after="0" w:line="240" w:lineRule="auto"/>
              <w:jc w:val="center"/>
              <w:rPr>
                <w:rFonts w:asciiTheme="minorBidi" w:hAnsiTheme="minorBidi"/>
                <w:b/>
                <w:bCs/>
                <w:sz w:val="24"/>
                <w:szCs w:val="24"/>
              </w:rPr>
            </w:pPr>
            <w:proofErr w:type="spellStart"/>
            <w:r w:rsidRPr="001E3CBE">
              <w:rPr>
                <w:rFonts w:asciiTheme="minorBidi" w:hAnsiTheme="minorBidi"/>
                <w:b/>
                <w:bCs/>
                <w:sz w:val="24"/>
                <w:szCs w:val="24"/>
              </w:rPr>
              <w:t>cfDNA</w:t>
            </w:r>
            <w:proofErr w:type="spellEnd"/>
          </w:p>
        </w:tc>
        <w:tc>
          <w:tcPr>
            <w:tcW w:w="2865" w:type="dxa"/>
            <w:gridSpan w:val="3"/>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Pre-Surgery</w:t>
            </w:r>
          </w:p>
        </w:tc>
        <w:tc>
          <w:tcPr>
            <w:tcW w:w="2977" w:type="dxa"/>
            <w:gridSpan w:val="3"/>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Post-Surgery</w:t>
            </w:r>
          </w:p>
        </w:tc>
        <w:tc>
          <w:tcPr>
            <w:tcW w:w="2977" w:type="dxa"/>
            <w:gridSpan w:val="3"/>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Non-Obese</w:t>
            </w:r>
          </w:p>
        </w:tc>
      </w:tr>
      <w:tr w:rsidR="001E3CBE" w:rsidRPr="001E3CBE" w:rsidTr="001E3CBE">
        <w:trPr>
          <w:trHeight w:val="320"/>
        </w:trPr>
        <w:tc>
          <w:tcPr>
            <w:tcW w:w="1591" w:type="dxa"/>
            <w:noWrap/>
          </w:tcPr>
          <w:p w:rsidR="001E3CBE" w:rsidRPr="001E3CBE" w:rsidRDefault="001E3CBE" w:rsidP="001E3CBE">
            <w:pPr>
              <w:spacing w:after="0" w:line="240" w:lineRule="auto"/>
              <w:rPr>
                <w:rFonts w:asciiTheme="minorBidi" w:hAnsiTheme="minorBidi"/>
                <w:b/>
                <w:bCs/>
                <w:sz w:val="24"/>
                <w:szCs w:val="24"/>
              </w:rPr>
            </w:pPr>
          </w:p>
        </w:tc>
        <w:tc>
          <w:tcPr>
            <w:tcW w:w="992"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SWT</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p-value</w:t>
            </w:r>
          </w:p>
        </w:tc>
        <w:tc>
          <w:tcPr>
            <w:tcW w:w="1003"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Mean/</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Median</w:t>
            </w:r>
          </w:p>
        </w:tc>
        <w:tc>
          <w:tcPr>
            <w:tcW w:w="870"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SEM/</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Range</w:t>
            </w:r>
          </w:p>
        </w:tc>
        <w:tc>
          <w:tcPr>
            <w:tcW w:w="1104"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SWT</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p-value</w:t>
            </w:r>
          </w:p>
        </w:tc>
        <w:tc>
          <w:tcPr>
            <w:tcW w:w="1003"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Mean/</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Median</w:t>
            </w:r>
          </w:p>
        </w:tc>
        <w:tc>
          <w:tcPr>
            <w:tcW w:w="870"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SEM/</w:t>
            </w:r>
          </w:p>
          <w:p w:rsidR="001E3CBE" w:rsidRPr="001E3CBE" w:rsidRDefault="001E3CBE" w:rsidP="001E3CBE">
            <w:pPr>
              <w:spacing w:after="0" w:line="240" w:lineRule="auto"/>
              <w:jc w:val="center"/>
              <w:rPr>
                <w:rFonts w:asciiTheme="minorBidi" w:hAnsiTheme="minorBidi"/>
                <w:sz w:val="24"/>
                <w:szCs w:val="24"/>
              </w:rPr>
            </w:pPr>
            <w:r w:rsidRPr="001E3CBE">
              <w:rPr>
                <w:rFonts w:asciiTheme="majorBidi" w:hAnsiTheme="majorBidi" w:cstheme="majorBidi"/>
                <w:b/>
                <w:bCs/>
                <w:sz w:val="24"/>
                <w:szCs w:val="24"/>
              </w:rPr>
              <w:t>Range</w:t>
            </w:r>
          </w:p>
        </w:tc>
        <w:tc>
          <w:tcPr>
            <w:tcW w:w="1104"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SWT</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p-value</w:t>
            </w:r>
          </w:p>
        </w:tc>
        <w:tc>
          <w:tcPr>
            <w:tcW w:w="1003"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Mean/</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Median</w:t>
            </w:r>
          </w:p>
        </w:tc>
        <w:tc>
          <w:tcPr>
            <w:tcW w:w="870" w:type="dxa"/>
            <w:noWrap/>
          </w:tcPr>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SEM/</w:t>
            </w:r>
          </w:p>
          <w:p w:rsidR="001E3CBE" w:rsidRPr="001E3CBE" w:rsidRDefault="001E3CBE" w:rsidP="001E3CBE">
            <w:pPr>
              <w:spacing w:after="0" w:line="240" w:lineRule="auto"/>
              <w:jc w:val="center"/>
              <w:rPr>
                <w:rFonts w:asciiTheme="majorBidi" w:hAnsiTheme="majorBidi" w:cstheme="majorBidi"/>
                <w:b/>
                <w:bCs/>
                <w:sz w:val="24"/>
                <w:szCs w:val="24"/>
              </w:rPr>
            </w:pPr>
            <w:r w:rsidRPr="001E3CBE">
              <w:rPr>
                <w:rFonts w:asciiTheme="majorBidi" w:hAnsiTheme="majorBidi" w:cstheme="majorBidi"/>
                <w:b/>
                <w:bCs/>
                <w:sz w:val="24"/>
                <w:szCs w:val="24"/>
              </w:rPr>
              <w:t>Range</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IL6</w:t>
            </w:r>
          </w:p>
        </w:tc>
        <w:tc>
          <w:tcPr>
            <w:tcW w:w="2865"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n=24</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n=24</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n=12</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0.02</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47.4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39.5</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41.1</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3.3</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52.4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6.6</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0.48</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34.0</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41.7</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3.7</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0.35</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47.4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6.8</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37.9</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2.1</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0.71</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41.4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2.9</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49.9</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6.5</w:t>
            </w:r>
          </w:p>
        </w:tc>
      </w:tr>
      <w:tr w:rsidR="001E3CBE" w:rsidRPr="001E3CBE" w:rsidTr="001E3CBE">
        <w:trPr>
          <w:trHeight w:val="290"/>
        </w:trPr>
        <w:tc>
          <w:tcPr>
            <w:tcW w:w="10410" w:type="dxa"/>
            <w:gridSpan w:val="10"/>
            <w:noWrap/>
            <w:hideMark/>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LEP</w:t>
            </w:r>
          </w:p>
        </w:tc>
        <w:tc>
          <w:tcPr>
            <w:tcW w:w="2865"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n=20</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n=20</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n=7</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36.5</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2.6</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0.39</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36.2</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4.1</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41.8</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2.8</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0.54</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11.5</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1.1</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0.32</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10.6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1.7</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0.55</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17.5</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2.0</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0.95</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19.5</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1.5</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19.2</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0.11</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29.6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4.4</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42.7</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2.3</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32.5</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3.3</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0.73</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47.5</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4.3</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0.68</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27.6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1.7</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24.6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2.3</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0.35</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34.1</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2.4</w:t>
            </w:r>
          </w:p>
        </w:tc>
      </w:tr>
      <w:tr w:rsidR="001E3CBE" w:rsidRPr="001E3CBE" w:rsidTr="001E3CBE">
        <w:trPr>
          <w:trHeight w:val="300"/>
        </w:trPr>
        <w:tc>
          <w:tcPr>
            <w:tcW w:w="10410" w:type="dxa"/>
            <w:gridSpan w:val="10"/>
            <w:noWrap/>
            <w:hideMark/>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 xml:space="preserve">LINE1 </w:t>
            </w:r>
          </w:p>
        </w:tc>
        <w:tc>
          <w:tcPr>
            <w:tcW w:w="2865"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n=26</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n=26</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n=10</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83.0</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0.63</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81.4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0.94</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81.7</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1.4</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73.6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0.05</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73.3</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u w:val="single"/>
              </w:rPr>
            </w:pPr>
            <w:r w:rsidRPr="001E3CBE">
              <w:rPr>
                <w:rFonts w:asciiTheme="minorBidi" w:hAnsiTheme="minorBidi"/>
                <w:sz w:val="24"/>
                <w:szCs w:val="24"/>
                <w:u w:val="single"/>
              </w:rPr>
              <w:t>0.00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70.7</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36.4</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79.0</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0.63</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76.2</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0.61</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78.6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1.7</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79.6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0.72</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79.1</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0.23</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79.4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2.0</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CpG5</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61.0</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0.62</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59.7</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58.9</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75.3</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0.24</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73.9</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74.3</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1.5</w:t>
            </w:r>
          </w:p>
        </w:tc>
      </w:tr>
      <w:tr w:rsidR="001E3CBE" w:rsidRPr="001E3CBE" w:rsidTr="001E3CBE">
        <w:trPr>
          <w:trHeight w:val="290"/>
        </w:trPr>
        <w:tc>
          <w:tcPr>
            <w:tcW w:w="10410" w:type="dxa"/>
            <w:gridSpan w:val="10"/>
            <w:noWrap/>
            <w:hideMark/>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MAPK7</w:t>
            </w:r>
          </w:p>
        </w:tc>
        <w:tc>
          <w:tcPr>
            <w:tcW w:w="2865"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n=18</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n=18</w:t>
            </w:r>
          </w:p>
        </w:tc>
        <w:tc>
          <w:tcPr>
            <w:tcW w:w="2977" w:type="dxa"/>
            <w:gridSpan w:val="3"/>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n=10</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0.63</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42.2</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4.8</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0.23</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44.1</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33.8</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11.7</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992" w:type="dxa"/>
            <w:noWrap/>
            <w:hideMark/>
          </w:tcPr>
          <w:p w:rsidR="001E3CBE" w:rsidRPr="001E3CBE" w:rsidRDefault="001E3CBE" w:rsidP="001E3CBE">
            <w:pPr>
              <w:spacing w:after="0" w:line="240" w:lineRule="auto"/>
              <w:jc w:val="center"/>
              <w:rPr>
                <w:rFonts w:asciiTheme="minorBidi" w:hAnsiTheme="minorBidi"/>
                <w:sz w:val="24"/>
                <w:szCs w:val="24"/>
                <w:u w:val="single"/>
              </w:rPr>
            </w:pPr>
            <w:r w:rsidRPr="001E3CBE">
              <w:rPr>
                <w:rFonts w:asciiTheme="minorBidi" w:hAnsiTheme="minorBidi"/>
                <w:sz w:val="24"/>
                <w:szCs w:val="24"/>
                <w:u w:val="single"/>
              </w:rPr>
              <w:t>0.04</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87.4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58.5</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u w:val="single"/>
              </w:rPr>
            </w:pPr>
            <w:r w:rsidRPr="001E3CBE">
              <w:rPr>
                <w:rFonts w:asciiTheme="minorBidi" w:hAnsiTheme="minorBidi"/>
                <w:sz w:val="24"/>
                <w:szCs w:val="24"/>
                <w:u w:val="single"/>
              </w:rPr>
              <w:t>0.00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97.6</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67.7</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u w:val="single"/>
              </w:rPr>
            </w:pPr>
            <w:r w:rsidRPr="001E3CBE">
              <w:rPr>
                <w:rFonts w:asciiTheme="minorBidi" w:hAnsiTheme="minorBidi"/>
                <w:sz w:val="24"/>
                <w:szCs w:val="24"/>
                <w:u w:val="single"/>
              </w:rPr>
              <w:t>0.00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86.9</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100</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56.1</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4.2</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61.8</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7.1</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u w:val="single"/>
              </w:rPr>
            </w:pPr>
            <w:r w:rsidRPr="001E3CBE">
              <w:rPr>
                <w:rFonts w:asciiTheme="minorBidi" w:hAnsiTheme="minorBidi"/>
                <w:sz w:val="24"/>
                <w:szCs w:val="24"/>
                <w:u w:val="single"/>
              </w:rPr>
              <w:t>0.00</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88.2</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100</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0.81</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42.8</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3.4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52.4</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6.0</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65.3</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11.1</w:t>
            </w:r>
          </w:p>
        </w:tc>
      </w:tr>
      <w:tr w:rsidR="001E3CBE" w:rsidRPr="001E3CBE" w:rsidTr="001E3CBE">
        <w:trPr>
          <w:trHeight w:val="320"/>
        </w:trPr>
        <w:tc>
          <w:tcPr>
            <w:tcW w:w="1591"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992"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0.84</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55.8</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2.6</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61.1</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5.4</w:t>
            </w:r>
          </w:p>
        </w:tc>
        <w:tc>
          <w:tcPr>
            <w:tcW w:w="110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w:t>
            </w:r>
          </w:p>
        </w:tc>
        <w:tc>
          <w:tcPr>
            <w:tcW w:w="100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61.5</w:t>
            </w:r>
          </w:p>
        </w:tc>
        <w:tc>
          <w:tcPr>
            <w:tcW w:w="8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6.8</w:t>
            </w:r>
          </w:p>
        </w:tc>
      </w:tr>
    </w:tbl>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rPr>
      </w:pPr>
    </w:p>
    <w:p w:rsidR="001E3CBE" w:rsidRPr="001E3CBE" w:rsidRDefault="001E3CBE" w:rsidP="001E3CBE">
      <w:pPr>
        <w:spacing w:after="160" w:line="259" w:lineRule="auto"/>
        <w:rPr>
          <w:rFonts w:asciiTheme="minorBidi" w:hAnsiTheme="minorBidi"/>
          <w:b/>
          <w:bCs/>
        </w:rPr>
      </w:pPr>
      <w:r w:rsidRPr="001E3CBE">
        <w:rPr>
          <w:rFonts w:asciiTheme="minorBidi" w:hAnsiTheme="minorBidi"/>
        </w:rPr>
        <w:t xml:space="preserve">(SWT:  Shapiro Wilk test of normality, results are expressed in a) mean and standard errors of mean (SEM) for parametric data or b) Median and range for non-parametric data, significant p-value is defined &lt;0.05) </w:t>
      </w: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sz w:val="24"/>
          <w:szCs w:val="24"/>
        </w:rPr>
      </w:pPr>
      <w:r w:rsidRPr="001E3CBE">
        <w:rPr>
          <w:rFonts w:asciiTheme="minorBidi" w:hAnsiTheme="minorBidi"/>
          <w:b/>
          <w:bCs/>
          <w:sz w:val="24"/>
          <w:szCs w:val="24"/>
        </w:rPr>
        <w:lastRenderedPageBreak/>
        <w:t>Supplementary table</w:t>
      </w:r>
      <w:r>
        <w:rPr>
          <w:rFonts w:asciiTheme="minorBidi" w:hAnsiTheme="minorBidi"/>
          <w:b/>
          <w:bCs/>
          <w:sz w:val="24"/>
          <w:szCs w:val="24"/>
        </w:rPr>
        <w:t xml:space="preserve"> 8</w:t>
      </w:r>
      <w:r w:rsidRPr="001E3CBE">
        <w:rPr>
          <w:rFonts w:asciiTheme="minorBidi" w:hAnsiTheme="minorBidi"/>
          <w:b/>
          <w:bCs/>
          <w:sz w:val="24"/>
          <w:szCs w:val="24"/>
        </w:rPr>
        <w:t xml:space="preserve">: </w:t>
      </w:r>
      <w:r w:rsidRPr="001E3CBE">
        <w:rPr>
          <w:rFonts w:asciiTheme="minorBidi" w:hAnsiTheme="minorBidi"/>
          <w:sz w:val="24"/>
          <w:szCs w:val="24"/>
        </w:rPr>
        <w:t xml:space="preserve"> Comparison of p-values of ANOVA </w:t>
      </w:r>
      <w:r w:rsidRPr="001E3CBE">
        <w:rPr>
          <w:rFonts w:asciiTheme="minorBidi" w:hAnsiTheme="minorBidi"/>
          <w:sz w:val="24"/>
          <w:szCs w:val="24"/>
          <w:vertAlign w:val="superscript"/>
        </w:rPr>
        <w:t>(*)</w:t>
      </w:r>
      <w:r w:rsidRPr="001E3CBE">
        <w:rPr>
          <w:rFonts w:asciiTheme="minorBidi" w:hAnsiTheme="minorBidi"/>
          <w:sz w:val="24"/>
          <w:szCs w:val="24"/>
        </w:rPr>
        <w:t xml:space="preserve"> and Paired Student T-test </w:t>
      </w:r>
      <w:r w:rsidRPr="001E3CBE">
        <w:rPr>
          <w:rFonts w:asciiTheme="minorBidi" w:hAnsiTheme="minorBidi"/>
          <w:sz w:val="24"/>
          <w:szCs w:val="24"/>
          <w:vertAlign w:val="superscript"/>
        </w:rPr>
        <w:t xml:space="preserve">(1) </w:t>
      </w:r>
      <w:r w:rsidRPr="001E3CBE">
        <w:rPr>
          <w:rFonts w:asciiTheme="minorBidi" w:hAnsiTheme="minorBidi"/>
          <w:sz w:val="24"/>
          <w:szCs w:val="24"/>
        </w:rPr>
        <w:t xml:space="preserve">or Wilcoxon signed rank test </w:t>
      </w:r>
      <w:r w:rsidRPr="001E3CBE">
        <w:rPr>
          <w:rFonts w:asciiTheme="minorBidi" w:hAnsiTheme="minorBidi"/>
          <w:sz w:val="24"/>
          <w:szCs w:val="24"/>
          <w:vertAlign w:val="superscript"/>
        </w:rPr>
        <w:t>(</w:t>
      </w:r>
      <w:r w:rsidRPr="001E3CBE">
        <w:rPr>
          <w:rFonts w:asciiTheme="minorBidi" w:hAnsiTheme="minorBidi"/>
          <w:b/>
          <w:bCs/>
          <w:sz w:val="24"/>
          <w:szCs w:val="24"/>
          <w:vertAlign w:val="superscript"/>
        </w:rPr>
        <w:t xml:space="preserve">2) </w:t>
      </w:r>
      <w:r w:rsidRPr="001E3CBE">
        <w:rPr>
          <w:rFonts w:asciiTheme="minorBidi" w:hAnsiTheme="minorBidi"/>
          <w:sz w:val="24"/>
          <w:szCs w:val="24"/>
        </w:rPr>
        <w:t xml:space="preserve">of methylation of specific genetic loci in rectal mucosal biopsies between Non-Obese, Pre-Surgery and Post-Surgery group </w:t>
      </w:r>
    </w:p>
    <w:p w:rsidR="001E3CBE" w:rsidRPr="001E3CBE" w:rsidRDefault="001E3CBE" w:rsidP="001E3CBE">
      <w:pPr>
        <w:spacing w:after="160" w:line="259" w:lineRule="auto"/>
        <w:rPr>
          <w:rFonts w:asciiTheme="minorBidi" w:hAnsiTheme="minorBidi"/>
          <w:b/>
          <w:bCs/>
          <w:sz w:val="24"/>
          <w:szCs w:val="24"/>
        </w:rPr>
      </w:pPr>
    </w:p>
    <w:tbl>
      <w:tblPr>
        <w:tblStyle w:val="TableGrid1"/>
        <w:tblW w:w="0" w:type="auto"/>
        <w:tblInd w:w="137" w:type="dxa"/>
        <w:tblLook w:val="04A0" w:firstRow="1" w:lastRow="0" w:firstColumn="1" w:lastColumn="0" w:noHBand="0" w:noVBand="1"/>
      </w:tblPr>
      <w:tblGrid>
        <w:gridCol w:w="1743"/>
        <w:gridCol w:w="2651"/>
        <w:gridCol w:w="2127"/>
        <w:gridCol w:w="1984"/>
      </w:tblGrid>
      <w:tr w:rsidR="001E3CBE" w:rsidRPr="001E3CBE" w:rsidTr="001E3CBE">
        <w:trPr>
          <w:trHeight w:val="290"/>
        </w:trPr>
        <w:tc>
          <w:tcPr>
            <w:tcW w:w="1743" w:type="dxa"/>
            <w:noWrap/>
            <w:vAlign w:val="center"/>
            <w:hideMark/>
          </w:tcPr>
          <w:p w:rsidR="001E3CBE" w:rsidRPr="001E3CBE" w:rsidRDefault="001E3CBE" w:rsidP="001E3CBE">
            <w:pPr>
              <w:spacing w:after="0" w:line="240" w:lineRule="auto"/>
              <w:jc w:val="center"/>
              <w:rPr>
                <w:rFonts w:asciiTheme="minorBidi" w:hAnsiTheme="minorBidi"/>
                <w:b/>
                <w:bCs/>
                <w:sz w:val="24"/>
                <w:szCs w:val="24"/>
              </w:rPr>
            </w:pPr>
            <w:proofErr w:type="spellStart"/>
            <w:r w:rsidRPr="001E3CBE">
              <w:rPr>
                <w:rFonts w:asciiTheme="minorBidi" w:hAnsiTheme="minorBidi"/>
                <w:b/>
                <w:bCs/>
                <w:sz w:val="24"/>
                <w:szCs w:val="24"/>
              </w:rPr>
              <w:t>cfDNA</w:t>
            </w:r>
            <w:proofErr w:type="spellEnd"/>
          </w:p>
        </w:tc>
        <w:tc>
          <w:tcPr>
            <w:tcW w:w="2651" w:type="dxa"/>
            <w:noWrap/>
            <w:vAlign w:val="center"/>
            <w:hideMark/>
          </w:tcPr>
          <w:p w:rsidR="001E3CBE" w:rsidRPr="001E3CBE" w:rsidRDefault="001E3CBE" w:rsidP="001E3CBE">
            <w:pPr>
              <w:spacing w:after="0"/>
              <w:jc w:val="center"/>
              <w:rPr>
                <w:rFonts w:asciiTheme="minorBidi" w:hAnsiTheme="minorBidi"/>
                <w:b/>
                <w:bCs/>
                <w:sz w:val="24"/>
                <w:szCs w:val="24"/>
              </w:rPr>
            </w:pPr>
            <w:r w:rsidRPr="001E3CBE">
              <w:rPr>
                <w:rFonts w:asciiTheme="minorBidi" w:hAnsiTheme="minorBidi"/>
                <w:b/>
                <w:bCs/>
                <w:sz w:val="24"/>
                <w:szCs w:val="24"/>
              </w:rPr>
              <w:t>Obese (Pre-surgery) vs Non-Obese *</w:t>
            </w:r>
          </w:p>
        </w:tc>
        <w:tc>
          <w:tcPr>
            <w:tcW w:w="2127" w:type="dxa"/>
            <w:noWrap/>
            <w:vAlign w:val="center"/>
            <w:hideMark/>
          </w:tcPr>
          <w:p w:rsidR="001E3CBE" w:rsidRPr="001E3CBE" w:rsidRDefault="001E3CBE" w:rsidP="001E3CBE">
            <w:pPr>
              <w:spacing w:after="0"/>
              <w:jc w:val="center"/>
              <w:rPr>
                <w:rFonts w:asciiTheme="minorBidi" w:hAnsiTheme="minorBidi"/>
                <w:b/>
                <w:bCs/>
                <w:sz w:val="24"/>
                <w:szCs w:val="24"/>
              </w:rPr>
            </w:pPr>
            <w:r w:rsidRPr="001E3CBE">
              <w:rPr>
                <w:rFonts w:asciiTheme="minorBidi" w:hAnsiTheme="minorBidi"/>
                <w:b/>
                <w:bCs/>
                <w:sz w:val="24"/>
                <w:szCs w:val="24"/>
              </w:rPr>
              <w:t>Pre-Surgery vs Post-Surgery</w:t>
            </w:r>
          </w:p>
        </w:tc>
        <w:tc>
          <w:tcPr>
            <w:tcW w:w="1984" w:type="dxa"/>
            <w:noWrap/>
            <w:vAlign w:val="center"/>
            <w:hideMark/>
          </w:tcPr>
          <w:p w:rsidR="001E3CBE" w:rsidRPr="001E3CBE" w:rsidRDefault="001E3CBE" w:rsidP="001E3CBE">
            <w:pPr>
              <w:spacing w:after="0"/>
              <w:jc w:val="center"/>
              <w:rPr>
                <w:rFonts w:asciiTheme="minorBidi" w:hAnsiTheme="minorBidi"/>
                <w:b/>
                <w:bCs/>
                <w:sz w:val="24"/>
                <w:szCs w:val="24"/>
              </w:rPr>
            </w:pPr>
            <w:r w:rsidRPr="001E3CBE">
              <w:rPr>
                <w:rFonts w:asciiTheme="minorBidi" w:hAnsiTheme="minorBidi"/>
                <w:b/>
                <w:bCs/>
                <w:sz w:val="24"/>
                <w:szCs w:val="24"/>
              </w:rPr>
              <w:t>Post-Surgery vs Non-Obese*</w:t>
            </w:r>
          </w:p>
        </w:tc>
      </w:tr>
      <w:tr w:rsidR="001E3CBE" w:rsidRPr="001E3CBE" w:rsidTr="001E3CBE">
        <w:trPr>
          <w:trHeight w:val="320"/>
        </w:trPr>
        <w:tc>
          <w:tcPr>
            <w:tcW w:w="8505" w:type="dxa"/>
            <w:gridSpan w:val="4"/>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IL6</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0.058</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0.511</w:t>
            </w:r>
            <w:r w:rsidRPr="001E3CBE">
              <w:rPr>
                <w:rFonts w:asciiTheme="minorBidi" w:hAnsiTheme="minorBidi"/>
                <w:sz w:val="24"/>
                <w:szCs w:val="24"/>
                <w:vertAlign w:val="superscript"/>
              </w:rPr>
              <w:t>2</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0.061</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6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0.022</w:t>
            </w:r>
          </w:p>
        </w:tc>
        <w:tc>
          <w:tcPr>
            <w:tcW w:w="2127" w:type="dxa"/>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0.046</w:t>
            </w:r>
            <w:r w:rsidRPr="001E3CBE">
              <w:rPr>
                <w:rFonts w:asciiTheme="minorBidi" w:hAnsiTheme="minorBidi"/>
                <w:b/>
                <w:bCs/>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0.355</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6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0.027</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0.272</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w:t>
            </w:r>
          </w:p>
        </w:tc>
      </w:tr>
      <w:tr w:rsidR="001E3CBE" w:rsidRPr="001E3CBE" w:rsidTr="001E3CBE">
        <w:trPr>
          <w:trHeight w:val="320"/>
        </w:trPr>
        <w:tc>
          <w:tcPr>
            <w:tcW w:w="8505" w:type="dxa"/>
            <w:gridSpan w:val="4"/>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LEP</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0.306</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0.921</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0.469</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6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0.004</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0.636</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0.029</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6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0.011</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0.901</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0.008</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26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0.007</w:t>
            </w:r>
          </w:p>
        </w:tc>
        <w:tc>
          <w:tcPr>
            <w:tcW w:w="2127"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0.002</w:t>
            </w:r>
            <w:r w:rsidRPr="001E3CBE">
              <w:rPr>
                <w:rFonts w:asciiTheme="minorBidi" w:hAnsiTheme="minorBidi"/>
                <w:b/>
                <w:bCs/>
                <w:sz w:val="24"/>
                <w:szCs w:val="24"/>
                <w:u w:val="single"/>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0.006</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6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0.008</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0.151</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0.015</w:t>
            </w:r>
          </w:p>
        </w:tc>
      </w:tr>
      <w:tr w:rsidR="001E3CBE" w:rsidRPr="001E3CBE" w:rsidTr="001E3CBE">
        <w:trPr>
          <w:trHeight w:val="320"/>
        </w:trPr>
        <w:tc>
          <w:tcPr>
            <w:tcW w:w="8505" w:type="dxa"/>
            <w:gridSpan w:val="4"/>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LINE1</w:t>
            </w:r>
          </w:p>
        </w:tc>
      </w:tr>
      <w:tr w:rsidR="001E3CBE" w:rsidRPr="001E3CBE" w:rsidTr="001E3CBE">
        <w:trPr>
          <w:trHeight w:val="320"/>
        </w:trPr>
        <w:tc>
          <w:tcPr>
            <w:tcW w:w="1743" w:type="dxa"/>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0.405</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0.174</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0.608</w:t>
            </w:r>
          </w:p>
        </w:tc>
      </w:tr>
      <w:tr w:rsidR="001E3CBE" w:rsidRPr="001E3CBE" w:rsidTr="001E3CBE">
        <w:trPr>
          <w:trHeight w:val="320"/>
        </w:trPr>
        <w:tc>
          <w:tcPr>
            <w:tcW w:w="1743" w:type="dxa"/>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0.628</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0.659</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0.823</w:t>
            </w:r>
          </w:p>
        </w:tc>
      </w:tr>
      <w:tr w:rsidR="001E3CBE" w:rsidRPr="001E3CBE" w:rsidTr="001E3CBE">
        <w:trPr>
          <w:trHeight w:val="320"/>
        </w:trPr>
        <w:tc>
          <w:tcPr>
            <w:tcW w:w="1743" w:type="dxa"/>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0.268</w:t>
            </w:r>
          </w:p>
        </w:tc>
        <w:tc>
          <w:tcPr>
            <w:tcW w:w="2127"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w:t>
            </w:r>
            <w:r w:rsidRPr="001E3CBE">
              <w:rPr>
                <w:rFonts w:asciiTheme="minorBidi" w:hAnsiTheme="minorBidi"/>
                <w:b/>
                <w:bCs/>
                <w:sz w:val="24"/>
                <w:szCs w:val="24"/>
                <w:u w:val="single"/>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0.245</w:t>
            </w:r>
          </w:p>
        </w:tc>
      </w:tr>
      <w:tr w:rsidR="001E3CBE" w:rsidRPr="001E3CBE" w:rsidTr="001E3CBE">
        <w:trPr>
          <w:trHeight w:val="320"/>
        </w:trPr>
        <w:tc>
          <w:tcPr>
            <w:tcW w:w="1743" w:type="dxa"/>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0.538</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0.55</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0.438</w:t>
            </w:r>
          </w:p>
        </w:tc>
      </w:tr>
      <w:tr w:rsidR="001E3CBE" w:rsidRPr="001E3CBE" w:rsidTr="001E3CBE">
        <w:trPr>
          <w:trHeight w:val="320"/>
        </w:trPr>
        <w:tc>
          <w:tcPr>
            <w:tcW w:w="1743" w:type="dxa"/>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CpG5</w:t>
            </w:r>
          </w:p>
        </w:tc>
        <w:tc>
          <w:tcPr>
            <w:tcW w:w="2651"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0.003</w:t>
            </w:r>
          </w:p>
        </w:tc>
        <w:tc>
          <w:tcPr>
            <w:tcW w:w="2127"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0.023</w:t>
            </w:r>
            <w:r w:rsidRPr="001E3CBE">
              <w:rPr>
                <w:rFonts w:asciiTheme="minorBidi" w:hAnsiTheme="minorBidi"/>
                <w:b/>
                <w:bCs/>
                <w:sz w:val="24"/>
                <w:szCs w:val="24"/>
                <w:u w:val="single"/>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0.176</w:t>
            </w:r>
          </w:p>
        </w:tc>
      </w:tr>
      <w:tr w:rsidR="001E3CBE" w:rsidRPr="001E3CBE" w:rsidTr="001E3CBE">
        <w:trPr>
          <w:trHeight w:val="320"/>
        </w:trPr>
        <w:tc>
          <w:tcPr>
            <w:tcW w:w="1743" w:type="dxa"/>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0.218</w:t>
            </w:r>
          </w:p>
        </w:tc>
        <w:tc>
          <w:tcPr>
            <w:tcW w:w="2127"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0.043</w:t>
            </w:r>
            <w:r w:rsidRPr="001E3CBE">
              <w:rPr>
                <w:rFonts w:asciiTheme="minorBidi" w:hAnsiTheme="minorBidi"/>
                <w:b/>
                <w:bCs/>
                <w:sz w:val="24"/>
                <w:szCs w:val="24"/>
                <w:u w:val="single"/>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0.73</w:t>
            </w:r>
          </w:p>
        </w:tc>
      </w:tr>
      <w:tr w:rsidR="001E3CBE" w:rsidRPr="001E3CBE" w:rsidTr="001E3CBE">
        <w:trPr>
          <w:trHeight w:val="320"/>
        </w:trPr>
        <w:tc>
          <w:tcPr>
            <w:tcW w:w="8505" w:type="dxa"/>
            <w:gridSpan w:val="4"/>
            <w:noWrap/>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MAPK7</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0.835</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0.315</w:t>
            </w:r>
          </w:p>
        </w:tc>
      </w:tr>
      <w:tr w:rsidR="001E3CBE" w:rsidRPr="001E3CBE" w:rsidTr="001E3CBE">
        <w:trPr>
          <w:trHeight w:val="320"/>
        </w:trPr>
        <w:tc>
          <w:tcPr>
            <w:tcW w:w="1743" w:type="dxa"/>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0.953</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w:t>
            </w:r>
            <w:r w:rsidRPr="001E3CBE">
              <w:rPr>
                <w:rFonts w:asciiTheme="minorBidi" w:hAnsiTheme="minorBidi"/>
                <w:sz w:val="24"/>
                <w:szCs w:val="24"/>
                <w:vertAlign w:val="superscript"/>
              </w:rPr>
              <w:t>2</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0.646</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0.423</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0.478</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0.966</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0.101</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0.22</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0.611</w:t>
            </w:r>
          </w:p>
        </w:tc>
      </w:tr>
      <w:tr w:rsidR="001E3CBE" w:rsidRPr="001E3CBE" w:rsidTr="001E3CBE">
        <w:trPr>
          <w:trHeight w:val="320"/>
        </w:trPr>
        <w:tc>
          <w:tcPr>
            <w:tcW w:w="1743"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2651"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0.53</w:t>
            </w:r>
          </w:p>
        </w:tc>
        <w:tc>
          <w:tcPr>
            <w:tcW w:w="212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0.413</w:t>
            </w:r>
            <w:r w:rsidRPr="001E3CBE">
              <w:rPr>
                <w:rFonts w:asciiTheme="minorBidi" w:hAnsiTheme="minorBidi"/>
                <w:sz w:val="24"/>
                <w:szCs w:val="24"/>
                <w:vertAlign w:val="superscript"/>
              </w:rPr>
              <w:t>1</w:t>
            </w:r>
          </w:p>
        </w:tc>
        <w:tc>
          <w:tcPr>
            <w:tcW w:w="198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0.715</w:t>
            </w:r>
          </w:p>
        </w:tc>
      </w:tr>
    </w:tbl>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r>
        <w:rPr>
          <w:rFonts w:asciiTheme="minorBidi" w:hAnsiTheme="minorBidi"/>
          <w:b/>
          <w:bCs/>
          <w:sz w:val="24"/>
          <w:szCs w:val="24"/>
        </w:rPr>
        <w:lastRenderedPageBreak/>
        <w:t>Supplementary table 9</w:t>
      </w:r>
      <w:r w:rsidRPr="001E3CBE">
        <w:rPr>
          <w:rFonts w:asciiTheme="minorBidi" w:hAnsiTheme="minorBidi"/>
          <w:sz w:val="24"/>
          <w:szCs w:val="24"/>
        </w:rPr>
        <w:t>: Comparison of p-values of ANOVA and independent student T-test</w:t>
      </w:r>
      <w:r w:rsidRPr="001E3CBE">
        <w:rPr>
          <w:rFonts w:asciiTheme="minorBidi" w:hAnsiTheme="minorBidi"/>
          <w:sz w:val="24"/>
          <w:szCs w:val="24"/>
          <w:vertAlign w:val="superscript"/>
        </w:rPr>
        <w:t>1</w:t>
      </w:r>
      <w:r w:rsidRPr="001E3CBE">
        <w:rPr>
          <w:rFonts w:asciiTheme="minorBidi" w:hAnsiTheme="minorBidi"/>
          <w:sz w:val="24"/>
          <w:szCs w:val="24"/>
        </w:rPr>
        <w:t xml:space="preserve"> (parameter data) or Mann Whitney U test</w:t>
      </w:r>
      <w:r w:rsidRPr="001E3CBE">
        <w:rPr>
          <w:rFonts w:asciiTheme="minorBidi" w:hAnsiTheme="minorBidi"/>
          <w:sz w:val="24"/>
          <w:szCs w:val="24"/>
          <w:vertAlign w:val="superscript"/>
        </w:rPr>
        <w:t>2</w:t>
      </w:r>
      <w:r w:rsidRPr="001E3CBE">
        <w:rPr>
          <w:rFonts w:asciiTheme="minorBidi" w:hAnsiTheme="minorBidi"/>
          <w:sz w:val="24"/>
          <w:szCs w:val="24"/>
        </w:rPr>
        <w:t xml:space="preserve"> (MW test, non-parametric data) for sensitivity analysis of results of comparison of DNA methylation in </w:t>
      </w:r>
      <w:proofErr w:type="spellStart"/>
      <w:r w:rsidRPr="001E3CBE">
        <w:rPr>
          <w:rFonts w:asciiTheme="minorBidi" w:hAnsiTheme="minorBidi"/>
          <w:sz w:val="24"/>
          <w:szCs w:val="24"/>
        </w:rPr>
        <w:t>cfDNA</w:t>
      </w:r>
      <w:proofErr w:type="spellEnd"/>
      <w:r w:rsidRPr="001E3CBE">
        <w:rPr>
          <w:rFonts w:asciiTheme="minorBidi" w:hAnsiTheme="minorBidi"/>
          <w:sz w:val="24"/>
          <w:szCs w:val="24"/>
        </w:rPr>
        <w:t xml:space="preserve"> between Pre-Surgery and Control groups   </w:t>
      </w:r>
    </w:p>
    <w:p w:rsidR="001E3CBE" w:rsidRPr="001E3CBE" w:rsidRDefault="001E3CBE" w:rsidP="001E3CBE">
      <w:pPr>
        <w:spacing w:after="160" w:line="259" w:lineRule="auto"/>
        <w:rPr>
          <w:rFonts w:asciiTheme="minorBidi" w:hAnsiTheme="minorBidi"/>
          <w:b/>
          <w:bCs/>
          <w:sz w:val="24"/>
          <w:szCs w:val="24"/>
        </w:rPr>
      </w:pPr>
    </w:p>
    <w:tbl>
      <w:tblPr>
        <w:tblStyle w:val="TableGrid1"/>
        <w:tblW w:w="0" w:type="auto"/>
        <w:tblInd w:w="936" w:type="dxa"/>
        <w:tblLook w:val="04A0" w:firstRow="1" w:lastRow="0" w:firstColumn="1" w:lastColumn="0" w:noHBand="0" w:noVBand="1"/>
      </w:tblPr>
      <w:tblGrid>
        <w:gridCol w:w="2400"/>
        <w:gridCol w:w="1643"/>
        <w:gridCol w:w="1083"/>
        <w:gridCol w:w="960"/>
        <w:gridCol w:w="1057"/>
      </w:tblGrid>
      <w:tr w:rsidR="001E3CBE" w:rsidRPr="001E3CBE" w:rsidTr="001E3CBE">
        <w:trPr>
          <w:trHeight w:val="664"/>
        </w:trPr>
        <w:tc>
          <w:tcPr>
            <w:tcW w:w="2400" w:type="dxa"/>
            <w:vMerge w:val="restart"/>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 xml:space="preserve">Pre-Surgery vs Non-Obese </w:t>
            </w:r>
          </w:p>
        </w:tc>
        <w:tc>
          <w:tcPr>
            <w:tcW w:w="1643" w:type="dxa"/>
            <w:vMerge w:val="restart"/>
            <w:noWrap/>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Independent Student T-test</w:t>
            </w:r>
            <w:r w:rsidRPr="001E3CBE">
              <w:rPr>
                <w:rFonts w:asciiTheme="minorBidi" w:hAnsiTheme="minorBidi"/>
                <w:b/>
                <w:bCs/>
                <w:sz w:val="24"/>
                <w:szCs w:val="24"/>
                <w:vertAlign w:val="superscript"/>
              </w:rPr>
              <w:t>1</w:t>
            </w:r>
            <w:r w:rsidRPr="001E3CBE">
              <w:rPr>
                <w:rFonts w:asciiTheme="minorBidi" w:hAnsiTheme="minorBidi"/>
                <w:b/>
                <w:bCs/>
                <w:sz w:val="24"/>
                <w:szCs w:val="24"/>
              </w:rPr>
              <w:t xml:space="preserve"> or MW test</w:t>
            </w:r>
            <w:r w:rsidRPr="001E3CBE">
              <w:rPr>
                <w:rFonts w:asciiTheme="minorBidi" w:hAnsiTheme="minorBidi"/>
                <w:b/>
                <w:bCs/>
                <w:sz w:val="24"/>
                <w:szCs w:val="24"/>
                <w:vertAlign w:val="superscript"/>
              </w:rPr>
              <w:t xml:space="preserve">2  </w:t>
            </w:r>
          </w:p>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p-value</w:t>
            </w:r>
          </w:p>
        </w:tc>
        <w:tc>
          <w:tcPr>
            <w:tcW w:w="3100" w:type="dxa"/>
            <w:gridSpan w:val="3"/>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ANOVA</w:t>
            </w:r>
          </w:p>
        </w:tc>
      </w:tr>
      <w:tr w:rsidR="001E3CBE" w:rsidRPr="001E3CBE" w:rsidTr="001E3CBE">
        <w:trPr>
          <w:trHeight w:val="320"/>
        </w:trPr>
        <w:tc>
          <w:tcPr>
            <w:tcW w:w="2400" w:type="dxa"/>
            <w:vMerge/>
            <w:noWrap/>
            <w:hideMark/>
          </w:tcPr>
          <w:p w:rsidR="001E3CBE" w:rsidRPr="001E3CBE" w:rsidRDefault="001E3CBE" w:rsidP="001E3CBE">
            <w:pPr>
              <w:spacing w:after="0" w:line="240" w:lineRule="auto"/>
              <w:rPr>
                <w:rFonts w:asciiTheme="minorBidi" w:hAnsiTheme="minorBidi"/>
                <w:b/>
                <w:bCs/>
                <w:sz w:val="24"/>
                <w:szCs w:val="24"/>
              </w:rPr>
            </w:pPr>
          </w:p>
        </w:tc>
        <w:tc>
          <w:tcPr>
            <w:tcW w:w="1643" w:type="dxa"/>
            <w:vMerge/>
            <w:noWrap/>
            <w:hideMark/>
          </w:tcPr>
          <w:p w:rsidR="001E3CBE" w:rsidRPr="001E3CBE" w:rsidRDefault="001E3CBE" w:rsidP="001E3CBE">
            <w:pPr>
              <w:spacing w:after="0" w:line="240" w:lineRule="auto"/>
              <w:rPr>
                <w:rFonts w:asciiTheme="minorBidi" w:hAnsiTheme="minorBidi"/>
                <w:b/>
                <w:bCs/>
                <w:sz w:val="24"/>
                <w:szCs w:val="24"/>
              </w:rPr>
            </w:pPr>
          </w:p>
        </w:tc>
        <w:tc>
          <w:tcPr>
            <w:tcW w:w="1083" w:type="dxa"/>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p-value</w:t>
            </w:r>
          </w:p>
        </w:tc>
        <w:tc>
          <w:tcPr>
            <w:tcW w:w="960" w:type="dxa"/>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Age</w:t>
            </w:r>
          </w:p>
        </w:tc>
        <w:tc>
          <w:tcPr>
            <w:tcW w:w="1057" w:type="dxa"/>
            <w:noWrap/>
            <w:vAlign w:val="center"/>
            <w:hideMark/>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Gender</w:t>
            </w:r>
          </w:p>
        </w:tc>
      </w:tr>
      <w:tr w:rsidR="001E3CBE" w:rsidRPr="001E3CBE" w:rsidTr="001E3CBE">
        <w:trPr>
          <w:trHeight w:val="320"/>
        </w:trPr>
        <w:tc>
          <w:tcPr>
            <w:tcW w:w="7143" w:type="dxa"/>
            <w:gridSpan w:val="5"/>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i/>
                <w:iCs/>
                <w:sz w:val="24"/>
                <w:szCs w:val="24"/>
              </w:rPr>
              <w:t>IL6</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0.169</w:t>
            </w:r>
            <w:r w:rsidRPr="001E3CBE">
              <w:rPr>
                <w:rFonts w:asciiTheme="minorBidi" w:hAnsiTheme="minorBidi"/>
                <w:sz w:val="24"/>
                <w:szCs w:val="24"/>
                <w:vertAlign w:val="superscript"/>
              </w:rPr>
              <w:t>2</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0.058</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0.074</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0.724</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0.082</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0.022</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0.296</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0.584</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0.101</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0.027</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0.137</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0.633</w:t>
            </w:r>
          </w:p>
        </w:tc>
      </w:tr>
      <w:tr w:rsidR="001E3CBE" w:rsidRPr="001E3CBE" w:rsidTr="001E3CBE">
        <w:trPr>
          <w:trHeight w:val="310"/>
        </w:trPr>
        <w:tc>
          <w:tcPr>
            <w:tcW w:w="7143" w:type="dxa"/>
            <w:gridSpan w:val="5"/>
            <w:noWrap/>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i/>
                <w:iCs/>
                <w:sz w:val="24"/>
                <w:szCs w:val="24"/>
              </w:rPr>
              <w:t>LEP</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0.27</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0.306</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0.49</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0.971</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64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0.037</w:t>
            </w:r>
            <w:r w:rsidRPr="001E3CBE">
              <w:rPr>
                <w:rFonts w:asciiTheme="minorBidi" w:hAnsiTheme="minorBidi"/>
                <w:b/>
                <w:bCs/>
                <w:sz w:val="24"/>
                <w:szCs w:val="24"/>
                <w:u w:val="single"/>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0.004</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0.207</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0.161</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164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0.041</w:t>
            </w:r>
            <w:r w:rsidRPr="001E3CBE">
              <w:rPr>
                <w:rFonts w:asciiTheme="minorBidi" w:hAnsiTheme="minorBidi"/>
                <w:b/>
                <w:bCs/>
                <w:sz w:val="24"/>
                <w:szCs w:val="24"/>
                <w:u w:val="single"/>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0.011</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0.036</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0.121</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164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0.021</w:t>
            </w:r>
            <w:r w:rsidRPr="001E3CBE">
              <w:rPr>
                <w:rFonts w:asciiTheme="minorBidi" w:hAnsiTheme="minorBidi"/>
                <w:b/>
                <w:bCs/>
                <w:sz w:val="24"/>
                <w:szCs w:val="24"/>
                <w:u w:val="single"/>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0.007</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0.01</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0.722</w:t>
            </w:r>
          </w:p>
        </w:tc>
      </w:tr>
      <w:tr w:rsidR="001E3CBE" w:rsidRPr="001E3CBE" w:rsidTr="001E3CBE">
        <w:trPr>
          <w:trHeight w:val="30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64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0.032</w:t>
            </w:r>
            <w:r w:rsidRPr="001E3CBE">
              <w:rPr>
                <w:rFonts w:asciiTheme="minorBidi" w:hAnsiTheme="minorBidi"/>
                <w:b/>
                <w:bCs/>
                <w:sz w:val="24"/>
                <w:szCs w:val="24"/>
                <w:u w:val="single"/>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0.008</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0.039</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0.542</w:t>
            </w:r>
          </w:p>
        </w:tc>
      </w:tr>
      <w:tr w:rsidR="001E3CBE" w:rsidRPr="001E3CBE" w:rsidTr="001E3CBE">
        <w:trPr>
          <w:trHeight w:val="330"/>
        </w:trPr>
        <w:tc>
          <w:tcPr>
            <w:tcW w:w="7143" w:type="dxa"/>
            <w:gridSpan w:val="5"/>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 xml:space="preserve">LINE1 </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0.405</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0.781</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0.481</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0.077</w:t>
            </w:r>
            <w:r w:rsidRPr="001E3CBE">
              <w:rPr>
                <w:rFonts w:asciiTheme="minorBidi" w:hAnsiTheme="minorBidi"/>
                <w:sz w:val="24"/>
                <w:szCs w:val="24"/>
                <w:vertAlign w:val="superscript"/>
              </w:rPr>
              <w:t>2</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0.628</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0.326</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0.74</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0.803</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0.268</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0.456</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0.045</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0.893</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0.538</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0.437</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0.489</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CpG5</w:t>
            </w:r>
          </w:p>
        </w:tc>
        <w:tc>
          <w:tcPr>
            <w:tcW w:w="164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0.015</w:t>
            </w:r>
            <w:r w:rsidRPr="001E3CBE">
              <w:rPr>
                <w:rFonts w:asciiTheme="minorBidi" w:hAnsiTheme="minorBidi"/>
                <w:b/>
                <w:bCs/>
                <w:sz w:val="24"/>
                <w:szCs w:val="24"/>
                <w:u w:val="single"/>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0.003</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0.981</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0.009</w:t>
            </w:r>
          </w:p>
        </w:tc>
      </w:tr>
      <w:tr w:rsidR="001E3CBE" w:rsidRPr="001E3CBE" w:rsidTr="001E3CBE">
        <w:trPr>
          <w:trHeight w:val="30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0.459</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0.218</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0.51</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0.256</w:t>
            </w:r>
          </w:p>
        </w:tc>
      </w:tr>
      <w:tr w:rsidR="001E3CBE" w:rsidRPr="001E3CBE" w:rsidTr="001E3CBE">
        <w:trPr>
          <w:trHeight w:val="330"/>
        </w:trPr>
        <w:tc>
          <w:tcPr>
            <w:tcW w:w="7143" w:type="dxa"/>
            <w:gridSpan w:val="5"/>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MAPK7</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0.519</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0.331</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0.747</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0.033</w:t>
            </w:r>
            <w:r w:rsidRPr="001E3CBE">
              <w:rPr>
                <w:rFonts w:asciiTheme="minorBidi" w:hAnsiTheme="minorBidi"/>
                <w:sz w:val="24"/>
                <w:szCs w:val="24"/>
                <w:vertAlign w:val="superscript"/>
              </w:rPr>
              <w:t>2</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0.953</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0.482</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0.102</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0.388</w:t>
            </w:r>
            <w:r w:rsidRPr="001E3CBE">
              <w:rPr>
                <w:rFonts w:asciiTheme="minorBidi" w:hAnsiTheme="minorBidi"/>
                <w:sz w:val="24"/>
                <w:szCs w:val="24"/>
                <w:vertAlign w:val="superscript"/>
              </w:rPr>
              <w:t>2</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0.423</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0.26</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0.195</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0.077</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0.101</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0.784</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0.092</w:t>
            </w:r>
          </w:p>
        </w:tc>
      </w:tr>
      <w:tr w:rsidR="001E3CBE" w:rsidRPr="001E3CBE" w:rsidTr="001E3CBE">
        <w:trPr>
          <w:trHeight w:val="320"/>
        </w:trPr>
        <w:tc>
          <w:tcPr>
            <w:tcW w:w="240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64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0.449</w:t>
            </w:r>
            <w:r w:rsidRPr="001E3CBE">
              <w:rPr>
                <w:rFonts w:asciiTheme="minorBidi" w:hAnsiTheme="minorBidi"/>
                <w:sz w:val="24"/>
                <w:szCs w:val="24"/>
                <w:vertAlign w:val="superscript"/>
              </w:rPr>
              <w:t>1</w:t>
            </w:r>
          </w:p>
        </w:tc>
        <w:tc>
          <w:tcPr>
            <w:tcW w:w="1083"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0.53</w:t>
            </w:r>
          </w:p>
        </w:tc>
        <w:tc>
          <w:tcPr>
            <w:tcW w:w="96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0.19</w:t>
            </w:r>
          </w:p>
        </w:tc>
        <w:tc>
          <w:tcPr>
            <w:tcW w:w="1057"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0.44</w:t>
            </w:r>
          </w:p>
        </w:tc>
      </w:tr>
    </w:tbl>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p>
    <w:p w:rsidR="001E3CBE" w:rsidRPr="001E3CBE" w:rsidRDefault="001E3CBE" w:rsidP="001E3CBE">
      <w:pPr>
        <w:spacing w:after="160" w:line="259" w:lineRule="auto"/>
        <w:rPr>
          <w:rFonts w:asciiTheme="minorBidi" w:hAnsiTheme="minorBidi"/>
          <w:b/>
          <w:bCs/>
          <w:sz w:val="24"/>
          <w:szCs w:val="24"/>
        </w:rPr>
      </w:pPr>
      <w:r w:rsidRPr="001E3CBE">
        <w:rPr>
          <w:rFonts w:asciiTheme="minorBidi" w:hAnsiTheme="minorBidi"/>
          <w:b/>
          <w:bCs/>
          <w:sz w:val="24"/>
          <w:szCs w:val="24"/>
        </w:rPr>
        <w:lastRenderedPageBreak/>
        <w:t xml:space="preserve">Supplementary table </w:t>
      </w:r>
      <w:r>
        <w:rPr>
          <w:rFonts w:asciiTheme="minorBidi" w:hAnsiTheme="minorBidi"/>
          <w:b/>
          <w:bCs/>
          <w:sz w:val="24"/>
          <w:szCs w:val="24"/>
        </w:rPr>
        <w:t>10</w:t>
      </w:r>
      <w:r w:rsidRPr="001E3CBE">
        <w:rPr>
          <w:rFonts w:asciiTheme="minorBidi" w:hAnsiTheme="minorBidi"/>
          <w:sz w:val="24"/>
          <w:szCs w:val="24"/>
        </w:rPr>
        <w:t>: Comparison of p-values of ANOVA and independent student T-test</w:t>
      </w:r>
      <w:r w:rsidRPr="001E3CBE">
        <w:rPr>
          <w:rFonts w:asciiTheme="minorBidi" w:hAnsiTheme="minorBidi"/>
          <w:sz w:val="24"/>
          <w:szCs w:val="24"/>
          <w:vertAlign w:val="superscript"/>
        </w:rPr>
        <w:t>1</w:t>
      </w:r>
      <w:r w:rsidRPr="001E3CBE">
        <w:rPr>
          <w:rFonts w:asciiTheme="minorBidi" w:hAnsiTheme="minorBidi"/>
          <w:sz w:val="24"/>
          <w:szCs w:val="24"/>
        </w:rPr>
        <w:t xml:space="preserve"> (parameter data) or Mann Whitney U test</w:t>
      </w:r>
      <w:r w:rsidRPr="001E3CBE">
        <w:rPr>
          <w:rFonts w:asciiTheme="minorBidi" w:hAnsiTheme="minorBidi"/>
          <w:sz w:val="24"/>
          <w:szCs w:val="24"/>
          <w:vertAlign w:val="superscript"/>
        </w:rPr>
        <w:t>2</w:t>
      </w:r>
      <w:r w:rsidRPr="001E3CBE">
        <w:rPr>
          <w:rFonts w:asciiTheme="minorBidi" w:hAnsiTheme="minorBidi"/>
          <w:sz w:val="24"/>
          <w:szCs w:val="24"/>
        </w:rPr>
        <w:t xml:space="preserve"> (MW test, non-parametric data) for sensitivity analysis of results of comparison of DNA methylation in </w:t>
      </w:r>
      <w:proofErr w:type="spellStart"/>
      <w:r w:rsidRPr="001E3CBE">
        <w:rPr>
          <w:rFonts w:asciiTheme="minorBidi" w:hAnsiTheme="minorBidi"/>
          <w:sz w:val="24"/>
          <w:szCs w:val="24"/>
        </w:rPr>
        <w:t>cfDNA</w:t>
      </w:r>
      <w:proofErr w:type="spellEnd"/>
      <w:r w:rsidRPr="001E3CBE">
        <w:rPr>
          <w:rFonts w:asciiTheme="minorBidi" w:hAnsiTheme="minorBidi"/>
          <w:sz w:val="24"/>
          <w:szCs w:val="24"/>
        </w:rPr>
        <w:t xml:space="preserve"> between Post-Surgery and Non Obese groups   </w:t>
      </w:r>
    </w:p>
    <w:p w:rsidR="001E3CBE" w:rsidRPr="001E3CBE" w:rsidRDefault="001E3CBE" w:rsidP="001E3CBE">
      <w:pPr>
        <w:spacing w:after="160" w:line="259" w:lineRule="auto"/>
        <w:rPr>
          <w:rFonts w:asciiTheme="minorBidi" w:hAnsiTheme="minorBidi"/>
          <w:b/>
          <w:bCs/>
          <w:sz w:val="24"/>
          <w:szCs w:val="24"/>
        </w:rPr>
      </w:pPr>
    </w:p>
    <w:tbl>
      <w:tblPr>
        <w:tblStyle w:val="TableGrid1"/>
        <w:tblW w:w="0" w:type="auto"/>
        <w:tblInd w:w="-5" w:type="dxa"/>
        <w:tblLook w:val="04A0" w:firstRow="1" w:lastRow="0" w:firstColumn="1" w:lastColumn="0" w:noHBand="0" w:noVBand="1"/>
      </w:tblPr>
      <w:tblGrid>
        <w:gridCol w:w="2410"/>
        <w:gridCol w:w="1785"/>
        <w:gridCol w:w="1334"/>
        <w:gridCol w:w="1276"/>
        <w:gridCol w:w="1370"/>
      </w:tblGrid>
      <w:tr w:rsidR="001E3CBE" w:rsidRPr="001E3CBE" w:rsidTr="001E3CBE">
        <w:trPr>
          <w:trHeight w:val="568"/>
        </w:trPr>
        <w:tc>
          <w:tcPr>
            <w:tcW w:w="2410" w:type="dxa"/>
            <w:vMerge w:val="restart"/>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 xml:space="preserve">Post-Surgery vs Non-Obese </w:t>
            </w:r>
          </w:p>
        </w:tc>
        <w:tc>
          <w:tcPr>
            <w:tcW w:w="1785" w:type="dxa"/>
            <w:vMerge w:val="restart"/>
            <w:noWrap/>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Independent Student T-test</w:t>
            </w:r>
            <w:r w:rsidRPr="001E3CBE">
              <w:rPr>
                <w:rFonts w:asciiTheme="minorBidi" w:hAnsiTheme="minorBidi"/>
                <w:b/>
                <w:bCs/>
                <w:sz w:val="24"/>
                <w:szCs w:val="24"/>
                <w:vertAlign w:val="superscript"/>
              </w:rPr>
              <w:t>1</w:t>
            </w:r>
            <w:r w:rsidRPr="001E3CBE">
              <w:rPr>
                <w:rFonts w:asciiTheme="minorBidi" w:hAnsiTheme="minorBidi"/>
                <w:b/>
                <w:bCs/>
                <w:sz w:val="24"/>
                <w:szCs w:val="24"/>
              </w:rPr>
              <w:t xml:space="preserve"> or MW test</w:t>
            </w:r>
            <w:r w:rsidRPr="001E3CBE">
              <w:rPr>
                <w:rFonts w:asciiTheme="minorBidi" w:hAnsiTheme="minorBidi"/>
                <w:b/>
                <w:bCs/>
                <w:sz w:val="24"/>
                <w:szCs w:val="24"/>
                <w:vertAlign w:val="superscript"/>
              </w:rPr>
              <w:t>2</w:t>
            </w:r>
          </w:p>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p-value</w:t>
            </w:r>
          </w:p>
        </w:tc>
        <w:tc>
          <w:tcPr>
            <w:tcW w:w="3980" w:type="dxa"/>
            <w:gridSpan w:val="3"/>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ANOVA</w:t>
            </w:r>
          </w:p>
        </w:tc>
      </w:tr>
      <w:tr w:rsidR="001E3CBE" w:rsidRPr="001E3CBE" w:rsidTr="001E3CBE">
        <w:trPr>
          <w:trHeight w:val="320"/>
        </w:trPr>
        <w:tc>
          <w:tcPr>
            <w:tcW w:w="2410" w:type="dxa"/>
            <w:vMerge/>
            <w:noWrap/>
          </w:tcPr>
          <w:p w:rsidR="001E3CBE" w:rsidRPr="001E3CBE" w:rsidRDefault="001E3CBE" w:rsidP="001E3CBE">
            <w:pPr>
              <w:spacing w:after="0" w:line="240" w:lineRule="auto"/>
              <w:rPr>
                <w:rFonts w:asciiTheme="minorBidi" w:hAnsiTheme="minorBidi"/>
                <w:b/>
                <w:bCs/>
                <w:sz w:val="24"/>
                <w:szCs w:val="24"/>
              </w:rPr>
            </w:pPr>
          </w:p>
        </w:tc>
        <w:tc>
          <w:tcPr>
            <w:tcW w:w="1785" w:type="dxa"/>
            <w:vMerge/>
            <w:noWrap/>
          </w:tcPr>
          <w:p w:rsidR="001E3CBE" w:rsidRPr="001E3CBE" w:rsidRDefault="001E3CBE" w:rsidP="001E3CBE">
            <w:pPr>
              <w:spacing w:after="0" w:line="240" w:lineRule="auto"/>
              <w:jc w:val="center"/>
              <w:rPr>
                <w:rFonts w:asciiTheme="minorBidi" w:hAnsiTheme="minorBidi"/>
                <w:b/>
                <w:bCs/>
                <w:sz w:val="24"/>
                <w:szCs w:val="24"/>
              </w:rPr>
            </w:pPr>
          </w:p>
        </w:tc>
        <w:tc>
          <w:tcPr>
            <w:tcW w:w="1334" w:type="dxa"/>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p-value</w:t>
            </w:r>
          </w:p>
        </w:tc>
        <w:tc>
          <w:tcPr>
            <w:tcW w:w="1276" w:type="dxa"/>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Age</w:t>
            </w:r>
          </w:p>
        </w:tc>
        <w:tc>
          <w:tcPr>
            <w:tcW w:w="1370" w:type="dxa"/>
            <w:noWrap/>
            <w:vAlign w:val="center"/>
          </w:tcPr>
          <w:p w:rsidR="001E3CBE" w:rsidRPr="001E3CBE" w:rsidRDefault="001E3CBE" w:rsidP="001E3CBE">
            <w:pPr>
              <w:spacing w:after="0" w:line="240" w:lineRule="auto"/>
              <w:jc w:val="center"/>
              <w:rPr>
                <w:rFonts w:asciiTheme="minorBidi" w:hAnsiTheme="minorBidi"/>
                <w:b/>
                <w:bCs/>
                <w:sz w:val="24"/>
                <w:szCs w:val="24"/>
              </w:rPr>
            </w:pPr>
            <w:r w:rsidRPr="001E3CBE">
              <w:rPr>
                <w:rFonts w:asciiTheme="minorBidi" w:hAnsiTheme="minorBidi"/>
                <w:b/>
                <w:bCs/>
                <w:sz w:val="24"/>
                <w:szCs w:val="24"/>
              </w:rPr>
              <w:t>Gender</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IL6</w:t>
            </w:r>
          </w:p>
        </w:tc>
        <w:tc>
          <w:tcPr>
            <w:tcW w:w="1785" w:type="dxa"/>
            <w:noWrap/>
            <w:hideMark/>
          </w:tcPr>
          <w:p w:rsidR="001E3CBE" w:rsidRPr="001E3CBE" w:rsidRDefault="001E3CBE" w:rsidP="001E3CBE">
            <w:pPr>
              <w:spacing w:after="0" w:line="240" w:lineRule="auto"/>
              <w:jc w:val="center"/>
              <w:rPr>
                <w:rFonts w:asciiTheme="minorBidi" w:hAnsiTheme="minorBidi"/>
                <w:b/>
                <w:bCs/>
                <w:sz w:val="24"/>
                <w:szCs w:val="24"/>
              </w:rPr>
            </w:pPr>
          </w:p>
        </w:tc>
        <w:tc>
          <w:tcPr>
            <w:tcW w:w="1334" w:type="dxa"/>
            <w:noWrap/>
            <w:hideMark/>
          </w:tcPr>
          <w:p w:rsidR="001E3CBE" w:rsidRPr="001E3CBE" w:rsidRDefault="001E3CBE" w:rsidP="001E3CBE">
            <w:pPr>
              <w:spacing w:after="0" w:line="240" w:lineRule="auto"/>
              <w:jc w:val="center"/>
              <w:rPr>
                <w:rFonts w:asciiTheme="minorBidi" w:hAnsiTheme="minorBidi"/>
                <w:b/>
                <w:bCs/>
                <w:sz w:val="24"/>
                <w:szCs w:val="24"/>
              </w:rPr>
            </w:pPr>
          </w:p>
        </w:tc>
        <w:tc>
          <w:tcPr>
            <w:tcW w:w="1276" w:type="dxa"/>
            <w:noWrap/>
            <w:hideMark/>
          </w:tcPr>
          <w:p w:rsidR="001E3CBE" w:rsidRPr="001E3CBE" w:rsidRDefault="001E3CBE" w:rsidP="001E3CBE">
            <w:pPr>
              <w:spacing w:after="0" w:line="240" w:lineRule="auto"/>
              <w:jc w:val="center"/>
              <w:rPr>
                <w:rFonts w:asciiTheme="minorBidi" w:hAnsiTheme="minorBidi"/>
                <w:b/>
                <w:bCs/>
                <w:sz w:val="24"/>
                <w:szCs w:val="24"/>
              </w:rPr>
            </w:pPr>
          </w:p>
        </w:tc>
        <w:tc>
          <w:tcPr>
            <w:tcW w:w="1370" w:type="dxa"/>
            <w:noWrap/>
            <w:hideMark/>
          </w:tcPr>
          <w:p w:rsidR="001E3CBE" w:rsidRPr="001E3CBE" w:rsidRDefault="001E3CBE" w:rsidP="001E3CBE">
            <w:pPr>
              <w:spacing w:after="0" w:line="240" w:lineRule="auto"/>
              <w:jc w:val="center"/>
              <w:rPr>
                <w:rFonts w:asciiTheme="minorBidi" w:hAnsiTheme="minorBidi"/>
                <w:b/>
                <w:bCs/>
                <w:sz w:val="24"/>
                <w:szCs w:val="24"/>
              </w:rPr>
            </w:pP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0.093</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0.061</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0.361</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0.348</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0.423</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0.355</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0.117</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0.677</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0.173</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0.162</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0.453</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LEP</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0.27</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0.469</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0.511</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0.612</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785"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0.037</w:t>
            </w:r>
            <w:r w:rsidRPr="001E3CBE">
              <w:rPr>
                <w:rFonts w:asciiTheme="minorBidi" w:hAnsiTheme="minorBidi"/>
                <w:b/>
                <w:bCs/>
                <w:sz w:val="24"/>
                <w:szCs w:val="24"/>
                <w:u w:val="single"/>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0.029</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0.28</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0.664</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1785"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0.041</w:t>
            </w:r>
            <w:r w:rsidRPr="001E3CBE">
              <w:rPr>
                <w:rFonts w:asciiTheme="minorBidi" w:hAnsiTheme="minorBidi"/>
                <w:b/>
                <w:bCs/>
                <w:sz w:val="24"/>
                <w:szCs w:val="24"/>
                <w:u w:val="single"/>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0.008</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0.032</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0.099</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1785"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0.021</w:t>
            </w:r>
            <w:r w:rsidRPr="001E3CBE">
              <w:rPr>
                <w:rFonts w:asciiTheme="minorBidi" w:hAnsiTheme="minorBidi"/>
                <w:b/>
                <w:bCs/>
                <w:sz w:val="24"/>
                <w:szCs w:val="24"/>
                <w:u w:val="single"/>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0.006</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0.008</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0.599</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785"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0.032</w:t>
            </w:r>
            <w:r w:rsidRPr="001E3CBE">
              <w:rPr>
                <w:rFonts w:asciiTheme="minorBidi" w:hAnsiTheme="minorBidi"/>
                <w:b/>
                <w:bCs/>
                <w:sz w:val="24"/>
                <w:szCs w:val="24"/>
                <w:u w:val="single"/>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b/>
                <w:bCs/>
                <w:sz w:val="24"/>
                <w:szCs w:val="24"/>
                <w:u w:val="single"/>
              </w:rPr>
            </w:pPr>
            <w:r w:rsidRPr="001E3CBE">
              <w:rPr>
                <w:rFonts w:asciiTheme="minorBidi" w:hAnsiTheme="minorBidi"/>
                <w:b/>
                <w:bCs/>
                <w:sz w:val="24"/>
                <w:szCs w:val="24"/>
                <w:u w:val="single"/>
              </w:rPr>
              <w:t>0.015</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0.044</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0.883</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LINE1</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0.859</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0.608</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0.166</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0.637</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0.158</w:t>
            </w:r>
            <w:r w:rsidRPr="001E3CBE">
              <w:rPr>
                <w:rFonts w:asciiTheme="minorBidi" w:hAnsiTheme="minorBidi"/>
                <w:sz w:val="24"/>
                <w:szCs w:val="24"/>
                <w:vertAlign w:val="superscript"/>
              </w:rPr>
              <w:t>2</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0.823</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0.492</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0.671</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0.095</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0.245</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0.741</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0.096</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0.844</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0.438</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0.044</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0.559</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CpG5</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0.343</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0.176</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0.612</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0.026</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0.721</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0.73</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0.286</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0.382</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i/>
                <w:iCs/>
                <w:sz w:val="24"/>
                <w:szCs w:val="24"/>
              </w:rPr>
            </w:pPr>
            <w:r w:rsidRPr="001E3CBE">
              <w:rPr>
                <w:rFonts w:asciiTheme="minorBidi" w:hAnsiTheme="minorBidi"/>
                <w:b/>
                <w:bCs/>
                <w:i/>
                <w:iCs/>
                <w:sz w:val="24"/>
                <w:szCs w:val="24"/>
              </w:rPr>
              <w:t>MAPK7</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CpG1</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0.466</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0.315</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0.106</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0.37</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CpG2</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0.735</w:t>
            </w:r>
            <w:r w:rsidRPr="001E3CBE">
              <w:rPr>
                <w:rFonts w:asciiTheme="minorBidi" w:hAnsiTheme="minorBidi"/>
                <w:sz w:val="24"/>
                <w:szCs w:val="24"/>
                <w:vertAlign w:val="superscript"/>
              </w:rPr>
              <w:t>2</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0.646</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0.216</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0.128</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CpG3</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0.81</w:t>
            </w:r>
            <w:r w:rsidRPr="001E3CBE">
              <w:rPr>
                <w:rFonts w:asciiTheme="minorBidi" w:hAnsiTheme="minorBidi"/>
                <w:sz w:val="24"/>
                <w:szCs w:val="24"/>
                <w:vertAlign w:val="superscript"/>
              </w:rPr>
              <w:t>2</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0.966</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0.215</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0.898</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CpG4</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0.272</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0.611</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0.374</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0.115</w:t>
            </w:r>
          </w:p>
        </w:tc>
      </w:tr>
      <w:tr w:rsidR="001E3CBE" w:rsidRPr="001E3CBE" w:rsidTr="001E3CBE">
        <w:trPr>
          <w:trHeight w:val="320"/>
        </w:trPr>
        <w:tc>
          <w:tcPr>
            <w:tcW w:w="2410" w:type="dxa"/>
            <w:noWrap/>
            <w:hideMark/>
          </w:tcPr>
          <w:p w:rsidR="001E3CBE" w:rsidRPr="001E3CBE" w:rsidRDefault="001E3CBE" w:rsidP="001E3CBE">
            <w:pPr>
              <w:spacing w:after="0" w:line="240" w:lineRule="auto"/>
              <w:rPr>
                <w:rFonts w:asciiTheme="minorBidi" w:hAnsiTheme="minorBidi"/>
                <w:b/>
                <w:bCs/>
                <w:sz w:val="24"/>
                <w:szCs w:val="24"/>
              </w:rPr>
            </w:pPr>
            <w:r w:rsidRPr="001E3CBE">
              <w:rPr>
                <w:rFonts w:asciiTheme="minorBidi" w:hAnsiTheme="minorBidi"/>
                <w:b/>
                <w:bCs/>
                <w:sz w:val="24"/>
                <w:szCs w:val="24"/>
              </w:rPr>
              <w:t>Mean</w:t>
            </w:r>
          </w:p>
        </w:tc>
        <w:tc>
          <w:tcPr>
            <w:tcW w:w="1785"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0.972</w:t>
            </w:r>
            <w:r w:rsidRPr="001E3CBE">
              <w:rPr>
                <w:rFonts w:asciiTheme="minorBidi" w:hAnsiTheme="minorBidi"/>
                <w:sz w:val="24"/>
                <w:szCs w:val="24"/>
                <w:vertAlign w:val="superscript"/>
              </w:rPr>
              <w:t>1</w:t>
            </w:r>
          </w:p>
        </w:tc>
        <w:tc>
          <w:tcPr>
            <w:tcW w:w="1334"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0.715</w:t>
            </w:r>
          </w:p>
        </w:tc>
        <w:tc>
          <w:tcPr>
            <w:tcW w:w="1276"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0.079</w:t>
            </w:r>
          </w:p>
        </w:tc>
        <w:tc>
          <w:tcPr>
            <w:tcW w:w="1370" w:type="dxa"/>
            <w:noWrap/>
            <w:hideMark/>
          </w:tcPr>
          <w:p w:rsidR="001E3CBE" w:rsidRPr="001E3CBE" w:rsidRDefault="001E3CBE" w:rsidP="001E3CBE">
            <w:pPr>
              <w:spacing w:after="0" w:line="240" w:lineRule="auto"/>
              <w:jc w:val="center"/>
              <w:rPr>
                <w:rFonts w:asciiTheme="minorBidi" w:hAnsiTheme="minorBidi"/>
                <w:sz w:val="24"/>
                <w:szCs w:val="24"/>
              </w:rPr>
            </w:pPr>
            <w:r w:rsidRPr="001E3CBE">
              <w:rPr>
                <w:rFonts w:asciiTheme="minorBidi" w:hAnsiTheme="minorBidi"/>
                <w:sz w:val="24"/>
                <w:szCs w:val="24"/>
              </w:rPr>
              <w:t>0.21</w:t>
            </w:r>
          </w:p>
        </w:tc>
      </w:tr>
    </w:tbl>
    <w:p w:rsidR="005C5797" w:rsidRDefault="005C5797"/>
    <w:sectPr w:rsidR="005C57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5C4C" w:rsidRDefault="00865C4C" w:rsidP="001E3CBE">
      <w:pPr>
        <w:spacing w:after="0" w:line="240" w:lineRule="auto"/>
      </w:pPr>
      <w:r>
        <w:separator/>
      </w:r>
    </w:p>
  </w:endnote>
  <w:endnote w:type="continuationSeparator" w:id="0">
    <w:p w:rsidR="00865C4C" w:rsidRDefault="00865C4C" w:rsidP="001E3C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TC Symbol Std Medium">
    <w:altName w:val="Calibri"/>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5C4C" w:rsidRDefault="00865C4C" w:rsidP="001E3CBE">
      <w:pPr>
        <w:spacing w:after="0" w:line="240" w:lineRule="auto"/>
      </w:pPr>
      <w:r>
        <w:separator/>
      </w:r>
    </w:p>
  </w:footnote>
  <w:footnote w:type="continuationSeparator" w:id="0">
    <w:p w:rsidR="00865C4C" w:rsidRDefault="00865C4C" w:rsidP="001E3C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797"/>
    <w:rsid w:val="000F6B0D"/>
    <w:rsid w:val="001E3CBE"/>
    <w:rsid w:val="004E5DBB"/>
    <w:rsid w:val="005C5797"/>
    <w:rsid w:val="006F7B48"/>
    <w:rsid w:val="00865C4C"/>
    <w:rsid w:val="0094114B"/>
    <w:rsid w:val="00987C9F"/>
    <w:rsid w:val="00AE78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9E23A"/>
  <w15:chartTrackingRefBased/>
  <w15:docId w15:val="{69332CC6-E93A-4D84-988A-75CF58EB8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579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
    <w:name w:val="Grid Table 4"/>
    <w:basedOn w:val="TableNormal"/>
    <w:uiPriority w:val="49"/>
    <w:rsid w:val="005C579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4E5DBB"/>
    <w:pPr>
      <w:autoSpaceDE w:val="0"/>
      <w:autoSpaceDN w:val="0"/>
      <w:adjustRightInd w:val="0"/>
      <w:spacing w:after="0" w:line="240" w:lineRule="auto"/>
    </w:pPr>
    <w:rPr>
      <w:rFonts w:ascii="ITC Symbol Std Medium" w:hAnsi="ITC Symbol Std Medium" w:cs="ITC Symbol Std Medium"/>
      <w:color w:val="000000"/>
      <w:sz w:val="24"/>
      <w:szCs w:val="24"/>
    </w:rPr>
  </w:style>
  <w:style w:type="table" w:styleId="TableGrid">
    <w:name w:val="Table Grid"/>
    <w:basedOn w:val="TableNormal"/>
    <w:uiPriority w:val="39"/>
    <w:rsid w:val="004E5D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1E3CBE"/>
  </w:style>
  <w:style w:type="table" w:customStyle="1" w:styleId="TableGrid1">
    <w:name w:val="Table Grid1"/>
    <w:basedOn w:val="TableNormal"/>
    <w:next w:val="TableGrid"/>
    <w:uiPriority w:val="39"/>
    <w:rsid w:val="001E3C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3CBE"/>
    <w:pPr>
      <w:spacing w:after="160" w:line="259" w:lineRule="auto"/>
      <w:ind w:left="720"/>
      <w:contextualSpacing/>
    </w:pPr>
  </w:style>
  <w:style w:type="paragraph" w:styleId="BalloonText">
    <w:name w:val="Balloon Text"/>
    <w:basedOn w:val="Normal"/>
    <w:link w:val="BalloonTextChar"/>
    <w:uiPriority w:val="99"/>
    <w:semiHidden/>
    <w:unhideWhenUsed/>
    <w:rsid w:val="001E3C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3CBE"/>
    <w:rPr>
      <w:rFonts w:ascii="Segoe UI" w:hAnsi="Segoe UI" w:cs="Segoe UI"/>
      <w:sz w:val="18"/>
      <w:szCs w:val="18"/>
    </w:rPr>
  </w:style>
  <w:style w:type="paragraph" w:styleId="Header">
    <w:name w:val="header"/>
    <w:basedOn w:val="Normal"/>
    <w:link w:val="HeaderChar"/>
    <w:uiPriority w:val="99"/>
    <w:unhideWhenUsed/>
    <w:rsid w:val="001E3C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E"/>
  </w:style>
  <w:style w:type="paragraph" w:styleId="Footer">
    <w:name w:val="footer"/>
    <w:basedOn w:val="Normal"/>
    <w:link w:val="FooterChar"/>
    <w:uiPriority w:val="99"/>
    <w:unhideWhenUsed/>
    <w:rsid w:val="001E3C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E"/>
  </w:style>
  <w:style w:type="table" w:customStyle="1" w:styleId="GridTable41">
    <w:name w:val="Grid Table 41"/>
    <w:basedOn w:val="TableNormal"/>
    <w:next w:val="GridTable4"/>
    <w:uiPriority w:val="49"/>
    <w:rsid w:val="001E3CB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12</Pages>
  <Words>7693</Words>
  <Characters>43854</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 ElGendy</dc:creator>
  <cp:keywords/>
  <dc:description/>
  <cp:lastModifiedBy>Khalil ElGendy</cp:lastModifiedBy>
  <cp:revision>2</cp:revision>
  <dcterms:created xsi:type="dcterms:W3CDTF">2020-10-25T11:01:00Z</dcterms:created>
  <dcterms:modified xsi:type="dcterms:W3CDTF">2021-08-02T13:21:00Z</dcterms:modified>
</cp:coreProperties>
</file>