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68BD" w14:textId="239829C1" w:rsidR="00042EA6" w:rsidRDefault="00083912" w:rsidP="00C733C0">
      <w:pPr>
        <w:pStyle w:val="Title"/>
        <w:spacing w:line="480" w:lineRule="auto"/>
        <w:jc w:val="center"/>
      </w:pPr>
      <w:r>
        <w:t>Additional File</w:t>
      </w:r>
    </w:p>
    <w:p w14:paraId="29DEACAC" w14:textId="0C37A3A0" w:rsidR="009F2554" w:rsidRDefault="001B6189" w:rsidP="00E63059">
      <w:pPr>
        <w:spacing w:line="480" w:lineRule="auto"/>
      </w:pPr>
      <w:r>
        <w:t xml:space="preserve">Contained within </w:t>
      </w:r>
      <w:r w:rsidR="008D5FEF">
        <w:t xml:space="preserve">this </w:t>
      </w:r>
      <w:r w:rsidR="00083912">
        <w:t>file</w:t>
      </w:r>
      <w:r>
        <w:t xml:space="preserve"> </w:t>
      </w:r>
      <w:r w:rsidR="008D5FEF">
        <w:t>are</w:t>
      </w:r>
      <w:r w:rsidR="00E63059">
        <w:t xml:space="preserve"> a</w:t>
      </w:r>
      <w:r>
        <w:t xml:space="preserve">n </w:t>
      </w:r>
      <w:r w:rsidR="005A382B">
        <w:t>evaluation</w:t>
      </w:r>
      <w:r>
        <w:t xml:space="preserve"> of publication bias</w:t>
      </w:r>
      <w:r w:rsidR="00E63059">
        <w:t>, a</w:t>
      </w:r>
      <w:r w:rsidR="00EE1D9D">
        <w:t xml:space="preserve"> delineation of the methods used to assess study quality</w:t>
      </w:r>
      <w:r w:rsidR="001373A0">
        <w:t xml:space="preserve"> and the </w:t>
      </w:r>
      <w:r w:rsidR="008D5FEF">
        <w:t>corresponding results</w:t>
      </w:r>
      <w:r w:rsidR="00E63059">
        <w:t>, and f</w:t>
      </w:r>
      <w:r>
        <w:t xml:space="preserve">ull results </w:t>
      </w:r>
      <w:r w:rsidR="001373A0">
        <w:t>of</w:t>
      </w:r>
      <w:r>
        <w:t xml:space="preserve"> the </w:t>
      </w:r>
      <w:r w:rsidR="001373A0">
        <w:t>meta-</w:t>
      </w:r>
      <w:r>
        <w:t xml:space="preserve">analyses stratified </w:t>
      </w:r>
      <w:r w:rsidR="00F237FD">
        <w:t xml:space="preserve">by </w:t>
      </w:r>
      <w:r>
        <w:t>follow-up duration</w:t>
      </w:r>
      <w:r w:rsidR="00E63059">
        <w:t>.</w:t>
      </w:r>
      <w:r>
        <w:t xml:space="preserve"> </w:t>
      </w:r>
    </w:p>
    <w:p w14:paraId="47D00615" w14:textId="78F50C38" w:rsidR="009F2554" w:rsidRDefault="009F2554" w:rsidP="00C733C0">
      <w:pPr>
        <w:spacing w:line="480" w:lineRule="auto"/>
      </w:pPr>
    </w:p>
    <w:p w14:paraId="74A53977" w14:textId="28F6DCEF" w:rsidR="005A382B" w:rsidRDefault="005A382B" w:rsidP="001B38E5">
      <w:pPr>
        <w:pStyle w:val="Heading1"/>
        <w:spacing w:line="480" w:lineRule="auto"/>
      </w:pPr>
      <w:r>
        <w:t>Evaluation of publication bias</w:t>
      </w:r>
    </w:p>
    <w:p w14:paraId="1D5F3CDF" w14:textId="21D6AB84" w:rsidR="005A382B" w:rsidRDefault="005A382B" w:rsidP="00C733C0">
      <w:pPr>
        <w:spacing w:line="480" w:lineRule="auto"/>
      </w:pPr>
      <w:r>
        <w:t xml:space="preserve">As can be seen in figure </w:t>
      </w:r>
      <w:r w:rsidR="002105FF">
        <w:t>A</w:t>
      </w:r>
      <w:r>
        <w:t xml:space="preserve">1, </w:t>
      </w:r>
      <w:r w:rsidR="008D5FEF">
        <w:t>no clear indication of publication bias was visible after plotting standard error</w:t>
      </w:r>
      <w:r w:rsidR="002679C5">
        <w:t>s</w:t>
      </w:r>
      <w:r w:rsidR="008D5FEF">
        <w:t xml:space="preserve"> against SIRs</w:t>
      </w:r>
      <w:r>
        <w:t>.</w:t>
      </w:r>
      <w:r w:rsidR="008D5FEF">
        <w:t xml:space="preserve"> Accordingly,</w:t>
      </w:r>
      <w:r>
        <w:t xml:space="preserve"> </w:t>
      </w:r>
      <w:r w:rsidR="008D5FEF">
        <w:t xml:space="preserve">we found no significant evidence of publication bias after performing Egger’s test </w:t>
      </w:r>
      <w:r>
        <w:t>(p = 0.1</w:t>
      </w:r>
      <w:r w:rsidR="008B4D97">
        <w:t>9</w:t>
      </w:r>
      <w:r>
        <w:t>).</w:t>
      </w:r>
    </w:p>
    <w:p w14:paraId="5F93AC42" w14:textId="63DF2D7E" w:rsidR="005A382B" w:rsidRDefault="005A382B" w:rsidP="00C733C0">
      <w:pPr>
        <w:spacing w:line="480" w:lineRule="auto"/>
      </w:pPr>
    </w:p>
    <w:p w14:paraId="334EF8B0" w14:textId="21867A45" w:rsidR="00655722" w:rsidRDefault="005A382B" w:rsidP="001B38E5">
      <w:pPr>
        <w:pStyle w:val="Heading1"/>
        <w:spacing w:line="480" w:lineRule="auto"/>
      </w:pPr>
      <w:r>
        <w:t>Evaluation of study quality</w:t>
      </w:r>
    </w:p>
    <w:p w14:paraId="7784552F" w14:textId="02441393" w:rsidR="00734C6F" w:rsidRDefault="00736A12" w:rsidP="00C733C0">
      <w:pPr>
        <w:tabs>
          <w:tab w:val="left" w:pos="8010"/>
        </w:tabs>
        <w:spacing w:line="480" w:lineRule="auto"/>
        <w:rPr>
          <w:rFonts w:eastAsia="Times New Roman" w:cs="Times New Roman"/>
        </w:rPr>
      </w:pPr>
      <w:r>
        <w:rPr>
          <w:rFonts w:eastAsia="Times New Roman" w:cs="Times New Roman"/>
        </w:rPr>
        <w:t>A study can receive a maximum score of nine on the Newcastle-Ottawa scale (NOS)</w:t>
      </w:r>
      <w:r w:rsidR="002679C5">
        <w:rPr>
          <w:rFonts w:eastAsia="Times New Roman" w:cs="Times New Roman"/>
        </w:rPr>
        <w:t xml:space="preserve"> </w:t>
      </w:r>
      <w:sdt>
        <w:sdtPr>
          <w:rPr>
            <w:rFonts w:eastAsia="Times New Roman" w:cs="Times New Roman"/>
            <w:color w:val="000000"/>
          </w:rPr>
          <w:tag w:val="MENDELEY_CITATION_v3_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"/>
          <w:id w:val="1525294659"/>
          <w:placeholder>
            <w:docPart w:val="DefaultPlaceholder_-1854013440"/>
          </w:placeholder>
        </w:sdtPr>
        <w:sdtEndPr/>
        <w:sdtContent>
          <w:r w:rsidR="002679C5">
            <w:rPr>
              <w:rFonts w:eastAsia="Times New Roman" w:cs="Times New Roman"/>
              <w:color w:val="000000"/>
            </w:rPr>
            <w:t>(54)</w:t>
          </w:r>
        </w:sdtContent>
      </w:sdt>
      <w:r>
        <w:rPr>
          <w:rFonts w:eastAsia="Times New Roman" w:cs="Times New Roman"/>
        </w:rPr>
        <w:t xml:space="preserve">. A score closer to the maximum is intended to indicate higher methodological quality. To be assigned the maximum score, a study must be assigned a score of four for the “selection” of their cohort of BC survivors, a score of two for the “comparability” of their cohort to the general population, and a score of three for their ascertainment of the “outcome” of interest (SPC development). </w:t>
      </w:r>
    </w:p>
    <w:p w14:paraId="7E5395C9" w14:textId="77777777" w:rsidR="001B38E5" w:rsidRDefault="001B38E5" w:rsidP="00C733C0">
      <w:pPr>
        <w:tabs>
          <w:tab w:val="left" w:pos="8010"/>
        </w:tabs>
        <w:spacing w:line="480" w:lineRule="auto"/>
        <w:rPr>
          <w:rFonts w:eastAsia="Times New Roman" w:cs="Times New Roman"/>
        </w:rPr>
      </w:pPr>
    </w:p>
    <w:p w14:paraId="6627916C" w14:textId="60763568" w:rsidR="00655722" w:rsidRDefault="00655722" w:rsidP="00C733C0">
      <w:pPr>
        <w:pStyle w:val="Heading2"/>
        <w:spacing w:line="480" w:lineRule="auto"/>
      </w:pPr>
      <w:r>
        <w:t>Methods</w:t>
      </w:r>
    </w:p>
    <w:p w14:paraId="1B5D3D19" w14:textId="6498E314" w:rsidR="00655722" w:rsidRDefault="00736A12" w:rsidP="00C733C0">
      <w:pPr>
        <w:spacing w:line="480" w:lineRule="auto"/>
      </w:pPr>
      <w:r>
        <w:rPr>
          <w:rFonts w:eastAsia="Times New Roman" w:cs="Times New Roman"/>
        </w:rPr>
        <w:t xml:space="preserve">For a study to be assigned a score of four for “selection”, their cohort of BC </w:t>
      </w:r>
      <w:r w:rsidR="00734C6F" w:rsidRPr="00F0033B">
        <w:rPr>
          <w:rFonts w:eastAsia="Times New Roman" w:cs="Times New Roman"/>
        </w:rPr>
        <w:t>survivors must be representative of the average BC survivor in the relevant community,</w:t>
      </w:r>
      <w:r w:rsidR="002268AA">
        <w:rPr>
          <w:rFonts w:eastAsia="Times New Roman" w:cs="Times New Roman"/>
        </w:rPr>
        <w:t xml:space="preserve"> where</w:t>
      </w:r>
      <w:r w:rsidR="0011770F">
        <w:rPr>
          <w:rFonts w:eastAsia="Times New Roman" w:cs="Times New Roman"/>
        </w:rPr>
        <w:t xml:space="preserve"> the</w:t>
      </w:r>
      <w:r w:rsidR="002268AA">
        <w:rPr>
          <w:rFonts w:eastAsia="Times New Roman" w:cs="Times New Roman"/>
        </w:rPr>
        <w:t xml:space="preserve"> “community” </w:t>
      </w:r>
      <w:r w:rsidR="0011770F">
        <w:rPr>
          <w:rFonts w:eastAsia="Times New Roman" w:cs="Times New Roman"/>
        </w:rPr>
        <w:t xml:space="preserve">refers to the </w:t>
      </w:r>
      <w:r w:rsidR="002268AA">
        <w:rPr>
          <w:rFonts w:eastAsia="Times New Roman" w:cs="Times New Roman"/>
        </w:rPr>
        <w:t xml:space="preserve">population </w:t>
      </w:r>
      <w:r w:rsidR="0011770F">
        <w:rPr>
          <w:rFonts w:eastAsia="Times New Roman" w:cs="Times New Roman"/>
        </w:rPr>
        <w:t>to which</w:t>
      </w:r>
      <w:r w:rsidR="002268AA">
        <w:rPr>
          <w:rFonts w:eastAsia="Times New Roman" w:cs="Times New Roman"/>
        </w:rPr>
        <w:t xml:space="preserve"> the study compar</w:t>
      </w:r>
      <w:r w:rsidR="0011770F">
        <w:rPr>
          <w:rFonts w:eastAsia="Times New Roman" w:cs="Times New Roman"/>
        </w:rPr>
        <w:t>ed</w:t>
      </w:r>
      <w:r w:rsidR="002268AA">
        <w:rPr>
          <w:rFonts w:eastAsia="Times New Roman" w:cs="Times New Roman"/>
        </w:rPr>
        <w:t xml:space="preserve"> the BC survivor</w:t>
      </w:r>
      <w:r w:rsidR="0011770F">
        <w:rPr>
          <w:rFonts w:eastAsia="Times New Roman" w:cs="Times New Roman"/>
        </w:rPr>
        <w:t>s</w:t>
      </w:r>
      <w:r w:rsidR="002268AA">
        <w:rPr>
          <w:rFonts w:eastAsia="Times New Roman" w:cs="Times New Roman"/>
        </w:rPr>
        <w:t>.</w:t>
      </w:r>
      <w:r w:rsidR="00734C6F" w:rsidRPr="00F0033B">
        <w:rPr>
          <w:rFonts w:eastAsia="Times New Roman" w:cs="Times New Roman"/>
        </w:rPr>
        <w:t xml:space="preserve"> </w:t>
      </w:r>
      <w:r w:rsidR="008D5FEF">
        <w:rPr>
          <w:rFonts w:eastAsia="Times New Roman" w:cs="Times New Roman"/>
        </w:rPr>
        <w:t>In addition, t</w:t>
      </w:r>
      <w:r>
        <w:rPr>
          <w:rFonts w:eastAsia="Times New Roman" w:cs="Times New Roman"/>
        </w:rPr>
        <w:t xml:space="preserve">he expected SPC </w:t>
      </w:r>
      <w:r>
        <w:rPr>
          <w:rFonts w:eastAsia="Times New Roman" w:cs="Times New Roman"/>
        </w:rPr>
        <w:lastRenderedPageBreak/>
        <w:t>counts</w:t>
      </w:r>
      <w:r w:rsidR="003F38A8">
        <w:rPr>
          <w:rFonts w:eastAsia="Times New Roman" w:cs="Times New Roman"/>
        </w:rPr>
        <w:t xml:space="preserve"> had to</w:t>
      </w:r>
      <w:r>
        <w:rPr>
          <w:rFonts w:eastAsia="Times New Roman" w:cs="Times New Roman"/>
        </w:rPr>
        <w:t xml:space="preserve"> be calculated using the same data source</w:t>
      </w:r>
      <w:r w:rsidR="00F26B92">
        <w:rPr>
          <w:rFonts w:eastAsia="Times New Roman" w:cs="Times New Roman"/>
        </w:rPr>
        <w:t xml:space="preserve"> as</w:t>
      </w:r>
      <w:r w:rsidR="00345A71">
        <w:rPr>
          <w:rFonts w:eastAsia="Times New Roman" w:cs="Times New Roman"/>
        </w:rPr>
        <w:t xml:space="preserve"> the observed SPC counts</w:t>
      </w:r>
      <w:r w:rsidR="00F26B92">
        <w:rPr>
          <w:rFonts w:eastAsia="Times New Roman" w:cs="Times New Roman"/>
        </w:rPr>
        <w:t>,</w:t>
      </w:r>
      <w:r w:rsidR="00734C6F" w:rsidRPr="00F0033B">
        <w:rPr>
          <w:rFonts w:eastAsia="Times New Roman" w:cs="Times New Roman"/>
        </w:rPr>
        <w:t xml:space="preserve"> </w:t>
      </w:r>
      <w:r w:rsidR="00345A71">
        <w:rPr>
          <w:rFonts w:eastAsia="Times New Roman" w:cs="Times New Roman"/>
        </w:rPr>
        <w:t xml:space="preserve">reliable sources </w:t>
      </w:r>
      <w:r w:rsidR="003F38A8">
        <w:rPr>
          <w:rFonts w:eastAsia="Times New Roman" w:cs="Times New Roman"/>
        </w:rPr>
        <w:t>had to</w:t>
      </w:r>
      <w:r w:rsidR="00345A71">
        <w:rPr>
          <w:rFonts w:eastAsia="Times New Roman" w:cs="Times New Roman"/>
        </w:rPr>
        <w:t xml:space="preserve"> be used to establish the BC diagnoses</w:t>
      </w:r>
      <w:r w:rsidR="00F26B92">
        <w:rPr>
          <w:rFonts w:eastAsia="Times New Roman" w:cs="Times New Roman"/>
        </w:rPr>
        <w:t>,</w:t>
      </w:r>
      <w:r w:rsidR="00345A71">
        <w:rPr>
          <w:rFonts w:eastAsia="Times New Roman" w:cs="Times New Roman"/>
        </w:rPr>
        <w:t xml:space="preserve"> and primaries prior to the BC </w:t>
      </w:r>
      <w:r w:rsidR="003F38A8">
        <w:rPr>
          <w:rFonts w:eastAsia="Times New Roman" w:cs="Times New Roman"/>
        </w:rPr>
        <w:t>had to</w:t>
      </w:r>
      <w:r w:rsidR="00345A71">
        <w:rPr>
          <w:rFonts w:eastAsia="Times New Roman" w:cs="Times New Roman"/>
        </w:rPr>
        <w:t xml:space="preserve"> have been eliminated</w:t>
      </w:r>
      <w:r w:rsidR="00734C6F" w:rsidRPr="00F0033B">
        <w:rPr>
          <w:rFonts w:eastAsia="Times New Roman" w:cs="Times New Roman"/>
        </w:rPr>
        <w:t xml:space="preserve">. </w:t>
      </w:r>
      <w:r w:rsidR="003F38A8">
        <w:rPr>
          <w:rFonts w:eastAsia="Times New Roman" w:cs="Times New Roman"/>
        </w:rPr>
        <w:t>T</w:t>
      </w:r>
      <w:r w:rsidR="00345A71">
        <w:rPr>
          <w:rFonts w:eastAsia="Times New Roman" w:cs="Times New Roman"/>
        </w:rPr>
        <w:t>o be assigned a score of two for “comparability”</w:t>
      </w:r>
      <w:r w:rsidR="00734C6F" w:rsidRPr="00F0033B">
        <w:rPr>
          <w:rFonts w:eastAsia="Times New Roman" w:cs="Times New Roman"/>
        </w:rPr>
        <w:t xml:space="preserve">, </w:t>
      </w:r>
      <w:r w:rsidR="00345A71">
        <w:rPr>
          <w:rFonts w:eastAsia="Times New Roman" w:cs="Times New Roman"/>
        </w:rPr>
        <w:t xml:space="preserve">a study </w:t>
      </w:r>
      <w:r w:rsidR="003F38A8">
        <w:rPr>
          <w:rFonts w:eastAsia="Times New Roman" w:cs="Times New Roman"/>
        </w:rPr>
        <w:t>had to</w:t>
      </w:r>
      <w:r w:rsidR="00345A71">
        <w:rPr>
          <w:rFonts w:eastAsia="Times New Roman" w:cs="Times New Roman"/>
        </w:rPr>
        <w:t xml:space="preserve"> adjust for the </w:t>
      </w:r>
      <w:r w:rsidR="00A869E0">
        <w:rPr>
          <w:rFonts w:eastAsia="Times New Roman" w:cs="Times New Roman"/>
        </w:rPr>
        <w:t>calendar</w:t>
      </w:r>
      <w:r w:rsidR="00F75110">
        <w:rPr>
          <w:rFonts w:eastAsia="Times New Roman" w:cs="Times New Roman"/>
        </w:rPr>
        <w:t xml:space="preserve"> period</w:t>
      </w:r>
      <w:r w:rsidR="00345A71">
        <w:rPr>
          <w:rFonts w:eastAsia="Times New Roman" w:cs="Times New Roman"/>
        </w:rPr>
        <w:t xml:space="preserve"> and age group when estimating expected cancer counts. Finally</w:t>
      </w:r>
      <w:r w:rsidR="00F75110">
        <w:rPr>
          <w:rFonts w:eastAsia="Times New Roman" w:cs="Times New Roman"/>
        </w:rPr>
        <w:t>,</w:t>
      </w:r>
      <w:r w:rsidR="00345A71">
        <w:rPr>
          <w:rFonts w:eastAsia="Times New Roman" w:cs="Times New Roman"/>
        </w:rPr>
        <w:t xml:space="preserve"> </w:t>
      </w:r>
      <w:r w:rsidR="003F38A8">
        <w:rPr>
          <w:rFonts w:eastAsia="Times New Roman" w:cs="Times New Roman"/>
        </w:rPr>
        <w:t xml:space="preserve">for </w:t>
      </w:r>
      <w:r w:rsidR="00F75110">
        <w:rPr>
          <w:rFonts w:eastAsia="Times New Roman" w:cs="Times New Roman"/>
        </w:rPr>
        <w:t xml:space="preserve">a study </w:t>
      </w:r>
      <w:r w:rsidR="003F38A8">
        <w:rPr>
          <w:rFonts w:eastAsia="Times New Roman" w:cs="Times New Roman"/>
        </w:rPr>
        <w:t>to</w:t>
      </w:r>
      <w:r w:rsidR="00F75110">
        <w:rPr>
          <w:rFonts w:eastAsia="Times New Roman" w:cs="Times New Roman"/>
        </w:rPr>
        <w:t xml:space="preserve"> be assigned the maximum score for “outcome”</w:t>
      </w:r>
      <w:r w:rsidR="00734C6F" w:rsidRPr="00F0033B">
        <w:rPr>
          <w:rFonts w:eastAsia="Times New Roman" w:cs="Times New Roman"/>
        </w:rPr>
        <w:t xml:space="preserve">, </w:t>
      </w:r>
      <w:r w:rsidR="003F38A8">
        <w:rPr>
          <w:rFonts w:eastAsia="Times New Roman" w:cs="Times New Roman"/>
        </w:rPr>
        <w:t>it had to</w:t>
      </w:r>
      <w:r w:rsidR="00F75110">
        <w:rPr>
          <w:rFonts w:eastAsia="Times New Roman" w:cs="Times New Roman"/>
        </w:rPr>
        <w:t xml:space="preserve"> </w:t>
      </w:r>
      <w:r w:rsidR="00F26B92">
        <w:rPr>
          <w:rFonts w:eastAsia="Times New Roman" w:cs="Times New Roman"/>
        </w:rPr>
        <w:t>establish</w:t>
      </w:r>
      <w:r w:rsidR="00F75110">
        <w:rPr>
          <w:rFonts w:eastAsia="Times New Roman" w:cs="Times New Roman"/>
        </w:rPr>
        <w:t xml:space="preserve"> any SPC diagnoses from record linkages to the initial BC diagnosis records</w:t>
      </w:r>
      <w:r w:rsidR="00734C6F" w:rsidRPr="00F0033B">
        <w:rPr>
          <w:rFonts w:eastAsia="Times New Roman" w:cs="Times New Roman"/>
        </w:rPr>
        <w:t xml:space="preserve">, </w:t>
      </w:r>
      <w:r w:rsidR="00F75110">
        <w:rPr>
          <w:rFonts w:eastAsia="Times New Roman" w:cs="Times New Roman"/>
        </w:rPr>
        <w:t>have a follow-up duration of 20 years or more</w:t>
      </w:r>
      <w:r w:rsidR="00734C6F" w:rsidRPr="00F0033B">
        <w:rPr>
          <w:rFonts w:eastAsia="Times New Roman" w:cs="Times New Roman"/>
        </w:rPr>
        <w:t>,</w:t>
      </w:r>
      <w:r w:rsidR="00F75110">
        <w:rPr>
          <w:rFonts w:eastAsia="Times New Roman" w:cs="Times New Roman"/>
        </w:rPr>
        <w:t xml:space="preserve"> and have lost no more than 5% of the initial cohort to follow-up.</w:t>
      </w:r>
    </w:p>
    <w:p w14:paraId="014F684C" w14:textId="77777777" w:rsidR="00655722" w:rsidRDefault="00655722" w:rsidP="00C733C0">
      <w:pPr>
        <w:spacing w:line="480" w:lineRule="auto"/>
      </w:pPr>
    </w:p>
    <w:p w14:paraId="4CD63815" w14:textId="67A64012" w:rsidR="005A382B" w:rsidRDefault="00655722" w:rsidP="001B38E5">
      <w:pPr>
        <w:pStyle w:val="Heading2"/>
        <w:spacing w:line="480" w:lineRule="auto"/>
      </w:pPr>
      <w:r>
        <w:t>Results</w:t>
      </w:r>
    </w:p>
    <w:p w14:paraId="77574688" w14:textId="1B978B51" w:rsidR="00042EA6" w:rsidRDefault="00042EA6" w:rsidP="00C733C0">
      <w:pPr>
        <w:spacing w:line="480" w:lineRule="auto"/>
      </w:pPr>
      <w:r>
        <w:t xml:space="preserve">The breakdown of assigned </w:t>
      </w:r>
      <w:r w:rsidR="00302CF9">
        <w:t>NOS scores</w:t>
      </w:r>
      <w:r>
        <w:t xml:space="preserve"> </w:t>
      </w:r>
      <w:r w:rsidR="00302CF9">
        <w:t xml:space="preserve">are included </w:t>
      </w:r>
      <w:r>
        <w:t xml:space="preserve">in Table </w:t>
      </w:r>
      <w:r w:rsidR="002105FF">
        <w:t>A</w:t>
      </w:r>
      <w:r>
        <w:t>1.</w:t>
      </w:r>
    </w:p>
    <w:p w14:paraId="1FC8566E" w14:textId="77777777" w:rsidR="00302CF9" w:rsidRPr="00C903DD" w:rsidRDefault="00302CF9" w:rsidP="00C733C0">
      <w:pPr>
        <w:spacing w:line="480" w:lineRule="auto"/>
      </w:pPr>
    </w:p>
    <w:p w14:paraId="1CA66393" w14:textId="60D6E757" w:rsidR="002105FF" w:rsidRDefault="0080531A" w:rsidP="00C733C0">
      <w:pPr>
        <w:spacing w:line="480" w:lineRule="auto"/>
      </w:pPr>
      <w:r>
        <w:t>Fourteen</w:t>
      </w:r>
      <w:r w:rsidR="00042EA6">
        <w:t xml:space="preserve"> studies los</w:t>
      </w:r>
      <w:r w:rsidR="00491C61">
        <w:t>t</w:t>
      </w:r>
      <w:r w:rsidR="00042EA6">
        <w:t xml:space="preserve"> </w:t>
      </w:r>
      <w:r w:rsidR="00491C61">
        <w:t xml:space="preserve">a point </w:t>
      </w:r>
      <w:r w:rsidR="00042EA6">
        <w:t xml:space="preserve">for selection due </w:t>
      </w:r>
      <w:r w:rsidR="008D5FEF">
        <w:t xml:space="preserve">to estimating </w:t>
      </w:r>
      <w:r w:rsidR="00042EA6">
        <w:t xml:space="preserve">expected </w:t>
      </w:r>
      <w:r w:rsidR="008D5FEF">
        <w:t>cancer counts from slightly different data sources than those which the observed counts were taken from</w:t>
      </w:r>
      <w:r>
        <w:t>, or due to leaving this information unstated</w:t>
      </w:r>
      <w:r w:rsidR="00562E06">
        <w:t xml:space="preserve"> (2,9,10,12,14</w:t>
      </w:r>
      <w:r w:rsidR="00562E06" w:rsidRPr="00F62769">
        <w:rPr>
          <w:color w:val="000000"/>
        </w:rPr>
        <w:t>–</w:t>
      </w:r>
      <w:r w:rsidR="00562E06">
        <w:t>17,19</w:t>
      </w:r>
      <w:r w:rsidR="00562E06" w:rsidRPr="00F62769">
        <w:rPr>
          <w:color w:val="000000"/>
        </w:rPr>
        <w:t>–</w:t>
      </w:r>
      <w:r w:rsidR="00562E06">
        <w:t xml:space="preserve">22,26,27). </w:t>
      </w:r>
      <w:r w:rsidR="00491C61">
        <w:t>Four studies lost a point (</w:t>
      </w:r>
      <w:r w:rsidR="00562E06">
        <w:t>4,6,14,21</w:t>
      </w:r>
      <w:r w:rsidR="00491C61">
        <w:t xml:space="preserve">) due to a lack of clarity about their practices regarding primaries diagnosed prior to the first BC. </w:t>
      </w:r>
      <w:r w:rsidR="002268AA">
        <w:t>One study (</w:t>
      </w:r>
      <w:r w:rsidR="00562E06">
        <w:t>2</w:t>
      </w:r>
      <w:r w:rsidR="002268AA">
        <w:t>) lost a point due to only including breast cancer survivors who met eligibility criteria for treatment under specific protocols, since this was deemed to render the cohort insufficiently representative of general age-matched female breast cancer survivors.</w:t>
      </w:r>
    </w:p>
    <w:p w14:paraId="4FD16F7B" w14:textId="77777777" w:rsidR="00302CF9" w:rsidRDefault="00302CF9" w:rsidP="00C733C0">
      <w:pPr>
        <w:spacing w:line="480" w:lineRule="auto"/>
      </w:pPr>
    </w:p>
    <w:p w14:paraId="60E8E2E9" w14:textId="51C50118" w:rsidR="00042EA6" w:rsidRDefault="003F38A8" w:rsidP="00C733C0">
      <w:pPr>
        <w:spacing w:line="480" w:lineRule="auto"/>
      </w:pPr>
      <w:r>
        <w:t>Three studies</w:t>
      </w:r>
      <w:r w:rsidR="00042EA6">
        <w:t xml:space="preserve"> </w:t>
      </w:r>
      <w:r>
        <w:t>(</w:t>
      </w:r>
      <w:r w:rsidR="00562E06">
        <w:t>13,18,21</w:t>
      </w:r>
      <w:r>
        <w:t>)</w:t>
      </w:r>
      <w:r w:rsidR="00042EA6">
        <w:t xml:space="preserve"> lost a </w:t>
      </w:r>
      <w:r w:rsidR="00A869E0">
        <w:t>point</w:t>
      </w:r>
      <w:r w:rsidR="00042EA6">
        <w:t xml:space="preserve"> </w:t>
      </w:r>
      <w:r w:rsidR="00A869E0">
        <w:t xml:space="preserve">for comparability </w:t>
      </w:r>
      <w:r w:rsidR="00042EA6">
        <w:t>due to not</w:t>
      </w:r>
      <w:r>
        <w:t xml:space="preserve"> stating any measure to</w:t>
      </w:r>
      <w:r w:rsidR="00042EA6">
        <w:t xml:space="preserve"> control for age </w:t>
      </w:r>
      <w:r>
        <w:t xml:space="preserve">when estimating expected primary counts. </w:t>
      </w:r>
      <w:r w:rsidR="00A869E0">
        <w:t>Eight studies</w:t>
      </w:r>
      <w:r w:rsidR="00042EA6">
        <w:t xml:space="preserve"> </w:t>
      </w:r>
      <w:r w:rsidR="00562E06">
        <w:t>(6,12,18,21,24</w:t>
      </w:r>
      <w:r w:rsidR="00562E06" w:rsidRPr="00F62769">
        <w:rPr>
          <w:color w:val="000000"/>
        </w:rPr>
        <w:t>–</w:t>
      </w:r>
      <w:r w:rsidR="00562E06">
        <w:t xml:space="preserve">27) </w:t>
      </w:r>
      <w:r w:rsidR="00A869E0">
        <w:t xml:space="preserve">lost a </w:t>
      </w:r>
      <w:r w:rsidR="00562E06">
        <w:t>point</w:t>
      </w:r>
      <w:r w:rsidR="00A869E0">
        <w:t xml:space="preserve"> due to not stating any measure to control for calendar period.</w:t>
      </w:r>
    </w:p>
    <w:p w14:paraId="6155E500" w14:textId="77777777" w:rsidR="00042EA6" w:rsidRDefault="00042EA6" w:rsidP="00C733C0">
      <w:pPr>
        <w:spacing w:line="480" w:lineRule="auto"/>
      </w:pPr>
    </w:p>
    <w:p w14:paraId="1F54C7ED" w14:textId="45350B2E" w:rsidR="0097617E" w:rsidRDefault="00042EA6" w:rsidP="00C733C0">
      <w:pPr>
        <w:spacing w:line="480" w:lineRule="auto"/>
      </w:pPr>
      <w:r>
        <w:lastRenderedPageBreak/>
        <w:t xml:space="preserve">All </w:t>
      </w:r>
      <w:r w:rsidR="00A869E0">
        <w:t>but one study (</w:t>
      </w:r>
      <w:r w:rsidR="00562E06">
        <w:t>16</w:t>
      </w:r>
      <w:r w:rsidR="00A869E0">
        <w:t>)</w:t>
      </w:r>
      <w:r>
        <w:t xml:space="preserve"> lost a </w:t>
      </w:r>
      <w:r w:rsidR="00A869E0">
        <w:t>point</w:t>
      </w:r>
      <w:r>
        <w:t xml:space="preserve"> </w:t>
      </w:r>
      <w:r w:rsidR="00A869E0">
        <w:t xml:space="preserve">for </w:t>
      </w:r>
      <w:r>
        <w:t xml:space="preserve">outcome category </w:t>
      </w:r>
      <w:r w:rsidR="00A869E0">
        <w:t>due to reporting a loss of over 5% of their cohort to follow-up (</w:t>
      </w:r>
      <w:r w:rsidR="00562E06">
        <w:t>14</w:t>
      </w:r>
      <w:r w:rsidR="00A869E0">
        <w:t xml:space="preserve">), or due to leaving this information unstated. </w:t>
      </w:r>
      <w:r w:rsidR="008B4D97">
        <w:t>Eleven</w:t>
      </w:r>
      <w:r>
        <w:t xml:space="preserve"> studies lost a </w:t>
      </w:r>
      <w:r w:rsidR="00A869E0">
        <w:t>point</w:t>
      </w:r>
      <w:r>
        <w:t xml:space="preserve"> </w:t>
      </w:r>
      <w:r w:rsidR="00A869E0">
        <w:t>because their follow-up duration was under</w:t>
      </w:r>
      <w:r>
        <w:t xml:space="preserve"> 20 year</w:t>
      </w:r>
      <w:r w:rsidR="00A869E0">
        <w:t>s</w:t>
      </w:r>
      <w:r w:rsidR="00562E06">
        <w:t xml:space="preserve"> (</w:t>
      </w:r>
      <w:r w:rsidR="000114C4">
        <w:t>3,5,9,13</w:t>
      </w:r>
      <w:r w:rsidR="000114C4" w:rsidRPr="00F62769">
        <w:rPr>
          <w:color w:val="000000"/>
        </w:rPr>
        <w:t>–</w:t>
      </w:r>
      <w:r w:rsidR="000114C4">
        <w:rPr>
          <w:color w:val="000000"/>
        </w:rPr>
        <w:t>16,</w:t>
      </w:r>
      <w:r w:rsidR="000114C4">
        <w:t>19,20,23,24</w:t>
      </w:r>
      <w:r w:rsidR="00562E06">
        <w:t>)</w:t>
      </w:r>
      <w:r>
        <w:t>.</w:t>
      </w:r>
    </w:p>
    <w:p w14:paraId="1C37FB6A" w14:textId="77777777" w:rsidR="00C733C0" w:rsidRDefault="00C733C0" w:rsidP="00C733C0">
      <w:pPr>
        <w:spacing w:line="480" w:lineRule="auto"/>
      </w:pPr>
    </w:p>
    <w:p w14:paraId="17D4D523" w14:textId="6FF4DCB6" w:rsidR="0097617E" w:rsidRDefault="0097617E" w:rsidP="001B38E5">
      <w:pPr>
        <w:pStyle w:val="Heading1"/>
        <w:spacing w:line="480" w:lineRule="auto"/>
      </w:pPr>
      <w:r>
        <w:t>Effects of follow-up time duration: full results</w:t>
      </w:r>
    </w:p>
    <w:p w14:paraId="0B80D56B" w14:textId="5136F581" w:rsidR="00FC3762" w:rsidRDefault="00EF51ED" w:rsidP="00C733C0">
      <w:pPr>
        <w:spacing w:line="480" w:lineRule="auto"/>
      </w:pPr>
      <w:r>
        <w:t xml:space="preserve">We found no significant evidence that the risks of non-breast SPCs </w:t>
      </w:r>
      <w:r w:rsidR="00D102BC" w:rsidRPr="00D102BC">
        <w:t xml:space="preserve">differed in the first 5 years following a BC diagnosis compared to later years (SIR: 1.57, 95%CI: 1.11-2.21 </w:t>
      </w:r>
      <w:r w:rsidR="00896B52">
        <w:t>in the first 5 years</w:t>
      </w:r>
      <w:r w:rsidR="00D102BC" w:rsidRPr="00D102BC">
        <w:t xml:space="preserve"> vs 1.29 (1.01-1.66) </w:t>
      </w:r>
      <w:r w:rsidR="00896B52">
        <w:t>thereafter</w:t>
      </w:r>
      <w:r w:rsidR="00D102BC" w:rsidRPr="00D102BC">
        <w:t>, p for difference: 0.38</w:t>
      </w:r>
      <w:r>
        <w:t xml:space="preserve">, Figure </w:t>
      </w:r>
      <w:r w:rsidR="002105FF">
        <w:t>A</w:t>
      </w:r>
      <w:r>
        <w:t>2</w:t>
      </w:r>
      <w:r w:rsidR="00D102BC" w:rsidRPr="00D102BC">
        <w:t xml:space="preserve">). </w:t>
      </w:r>
      <w:r w:rsidR="00FC3762">
        <w:t xml:space="preserve">We observed significant heterogeneity in both strata (First 5 years: </w:t>
      </w:r>
      <w:r w:rsidR="00FC3762" w:rsidRPr="00580526">
        <w:t xml:space="preserve">Q: </w:t>
      </w:r>
      <w:r w:rsidR="00FC3762">
        <w:t>485.27</w:t>
      </w:r>
      <w:r w:rsidR="00FC3762" w:rsidRPr="00580526">
        <w:t>, I</w:t>
      </w:r>
      <w:r w:rsidR="00FC3762" w:rsidRPr="00580526">
        <w:rPr>
          <w:vertAlign w:val="superscript"/>
        </w:rPr>
        <w:t>2</w:t>
      </w:r>
      <w:r w:rsidR="00FC3762" w:rsidRPr="00580526">
        <w:t xml:space="preserve">: </w:t>
      </w:r>
      <w:r w:rsidR="00FC3762">
        <w:t>99</w:t>
      </w:r>
      <w:r w:rsidR="00FC3762" w:rsidRPr="00580526">
        <w:t>%, p &lt; 0.001</w:t>
      </w:r>
      <w:r w:rsidR="00FC3762">
        <w:t xml:space="preserve">. Thereafter: </w:t>
      </w:r>
      <w:r w:rsidR="00FC3762" w:rsidRPr="00580526">
        <w:t xml:space="preserve">Q: </w:t>
      </w:r>
      <w:r w:rsidR="00FC3762">
        <w:t>272.35</w:t>
      </w:r>
      <w:r w:rsidR="00FC3762" w:rsidRPr="00580526">
        <w:t>, I</w:t>
      </w:r>
      <w:r w:rsidR="00FC3762" w:rsidRPr="00580526">
        <w:rPr>
          <w:vertAlign w:val="superscript"/>
        </w:rPr>
        <w:t>2</w:t>
      </w:r>
      <w:r w:rsidR="00FC3762" w:rsidRPr="00580526">
        <w:t xml:space="preserve">: </w:t>
      </w:r>
      <w:r w:rsidR="00FC3762">
        <w:t>98</w:t>
      </w:r>
      <w:r w:rsidR="00FC3762" w:rsidRPr="00580526">
        <w:t>%, p &lt; 0.001</w:t>
      </w:r>
      <w:r w:rsidR="00FC3762">
        <w:t>).</w:t>
      </w:r>
    </w:p>
    <w:p w14:paraId="4A955D16" w14:textId="77777777" w:rsidR="00FC3762" w:rsidRDefault="00FC3762" w:rsidP="00C733C0">
      <w:pPr>
        <w:spacing w:line="480" w:lineRule="auto"/>
      </w:pPr>
    </w:p>
    <w:p w14:paraId="7121AE75" w14:textId="48E79107" w:rsidR="007C6E43" w:rsidRPr="000E5A23" w:rsidRDefault="00D102BC" w:rsidP="00C733C0">
      <w:pPr>
        <w:spacing w:line="480" w:lineRule="auto"/>
      </w:pPr>
      <w:r w:rsidRPr="00D102BC">
        <w:t xml:space="preserve">Similarly, no significant evidence was found for a difference between SPC risks within the first 10 years following a BC diagnosis and SPC risks beyond this period </w:t>
      </w:r>
      <w:r w:rsidR="00EF51ED" w:rsidRPr="00D102BC">
        <w:t>(SIR: 1.</w:t>
      </w:r>
      <w:r w:rsidR="00083E0D">
        <w:t>35</w:t>
      </w:r>
      <w:r w:rsidR="00EF51ED" w:rsidRPr="00D102BC">
        <w:t>, 95%CI: 1.1</w:t>
      </w:r>
      <w:r w:rsidR="00083E0D">
        <w:t>2</w:t>
      </w:r>
      <w:r w:rsidR="00EF51ED" w:rsidRPr="00D102BC">
        <w:t>-</w:t>
      </w:r>
      <w:r w:rsidR="00083E0D">
        <w:t>1.62</w:t>
      </w:r>
      <w:r w:rsidR="00EF51ED" w:rsidRPr="00D102BC">
        <w:t xml:space="preserve"> </w:t>
      </w:r>
      <w:r w:rsidR="00896B52">
        <w:t>in the first 10 years</w:t>
      </w:r>
      <w:r w:rsidR="00EF51ED" w:rsidRPr="00D102BC">
        <w:t xml:space="preserve"> vs 1.</w:t>
      </w:r>
      <w:r w:rsidR="00083E0D">
        <w:t>35</w:t>
      </w:r>
      <w:r w:rsidR="00EF51ED" w:rsidRPr="00D102BC">
        <w:t xml:space="preserve"> (1.</w:t>
      </w:r>
      <w:r w:rsidR="00083E0D">
        <w:t>18</w:t>
      </w:r>
      <w:r w:rsidR="00EF51ED" w:rsidRPr="00D102BC">
        <w:t>-1.</w:t>
      </w:r>
      <w:r w:rsidR="00083E0D">
        <w:t>55</w:t>
      </w:r>
      <w:r w:rsidR="00896B52">
        <w:t>) thereafter</w:t>
      </w:r>
      <w:r w:rsidR="00EF51ED" w:rsidRPr="00D102BC">
        <w:t>, p for difference: 0.</w:t>
      </w:r>
      <w:r w:rsidR="00083E0D">
        <w:t>99</w:t>
      </w:r>
      <w:r w:rsidR="00EF51ED">
        <w:t xml:space="preserve">, Figure </w:t>
      </w:r>
      <w:r w:rsidR="002105FF">
        <w:t>A</w:t>
      </w:r>
      <w:r w:rsidR="00EF51ED">
        <w:t>3</w:t>
      </w:r>
      <w:r w:rsidR="00EF51ED" w:rsidRPr="00D102BC">
        <w:t>).</w:t>
      </w:r>
      <w:r w:rsidR="00FC3762">
        <w:t xml:space="preserve"> We also found heterogeneity in each of these strata (First 10 years: </w:t>
      </w:r>
      <w:r w:rsidR="00FC3762" w:rsidRPr="00580526">
        <w:t xml:space="preserve">Q: </w:t>
      </w:r>
      <w:r w:rsidR="00FC3762">
        <w:t>417.77</w:t>
      </w:r>
      <w:r w:rsidR="00FC3762" w:rsidRPr="00580526">
        <w:t>, I</w:t>
      </w:r>
      <w:r w:rsidR="00FC3762" w:rsidRPr="00580526">
        <w:rPr>
          <w:vertAlign w:val="superscript"/>
        </w:rPr>
        <w:t>2</w:t>
      </w:r>
      <w:r w:rsidR="00FC3762" w:rsidRPr="00580526">
        <w:t xml:space="preserve">: </w:t>
      </w:r>
      <w:r w:rsidR="00FC3762">
        <w:t>99</w:t>
      </w:r>
      <w:r w:rsidR="00FC3762" w:rsidRPr="00580526">
        <w:t>%, p &lt; 0.001</w:t>
      </w:r>
      <w:r w:rsidR="00FC3762">
        <w:t xml:space="preserve">. Thereafter: </w:t>
      </w:r>
      <w:r w:rsidR="00FC3762" w:rsidRPr="00580526">
        <w:t xml:space="preserve">Q: </w:t>
      </w:r>
      <w:r w:rsidR="00FC3762">
        <w:t>43.25</w:t>
      </w:r>
      <w:r w:rsidR="00FC3762" w:rsidRPr="00580526">
        <w:t>, I</w:t>
      </w:r>
      <w:r w:rsidR="00FC3762" w:rsidRPr="00580526">
        <w:rPr>
          <w:vertAlign w:val="superscript"/>
        </w:rPr>
        <w:t>2</w:t>
      </w:r>
      <w:r w:rsidR="00FC3762" w:rsidRPr="00580526">
        <w:t xml:space="preserve">: </w:t>
      </w:r>
      <w:r w:rsidR="00FC3762">
        <w:t>95</w:t>
      </w:r>
      <w:r w:rsidR="00FC3762" w:rsidRPr="00580526">
        <w:t>%, p &lt; 0.001</w:t>
      </w:r>
      <w:r w:rsidR="00FC3762">
        <w:t>).</w:t>
      </w:r>
    </w:p>
    <w:p w14:paraId="3D6E3A85" w14:textId="77777777" w:rsidR="00F9043E" w:rsidRDefault="00F9043E" w:rsidP="00B4441E">
      <w:pPr>
        <w:pStyle w:val="Heading1"/>
        <w:spacing w:line="480" w:lineRule="auto"/>
      </w:pPr>
    </w:p>
    <w:p w14:paraId="56FCDD89" w14:textId="7528E88C" w:rsidR="00B4441E" w:rsidRPr="00B4441E" w:rsidRDefault="00B4441E" w:rsidP="00B4441E">
      <w:pPr>
        <w:pStyle w:val="Heading1"/>
        <w:spacing w:line="480" w:lineRule="auto"/>
      </w:pPr>
      <w:r>
        <w:t>Notes</w:t>
      </w:r>
    </w:p>
    <w:p w14:paraId="02A2F4A3" w14:textId="74598C3D" w:rsidR="009F2554" w:rsidRPr="007C6E43" w:rsidRDefault="002679C5" w:rsidP="00C733C0">
      <w:pPr>
        <w:spacing w:line="480" w:lineRule="auto"/>
        <w:rPr>
          <w:i/>
          <w:iCs/>
        </w:rPr>
      </w:pPr>
      <w:r>
        <w:rPr>
          <w:i/>
          <w:iCs/>
        </w:rPr>
        <w:t>It should be noted that all abbreviations and reference numbers correspond to those used in the primary manuscript</w:t>
      </w:r>
      <w:r w:rsidR="007C6E43">
        <w:rPr>
          <w:i/>
          <w:iCs/>
        </w:rPr>
        <w:t>.</w:t>
      </w:r>
    </w:p>
    <w:p w14:paraId="32F9113D" w14:textId="77777777" w:rsidR="001B6189" w:rsidRDefault="001B6189" w:rsidP="00C733C0">
      <w:pPr>
        <w:spacing w:line="480" w:lineRule="auto"/>
        <w:rPr>
          <w:b/>
          <w:bCs/>
          <w:noProof/>
        </w:rPr>
        <w:sectPr w:rsidR="001B6189" w:rsidSect="009F2554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CDA759" w14:textId="258EEE54" w:rsidR="001B6189" w:rsidRPr="00F237FD" w:rsidRDefault="009F2554" w:rsidP="00C733C0">
      <w:pPr>
        <w:spacing w:line="480" w:lineRule="auto"/>
        <w:rPr>
          <w:b/>
          <w:bCs/>
          <w:noProof/>
        </w:rPr>
        <w:sectPr w:rsidR="001B6189" w:rsidRPr="00F237FD" w:rsidSect="001B61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DFB1E3F" wp14:editId="55C4560A">
            <wp:simplePos x="0" y="0"/>
            <wp:positionH relativeFrom="margin">
              <wp:align>center</wp:align>
            </wp:positionH>
            <wp:positionV relativeFrom="paragraph">
              <wp:posOffset>444500</wp:posOffset>
            </wp:positionV>
            <wp:extent cx="9290050" cy="4499610"/>
            <wp:effectExtent l="0" t="0" r="6350" b="0"/>
            <wp:wrapTight wrapText="bothSides">
              <wp:wrapPolygon edited="0">
                <wp:start x="0" y="0"/>
                <wp:lineTo x="0" y="21490"/>
                <wp:lineTo x="21570" y="21490"/>
                <wp:lineTo x="21570" y="0"/>
                <wp:lineTo x="0" y="0"/>
              </wp:wrapPolygon>
            </wp:wrapTight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0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t xml:space="preserve">Figure </w:t>
      </w:r>
      <w:r w:rsidR="002105FF">
        <w:rPr>
          <w:b/>
          <w:bCs/>
          <w:noProof/>
        </w:rPr>
        <w:t>A</w:t>
      </w:r>
      <w:r>
        <w:rPr>
          <w:b/>
          <w:bCs/>
          <w:noProof/>
        </w:rPr>
        <w:t xml:space="preserve">1: Funnel plot: standard error against standardized incidence ratio among studies included in the unstratified meta-analysis. </w:t>
      </w:r>
    </w:p>
    <w:p w14:paraId="752B3DA7" w14:textId="49B13EBD" w:rsidR="003B7D77" w:rsidRDefault="003B7D77" w:rsidP="00666A6D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Figure </w:t>
      </w:r>
      <w:r w:rsidR="002105FF">
        <w:rPr>
          <w:b/>
          <w:bCs/>
        </w:rPr>
        <w:t>A</w:t>
      </w:r>
      <w:r>
        <w:rPr>
          <w:b/>
          <w:bCs/>
        </w:rPr>
        <w:t>2: Second non-breast primary risks following first primary breast cancers. Stratification: follow-up time duration (5 years).</w:t>
      </w:r>
    </w:p>
    <w:p w14:paraId="16E91DD1" w14:textId="77777777" w:rsidR="003B7D77" w:rsidRDefault="003B7D77" w:rsidP="00666A6D">
      <w:pPr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298F01" wp14:editId="3D5FD60E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5537200" cy="3750945"/>
            <wp:effectExtent l="0" t="0" r="6350" b="1905"/>
            <wp:wrapTight wrapText="bothSides">
              <wp:wrapPolygon edited="0">
                <wp:start x="0" y="0"/>
                <wp:lineTo x="0" y="21501"/>
                <wp:lineTo x="21550" y="21501"/>
                <wp:lineTo x="21550" y="0"/>
                <wp:lineTo x="0" y="0"/>
              </wp:wrapPolygon>
            </wp:wrapTight>
            <wp:docPr id="4" name="Picture 4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C0A13" w14:textId="20A3B5DF" w:rsidR="001B6189" w:rsidRDefault="001B6189" w:rsidP="00666A6D">
      <w:pPr>
        <w:spacing w:line="360" w:lineRule="auto"/>
      </w:pPr>
    </w:p>
    <w:p w14:paraId="33ACC573" w14:textId="0D9B350A" w:rsidR="003B7D77" w:rsidRDefault="003B7D77" w:rsidP="00666A6D">
      <w:pPr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6D1F260" wp14:editId="3F4C0F69">
            <wp:simplePos x="0" y="0"/>
            <wp:positionH relativeFrom="margin">
              <wp:align>right</wp:align>
            </wp:positionH>
            <wp:positionV relativeFrom="paragraph">
              <wp:posOffset>635000</wp:posOffset>
            </wp:positionV>
            <wp:extent cx="5731510" cy="2931795"/>
            <wp:effectExtent l="0" t="0" r="2540" b="1905"/>
            <wp:wrapTight wrapText="bothSides">
              <wp:wrapPolygon edited="0">
                <wp:start x="0" y="0"/>
                <wp:lineTo x="0" y="21474"/>
                <wp:lineTo x="21538" y="21474"/>
                <wp:lineTo x="21538" y="0"/>
                <wp:lineTo x="0" y="0"/>
              </wp:wrapPolygon>
            </wp:wrapTight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Figure </w:t>
      </w:r>
      <w:r w:rsidR="002105FF">
        <w:rPr>
          <w:b/>
          <w:bCs/>
        </w:rPr>
        <w:t>A</w:t>
      </w:r>
      <w:r>
        <w:rPr>
          <w:b/>
          <w:bCs/>
        </w:rPr>
        <w:t>3: Second non-breast primary risks following first primary breast cancers. Stratification: follow-up time duration (10 years).</w:t>
      </w:r>
    </w:p>
    <w:p w14:paraId="5ECF1E07" w14:textId="5ADA6711" w:rsidR="007272E4" w:rsidRDefault="005205FF" w:rsidP="00666A6D">
      <w:pPr>
        <w:spacing w:line="240" w:lineRule="auto"/>
        <w:rPr>
          <w:b/>
          <w:bCs/>
        </w:rPr>
      </w:pPr>
      <w:bookmarkStart w:id="0" w:name="_Hlk104307500"/>
      <w:r>
        <w:rPr>
          <w:b/>
          <w:bCs/>
        </w:rPr>
        <w:lastRenderedPageBreak/>
        <w:t xml:space="preserve">Table </w:t>
      </w:r>
      <w:r w:rsidR="002105FF">
        <w:rPr>
          <w:b/>
          <w:bCs/>
        </w:rPr>
        <w:t>A</w:t>
      </w:r>
      <w:r w:rsidR="00AA4E2E">
        <w:rPr>
          <w:b/>
          <w:bCs/>
        </w:rPr>
        <w:t>1</w:t>
      </w:r>
      <w:r>
        <w:rPr>
          <w:b/>
          <w:bCs/>
        </w:rPr>
        <w:t xml:space="preserve">: Newcastle-Ottawa </w:t>
      </w:r>
      <w:r w:rsidR="00734C6F">
        <w:rPr>
          <w:b/>
          <w:bCs/>
        </w:rPr>
        <w:t xml:space="preserve">scale </w:t>
      </w:r>
      <w:r>
        <w:rPr>
          <w:b/>
          <w:bCs/>
        </w:rPr>
        <w:t>scores, assigned to each study in systematic review</w:t>
      </w:r>
    </w:p>
    <w:p w14:paraId="212AFFB1" w14:textId="77777777" w:rsidR="00666A6D" w:rsidRDefault="00666A6D" w:rsidP="00666A6D">
      <w:pPr>
        <w:spacing w:line="240" w:lineRule="auto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75"/>
        <w:gridCol w:w="1570"/>
        <w:gridCol w:w="1832"/>
        <w:gridCol w:w="1560"/>
      </w:tblGrid>
      <w:tr w:rsidR="00F93A67" w:rsidRPr="007272E4" w14:paraId="6D1697FE" w14:textId="77777777" w:rsidTr="002679C5">
        <w:trPr>
          <w:trHeight w:hRule="exact" w:val="817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2BDE253B" w14:textId="6B08E4CE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Author and publicatio</w:t>
            </w:r>
            <w:r w:rsidR="00666A6D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n </w:t>
            </w: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year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4471A2F" w14:textId="382A653A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NOS</w:t>
            </w:r>
            <w:r w:rsidR="00204164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n-GB"/>
              </w:rPr>
              <w:t>1</w:t>
            </w: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 scale selection score (/4)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6C43712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NOS scale comparability score (/2)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08177A5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NOS scale outcome score (/3)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1D7C112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NOS scale total score (/9)</w:t>
            </w:r>
          </w:p>
        </w:tc>
      </w:tr>
      <w:tr w:rsidR="00F93A67" w:rsidRPr="007272E4" w14:paraId="0A80EDA0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16D1DDEB" w14:textId="4DA1633B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AIRTUM Working Group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2013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3B308E" w14:textId="69F2A94F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5C26331" w14:textId="24C9BA09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D644411" w14:textId="3D13B90C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A93FDEB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204164" w:rsidRPr="007272E4" w14:paraId="27A8ECF4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06C0B7A4" w14:textId="4368AABF" w:rsidR="00C3443D" w:rsidRPr="007272E4" w:rsidRDefault="00C3443D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Andersson 2008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51CD98" w14:textId="510AE107" w:rsidR="00C3443D" w:rsidRPr="007272E4" w:rsidRDefault="0035499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1F4910D8" w14:textId="02DC0A6B" w:rsidR="00C3443D" w:rsidRPr="007272E4" w:rsidRDefault="0035499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117F307" w14:textId="4E885A26" w:rsidR="00C3443D" w:rsidRPr="007272E4" w:rsidRDefault="0035499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D3351A" w14:textId="5FF7553F" w:rsidR="00C3443D" w:rsidRPr="007272E4" w:rsidRDefault="0035499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3E273D92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0F28D105" w14:textId="216B32D6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Brenner 1993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3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E761A4" w14:textId="2A04B512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699AC97" w14:textId="1960413E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07EF8CB" w14:textId="30E3C575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21B58B8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C3443D" w:rsidRPr="007272E4" w14:paraId="162D143F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796F37FF" w14:textId="288A003A" w:rsidR="00C3443D" w:rsidRPr="007272E4" w:rsidRDefault="00C3443D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Brown 2007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4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C42CAB" w14:textId="431297B8" w:rsidR="00C3443D" w:rsidRPr="007272E4" w:rsidRDefault="009D1AA5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12F27FDB" w14:textId="3B5348A8" w:rsidR="00C3443D" w:rsidRPr="007272E4" w:rsidRDefault="009D1AA5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C1F9EF7" w14:textId="05173492" w:rsidR="00C3443D" w:rsidRPr="007272E4" w:rsidRDefault="009D1AA5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226297" w14:textId="664868DA" w:rsidR="00C3443D" w:rsidRPr="007272E4" w:rsidRDefault="009D1AA5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F93A67" w:rsidRPr="007272E4" w14:paraId="0E8035CA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604B0526" w14:textId="51378BA8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Chen 2015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5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11724C" w14:textId="64B209A3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D5AB23C" w14:textId="0595CC57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B74A5D3" w14:textId="7409E84A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0A7D92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7272E4" w:rsidRPr="007272E4" w14:paraId="3219BB9E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8A83A42" w14:textId="3378DF9D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Diab 2016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6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CFE061" w14:textId="41F49036" w:rsidR="007272E4" w:rsidRPr="007272E4" w:rsidRDefault="00280A6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79DF9A03" w14:textId="2DD0FB22" w:rsidR="007272E4" w:rsidRPr="007272E4" w:rsidRDefault="00FE4CA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2246ED0" w14:textId="08D350D7" w:rsidR="007272E4" w:rsidRPr="007272E4" w:rsidRDefault="00FE4CA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BBCFA5" w14:textId="5E4D407B" w:rsidR="007272E4" w:rsidRPr="007272E4" w:rsidRDefault="00280A6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7A0B07E4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679C4180" w14:textId="60F96A8B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Evans 2001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7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89B166" w14:textId="7EE1A95F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D679774" w14:textId="3255D564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A2A31A8" w14:textId="2D8B54C9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FBFBEE3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F93A67" w:rsidRPr="007272E4" w14:paraId="2BD69A6A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143AB8BB" w14:textId="45A65FA1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Gulhan 2009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19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CD9E00" w14:textId="292440EF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A332518" w14:textId="226D4D2F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6722BAF2" w14:textId="11599247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A6ABCB7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7272E4" w:rsidRPr="007272E4" w14:paraId="5C3DAA35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08A6EBFB" w14:textId="54CFB2F0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Harvey 1985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8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B7AA7E" w14:textId="25DF3706" w:rsidR="007272E4" w:rsidRPr="007272E4" w:rsidRDefault="00800E8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F1460FD" w14:textId="7F4EBA44" w:rsidR="007272E4" w:rsidRPr="007272E4" w:rsidRDefault="00800E8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BD9B31C" w14:textId="0A4CC1C9" w:rsidR="007272E4" w:rsidRPr="007272E4" w:rsidRDefault="00800E8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B913E9" w14:textId="3DB2F1E5" w:rsidR="007272E4" w:rsidRPr="007272E4" w:rsidRDefault="00800E8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F93A67" w:rsidRPr="007272E4" w14:paraId="23ECEF73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1F4E6FD4" w14:textId="57C9E3CF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Hung 2016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20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24EC2A" w14:textId="077EB281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684BA0F" w14:textId="68EC8C38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CE2B123" w14:textId="1A4866D5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B23D77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008D351B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53AAD3EF" w14:textId="769FE976" w:rsidR="00C3443D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Jégu 2014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9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916AC3" w14:textId="6835CD78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4B9AD1A" w14:textId="62F3519F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232BEBA" w14:textId="095A2969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FCB97D9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23826F97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443AF50C" w14:textId="56D3310B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Jung 2017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21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D79598" w14:textId="0E2A9299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7D92AB0D" w14:textId="2EA40952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EB912D2" w14:textId="6D0F3BA2" w:rsidR="00042EA6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D14014C" w14:textId="606979B7" w:rsidR="00042EA6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F93A67" w:rsidRPr="007272E4" w14:paraId="5C979932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7EC9F5D2" w14:textId="3B6F093E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Lee 2008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22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E87A64" w14:textId="64721A57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5AC26F9" w14:textId="732E6894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85FCD5D" w14:textId="0627C9C3" w:rsidR="00042EA6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E563762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F93A67" w:rsidRPr="007272E4" w14:paraId="5A63B210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3EDCF0E6" w14:textId="0C0730C5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Levi 2003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10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128A50" w14:textId="7717E3C9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B50E1FA" w14:textId="20E0F6D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8F9EF2A" w14:textId="5D3DD2DC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758F2B3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F93A67" w:rsidRPr="007272E4" w14:paraId="39E39C12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3DB30560" w14:textId="4FDE466C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Mellemkjaer 2006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11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7E20D7E" w14:textId="71E08A94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62C578A" w14:textId="64B3304B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E272EE2" w14:textId="4CDD3529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03E8791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F93A67" w:rsidRPr="007272E4" w14:paraId="3B00B999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47A5C424" w14:textId="501603B1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Molina-Montes 2013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12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626EA6" w14:textId="212EC181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43B9A6B" w14:textId="48E88339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D9FB29D" w14:textId="1335AF8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29436A1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3EADAFEF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25DCE6D8" w14:textId="1736DC1D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Murakami 1987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23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90B227" w14:textId="6251371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180F592A" w14:textId="512D216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1FDC4F51" w14:textId="4FFEE88E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1DB8C99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7272E4" w:rsidRPr="007272E4" w14:paraId="7CE3557F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377038EA" w14:textId="58CA02A3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Odani 2021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24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44432" w14:textId="5FA6115F" w:rsidR="007272E4" w:rsidRPr="007272E4" w:rsidRDefault="00A7795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0F90E2D" w14:textId="66E79E26" w:rsidR="007272E4" w:rsidRPr="007272E4" w:rsidRDefault="00A7795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DA1B049" w14:textId="5EAAF5D7" w:rsidR="007272E4" w:rsidRPr="007272E4" w:rsidRDefault="00A7795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F4B57D" w14:textId="00F5424E" w:rsidR="007272E4" w:rsidRPr="007272E4" w:rsidRDefault="00A7795A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21351797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28434250" w14:textId="2E397C19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Ricceri 2015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13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53AC6A" w14:textId="08D4F38A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00A1E93" w14:textId="2A37FB56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F43AC7E" w14:textId="7F683099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23D355E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34C8EC98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0CD6B76D" w14:textId="24145ED3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Rubino 2000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14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479396" w14:textId="04BC3E53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68F5A3CD" w14:textId="1AC2B771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3299E629" w14:textId="1019BFFA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1F81F1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F93A67" w:rsidRPr="007272E4" w14:paraId="532377E7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1B29483B" w14:textId="122228F8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Schaapveld 2008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15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9C4BE14" w14:textId="70DF9F0B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2BBCB30C" w14:textId="1A0A3ED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012DAC87" w14:textId="17A778B0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040705D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7272E4" w:rsidRPr="007272E4" w14:paraId="24CC2B4F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0BCFD30F" w14:textId="1990C0B7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Schottenfeld 1971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16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E09548" w14:textId="322F8A62" w:rsidR="007272E4" w:rsidRPr="007272E4" w:rsidRDefault="00A46A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8CBB2CA" w14:textId="03FC4540" w:rsidR="007272E4" w:rsidRPr="007272E4" w:rsidRDefault="00A46A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4996BBBC" w14:textId="3C863717" w:rsidR="007272E4" w:rsidRPr="007272E4" w:rsidRDefault="00A46A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ACF8A9" w14:textId="64DC8CCB" w:rsidR="007272E4" w:rsidRPr="007272E4" w:rsidRDefault="00A46A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7272E4" w:rsidRPr="007272E4" w14:paraId="22DB382B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3A6A52BC" w14:textId="59E2B49E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Silverman 2016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25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F4D3F6" w14:textId="21051AE8" w:rsidR="007272E4" w:rsidRPr="007272E4" w:rsidRDefault="00CF0E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1A7439CB" w14:textId="5BE5EA21" w:rsidR="007272E4" w:rsidRPr="007272E4" w:rsidRDefault="00CF0E7E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7D9E7C6" w14:textId="4FBB96FD" w:rsidR="007272E4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9D9E9F" w14:textId="30B0F5F1" w:rsidR="007272E4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7272E4" w:rsidRPr="007272E4" w14:paraId="425920C1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6F11E4BA" w14:textId="21CC8EE3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Tabuchi 2012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26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809E7F" w14:textId="135D0E29" w:rsidR="007272E4" w:rsidRPr="007272E4" w:rsidRDefault="00D742E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0D4D2969" w14:textId="73F5018D" w:rsidR="007272E4" w:rsidRPr="007272E4" w:rsidRDefault="00D742E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43A4841" w14:textId="08EC24E8" w:rsidR="007272E4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EC6" w14:textId="695B7D47" w:rsidR="007272E4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7272E4" w:rsidRPr="007272E4" w14:paraId="400F6174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</w:tcPr>
          <w:p w14:paraId="0980CF84" w14:textId="1D6F4F8F" w:rsidR="007272E4" w:rsidRPr="007272E4" w:rsidRDefault="007272E4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Trama 2022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17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A5A105" w14:textId="6990112F" w:rsidR="007272E4" w:rsidRPr="007272E4" w:rsidRDefault="0090201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61EFAC8" w14:textId="56F02B50" w:rsidR="007272E4" w:rsidRPr="007272E4" w:rsidRDefault="0090201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D87ACD0" w14:textId="56BA83D6" w:rsidR="007272E4" w:rsidRPr="007272E4" w:rsidRDefault="0090201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FD7F74" w14:textId="4C609889" w:rsidR="007272E4" w:rsidRPr="007272E4" w:rsidRDefault="00902018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F93A67" w:rsidRPr="007272E4" w14:paraId="71EA417A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5F5FD5EE" w14:textId="6B09E51E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Tsukuma 1994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 xml:space="preserve"> 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27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9EF5EE" w14:textId="15A95777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3F4DAFEF" w14:textId="6CD14E9D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2263430F" w14:textId="240A847D" w:rsidR="00042EA6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106B1E" w14:textId="7836D10D" w:rsidR="00042EA6" w:rsidRPr="007272E4" w:rsidRDefault="008B4D9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F93A67" w:rsidRPr="007272E4" w14:paraId="07437191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42DECE85" w14:textId="39B78E40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Utada 2014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28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8A59F0D" w14:textId="2BB1E78F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4D3B4A8" w14:textId="717AAB51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48C6391E" w14:textId="2E29EE77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78A148E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F93A67" w:rsidRPr="007272E4" w14:paraId="5CF95BE4" w14:textId="77777777" w:rsidTr="002679C5">
        <w:trPr>
          <w:trHeight w:hRule="exact" w:val="266"/>
          <w:jc w:val="center"/>
        </w:trPr>
        <w:tc>
          <w:tcPr>
            <w:tcW w:w="3256" w:type="dxa"/>
            <w:shd w:val="clear" w:color="auto" w:fill="auto"/>
            <w:vAlign w:val="center"/>
            <w:hideMark/>
          </w:tcPr>
          <w:p w14:paraId="41688365" w14:textId="43579D4D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 xml:space="preserve">Zheng 2018 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(</w:t>
            </w:r>
            <w:r w:rsidR="00C650E9">
              <w:rPr>
                <w:rFonts w:eastAsia="Times New Roman" w:cstheme="minorHAnsi"/>
                <w:color w:val="000000"/>
                <w:lang w:eastAsia="en-GB"/>
              </w:rPr>
              <w:t>18</w:t>
            </w:r>
            <w:r w:rsidR="002679C5">
              <w:rPr>
                <w:rFonts w:eastAsia="Times New Roman" w:cstheme="minorHAnsi"/>
                <w:color w:val="000000"/>
                <w:lang w:eastAsia="en-GB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858A9D" w14:textId="01894C2E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B238977" w14:textId="580C0445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0</w:t>
            </w:r>
          </w:p>
        </w:tc>
        <w:tc>
          <w:tcPr>
            <w:tcW w:w="1832" w:type="dxa"/>
            <w:shd w:val="clear" w:color="auto" w:fill="auto"/>
            <w:vAlign w:val="center"/>
            <w:hideMark/>
          </w:tcPr>
          <w:p w14:paraId="7D5D91AA" w14:textId="0DD6EF53" w:rsidR="00042EA6" w:rsidRPr="007272E4" w:rsidRDefault="00F93A67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9AA1521" w14:textId="77777777" w:rsidR="00042EA6" w:rsidRPr="007272E4" w:rsidRDefault="00042EA6" w:rsidP="00666A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272E4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</w:tbl>
    <w:p w14:paraId="05AAA9D0" w14:textId="017F0567" w:rsidR="00204164" w:rsidRPr="00C733C0" w:rsidRDefault="00204164" w:rsidP="00666A6D">
      <w:pPr>
        <w:spacing w:line="240" w:lineRule="auto"/>
      </w:pPr>
      <w:r w:rsidRPr="005C7F7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732F5B" wp14:editId="21D6BCF2">
                <wp:simplePos x="0" y="0"/>
                <wp:positionH relativeFrom="margin">
                  <wp:posOffset>-215900</wp:posOffset>
                </wp:positionH>
                <wp:positionV relativeFrom="paragraph">
                  <wp:posOffset>219075</wp:posOffset>
                </wp:positionV>
                <wp:extent cx="6184900" cy="38100"/>
                <wp:effectExtent l="0" t="0" r="2540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490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C1D4C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pt,17.25pt" to="470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5E56474" w14:textId="77777777" w:rsidR="00666A6D" w:rsidRDefault="00666A6D" w:rsidP="00666A6D">
      <w:pPr>
        <w:spacing w:line="240" w:lineRule="auto"/>
        <w:rPr>
          <w:sz w:val="16"/>
          <w:szCs w:val="16"/>
          <w:vertAlign w:val="superscript"/>
        </w:rPr>
      </w:pPr>
    </w:p>
    <w:p w14:paraId="7F415531" w14:textId="099FE373" w:rsidR="00204164" w:rsidRPr="005205FF" w:rsidRDefault="00204164" w:rsidP="00666A6D">
      <w:pPr>
        <w:spacing w:line="240" w:lineRule="auto"/>
        <w:rPr>
          <w:sz w:val="16"/>
          <w:szCs w:val="16"/>
        </w:rPr>
      </w:pPr>
      <w:r w:rsidRPr="005205FF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Newcastle-Ottawa Scale</w:t>
      </w:r>
    </w:p>
    <w:bookmarkEnd w:id="0"/>
    <w:p w14:paraId="086E6389" w14:textId="04CB0BC3" w:rsidR="0026401A" w:rsidRDefault="0026401A" w:rsidP="00666A6D">
      <w:pPr>
        <w:spacing w:line="240" w:lineRule="auto"/>
      </w:pPr>
    </w:p>
    <w:p w14:paraId="7258D0B9" w14:textId="27FB9521" w:rsidR="00F93A67" w:rsidRDefault="00F93A67" w:rsidP="00666A6D">
      <w:pPr>
        <w:spacing w:line="240" w:lineRule="auto"/>
      </w:pPr>
    </w:p>
    <w:p w14:paraId="18E751AE" w14:textId="77777777" w:rsidR="00C733C0" w:rsidRDefault="00C733C0" w:rsidP="00666A6D">
      <w:pPr>
        <w:spacing w:line="240" w:lineRule="auto"/>
        <w:rPr>
          <w:b/>
          <w:bCs/>
        </w:rPr>
      </w:pPr>
      <w:bookmarkStart w:id="1" w:name="_Hlk104307530"/>
    </w:p>
    <w:p w14:paraId="2BE956CA" w14:textId="77777777" w:rsidR="00C733C0" w:rsidRDefault="00C733C0" w:rsidP="00666A6D">
      <w:pPr>
        <w:spacing w:line="240" w:lineRule="auto"/>
        <w:rPr>
          <w:b/>
          <w:bCs/>
        </w:rPr>
      </w:pPr>
    </w:p>
    <w:p w14:paraId="47967631" w14:textId="77777777" w:rsidR="00C733C0" w:rsidRDefault="00C733C0" w:rsidP="00666A6D">
      <w:pPr>
        <w:spacing w:line="240" w:lineRule="auto"/>
        <w:rPr>
          <w:b/>
          <w:bCs/>
        </w:rPr>
      </w:pPr>
    </w:p>
    <w:p w14:paraId="6E4CBFE8" w14:textId="77777777" w:rsidR="00666A6D" w:rsidRDefault="00666A6D" w:rsidP="00666A6D">
      <w:pPr>
        <w:spacing w:line="240" w:lineRule="auto"/>
        <w:rPr>
          <w:b/>
          <w:bCs/>
        </w:rPr>
      </w:pPr>
    </w:p>
    <w:bookmarkEnd w:id="1"/>
    <w:p w14:paraId="69959014" w14:textId="017CD328" w:rsidR="00603210" w:rsidRPr="0046458C" w:rsidRDefault="0046458C" w:rsidP="00666A6D">
      <w:pPr>
        <w:spacing w:line="240" w:lineRule="auto"/>
        <w:rPr>
          <w:i/>
          <w:iCs/>
        </w:rPr>
      </w:pPr>
      <w:r w:rsidRPr="0046458C">
        <w:rPr>
          <w:i/>
          <w:iCs/>
        </w:rPr>
        <w:t>This review was unregistered. No protocol was prepared.</w:t>
      </w:r>
    </w:p>
    <w:sectPr w:rsidR="00603210" w:rsidRPr="0046458C" w:rsidSect="001B61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1961F" w14:textId="77777777" w:rsidR="00230DDC" w:rsidRDefault="00230DDC" w:rsidP="00B43A96">
      <w:pPr>
        <w:spacing w:after="0" w:line="240" w:lineRule="auto"/>
      </w:pPr>
      <w:r>
        <w:separator/>
      </w:r>
    </w:p>
  </w:endnote>
  <w:endnote w:type="continuationSeparator" w:id="0">
    <w:p w14:paraId="63972B2F" w14:textId="77777777" w:rsidR="00230DDC" w:rsidRDefault="00230DDC" w:rsidP="00B4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9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02F91" w14:textId="53887243" w:rsidR="00B43A96" w:rsidRDefault="00B43A9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3CE592" w14:textId="77777777" w:rsidR="00B43A96" w:rsidRDefault="00B43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818DB" w14:textId="77777777" w:rsidR="00230DDC" w:rsidRDefault="00230DDC" w:rsidP="00B43A96">
      <w:pPr>
        <w:spacing w:after="0" w:line="240" w:lineRule="auto"/>
      </w:pPr>
      <w:r>
        <w:separator/>
      </w:r>
    </w:p>
  </w:footnote>
  <w:footnote w:type="continuationSeparator" w:id="0">
    <w:p w14:paraId="325F2BA6" w14:textId="77777777" w:rsidR="00230DDC" w:rsidRDefault="00230DDC" w:rsidP="00B43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F5AAC"/>
    <w:multiLevelType w:val="hybridMultilevel"/>
    <w:tmpl w:val="716CD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6DA"/>
    <w:rsid w:val="000114C4"/>
    <w:rsid w:val="00014C77"/>
    <w:rsid w:val="00042EA6"/>
    <w:rsid w:val="00083912"/>
    <w:rsid w:val="00083E0D"/>
    <w:rsid w:val="000D76B8"/>
    <w:rsid w:val="0011770F"/>
    <w:rsid w:val="001373A0"/>
    <w:rsid w:val="001A298E"/>
    <w:rsid w:val="001B04E8"/>
    <w:rsid w:val="001B38E5"/>
    <w:rsid w:val="001B6189"/>
    <w:rsid w:val="00204164"/>
    <w:rsid w:val="002105FF"/>
    <w:rsid w:val="002268AA"/>
    <w:rsid w:val="00230DDC"/>
    <w:rsid w:val="0026401A"/>
    <w:rsid w:val="002679C5"/>
    <w:rsid w:val="00280A6A"/>
    <w:rsid w:val="00302CF9"/>
    <w:rsid w:val="00322F0C"/>
    <w:rsid w:val="00345A71"/>
    <w:rsid w:val="00354996"/>
    <w:rsid w:val="00372AF4"/>
    <w:rsid w:val="003A7ADE"/>
    <w:rsid w:val="003B6BBF"/>
    <w:rsid w:val="003B7D77"/>
    <w:rsid w:val="003D09EE"/>
    <w:rsid w:val="003E40D3"/>
    <w:rsid w:val="003F327B"/>
    <w:rsid w:val="003F38A8"/>
    <w:rsid w:val="004538CD"/>
    <w:rsid w:val="0046458C"/>
    <w:rsid w:val="00487CB5"/>
    <w:rsid w:val="00491C61"/>
    <w:rsid w:val="004D1614"/>
    <w:rsid w:val="005205FF"/>
    <w:rsid w:val="00534B49"/>
    <w:rsid w:val="00562E06"/>
    <w:rsid w:val="005A382B"/>
    <w:rsid w:val="005C7F7E"/>
    <w:rsid w:val="00603210"/>
    <w:rsid w:val="006454FC"/>
    <w:rsid w:val="00655722"/>
    <w:rsid w:val="00666A6D"/>
    <w:rsid w:val="006709DB"/>
    <w:rsid w:val="006A31F9"/>
    <w:rsid w:val="006D1336"/>
    <w:rsid w:val="007272E4"/>
    <w:rsid w:val="00734C6F"/>
    <w:rsid w:val="00736A12"/>
    <w:rsid w:val="007727CE"/>
    <w:rsid w:val="00773CD7"/>
    <w:rsid w:val="00795D36"/>
    <w:rsid w:val="00797C37"/>
    <w:rsid w:val="007C6E43"/>
    <w:rsid w:val="00800E88"/>
    <w:rsid w:val="0080531A"/>
    <w:rsid w:val="0082364E"/>
    <w:rsid w:val="00827874"/>
    <w:rsid w:val="008429F7"/>
    <w:rsid w:val="00896B52"/>
    <w:rsid w:val="008A180F"/>
    <w:rsid w:val="008B4D97"/>
    <w:rsid w:val="008D5FEF"/>
    <w:rsid w:val="008F374A"/>
    <w:rsid w:val="008F5DE9"/>
    <w:rsid w:val="00902018"/>
    <w:rsid w:val="00967885"/>
    <w:rsid w:val="00972DC7"/>
    <w:rsid w:val="0097617E"/>
    <w:rsid w:val="009D1AA5"/>
    <w:rsid w:val="009F2554"/>
    <w:rsid w:val="00A116DA"/>
    <w:rsid w:val="00A46A7E"/>
    <w:rsid w:val="00A6528C"/>
    <w:rsid w:val="00A7795A"/>
    <w:rsid w:val="00A869E0"/>
    <w:rsid w:val="00AA2BEF"/>
    <w:rsid w:val="00AA4E2E"/>
    <w:rsid w:val="00B43A96"/>
    <w:rsid w:val="00B4441E"/>
    <w:rsid w:val="00B51878"/>
    <w:rsid w:val="00BC1F51"/>
    <w:rsid w:val="00C3443D"/>
    <w:rsid w:val="00C36A8B"/>
    <w:rsid w:val="00C650E9"/>
    <w:rsid w:val="00C733C0"/>
    <w:rsid w:val="00C842F5"/>
    <w:rsid w:val="00CF0E7E"/>
    <w:rsid w:val="00D102BC"/>
    <w:rsid w:val="00D204A5"/>
    <w:rsid w:val="00D20541"/>
    <w:rsid w:val="00D742E8"/>
    <w:rsid w:val="00DD4914"/>
    <w:rsid w:val="00E17E78"/>
    <w:rsid w:val="00E45DC3"/>
    <w:rsid w:val="00E63059"/>
    <w:rsid w:val="00EC218E"/>
    <w:rsid w:val="00EE1D9D"/>
    <w:rsid w:val="00EF51ED"/>
    <w:rsid w:val="00F237FD"/>
    <w:rsid w:val="00F26B92"/>
    <w:rsid w:val="00F34F69"/>
    <w:rsid w:val="00F6597D"/>
    <w:rsid w:val="00F7177C"/>
    <w:rsid w:val="00F75110"/>
    <w:rsid w:val="00F9043E"/>
    <w:rsid w:val="00F93A67"/>
    <w:rsid w:val="00FC3762"/>
    <w:rsid w:val="00FC53F8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45208"/>
  <w15:chartTrackingRefBased/>
  <w15:docId w15:val="{AFC682BC-81FA-445D-8FB8-F92D2DBF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6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16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11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6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6D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D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1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4D161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237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0416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79C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A96"/>
  </w:style>
  <w:style w:type="paragraph" w:styleId="Footer">
    <w:name w:val="footer"/>
    <w:basedOn w:val="Normal"/>
    <w:link w:val="FooterChar"/>
    <w:uiPriority w:val="99"/>
    <w:unhideWhenUsed/>
    <w:rsid w:val="00B43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15DCB-9098-4D95-8612-269FC84B12D4}"/>
      </w:docPartPr>
      <w:docPartBody>
        <w:p w:rsidR="00EB469A" w:rsidRDefault="00404B4D">
          <w:r w:rsidRPr="001903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B4D"/>
    <w:rsid w:val="000C2153"/>
    <w:rsid w:val="00404B4D"/>
    <w:rsid w:val="00604B87"/>
    <w:rsid w:val="009B1686"/>
    <w:rsid w:val="009B6F19"/>
    <w:rsid w:val="00E72706"/>
    <w:rsid w:val="00E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4B4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8CA5ABA-E9D3-4391-9408-0B4FE73267EC}">
  <we:reference id="wa104382081" version="1.35.0.0" store="en-GB" storeType="OMEX"/>
  <we:alternateReferences>
    <we:reference id="WA104382081" version="1.35.0.0" store="" storeType="OMEX"/>
  </we:alternateReferences>
  <we:properties>
    <we:property name="MENDELEY_CITATIONS" value="[{&quot;citationID&quot;:&quot;MENDELEY_CITATION_c6526fe0-07a3-4591-8b0d-6dd90212f24b&quot;,&quot;properties&quot;:{&quot;noteIndex&quot;:0},&quot;isEdited&quot;:false,&quot;manualOverride&quot;:{&quot;isManuallyOverridden&quot;:false,&quot;citeprocText&quot;:&quot;(1)&quot;,&quot;manualOverrideText&quot;:&quot;&quot;},&quot;citationTag&quot;:&quot;MENDELEY_CITATION_v3_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&quot;,&quot;citationItems&quot;:[{&quot;id&quot;:&quot;dd347886-2be3-32d0-956b-df73635c2750&quot;,&quot;itemData&quot;:{&quot;type&quot;:&quot;webpage&quot;,&quot;id&quot;:&quot;dd347886-2be3-32d0-956b-df73635c2750&quot;,&quot;title&quot;:&quot;The Newcastle-Ottawa Scale (NOS) for assessing the quality of nonrandomised studies in meta-analyses&quot;,&quot;author&quot;:[{&quot;family&quot;:&quot;Wells&quot;,&quot;given&quot;:&quot;GA&quot;,&quot;parse-names&quot;:false,&quot;dropping-particle&quot;:&quot;&quot;,&quot;non-dropping-particle&quot;:&quot;&quot;},{&quot;family&quot;:&quot;Shea&quot;,&quot;given&quot;:&quot;B&quot;,&quot;parse-names&quot;:false,&quot;dropping-particle&quot;:&quot;&quot;,&quot;non-dropping-particle&quot;:&quot;&quot;},{&quot;family&quot;:&quot;O'Connell&quot;,&quot;given&quot;:&quot;D&quot;,&quot;parse-names&quot;:false,&quot;dropping-particle&quot;:&quot;&quot;,&quot;non-dropping-particle&quot;:&quot;&quot;},{&quot;family&quot;:&quot;Peterson&quot;,&quot;given&quot;:&quot;J&quot;,&quot;parse-names&quot;:false,&quot;dropping-particle&quot;:&quot;&quot;,&quot;non-dropping-particle&quot;:&quot;&quot;},{&quot;family&quot;:&quot;Welch&quot;,&quot;given&quot;:&quot;V&quot;,&quot;parse-names&quot;:false,&quot;dropping-particle&quot;:&quot;&quot;,&quot;non-dropping-particle&quot;:&quot;&quot;},{&quot;family&quot;:&quot;Losos&quot;,&quot;given&quot;:&quot;M&quot;,&quot;parse-names&quot;:false,&quot;dropping-particle&quot;:&quot;&quot;,&quot;non-dropping-particle&quot;:&quot;&quot;},{&quot;family&quot;:&quot;Tugwell&quot;,&quot;given&quot;:&quot;P&quot;,&quot;parse-names&quot;:false,&quot;dropping-particle&quot;:&quot;&quot;,&quot;non-dropping-particle&quot;:&quot;&quot;}],&quot;container-title&quot;:&quot;http://www.ohri.ca/programs/clinical_epidemiology/oxford.asp&quot;,&quot;container-title-short&quot;:&quot;&quot;},&quot;isTemporary&quot;:false}]}]"/>
    <we:property name="MENDELEY_CITATIONS_STYLE" value="{&quot;id&quot;:&quot;https://www.zotero.org/styles/vancouver&quot;,&quot;title&quot;:&quot;Vancouver&quot;,&quot;format&quot;:&quot;numeric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8004-D105-4797-9EA9-4A48770D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Allen</dc:creator>
  <cp:keywords/>
  <dc:description/>
  <cp:lastModifiedBy>Isaac Allen</cp:lastModifiedBy>
  <cp:revision>4</cp:revision>
  <dcterms:created xsi:type="dcterms:W3CDTF">2022-06-28T17:18:00Z</dcterms:created>
  <dcterms:modified xsi:type="dcterms:W3CDTF">2022-07-11T11:10:00Z</dcterms:modified>
</cp:coreProperties>
</file>