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33D86" w14:textId="77777777" w:rsidR="00F97599" w:rsidRDefault="00F97599" w:rsidP="00F97599">
      <w:pPr>
        <w:pStyle w:val="CommentText"/>
        <w:spacing w:after="120"/>
        <w:rPr>
          <w:rFonts w:ascii="Helvetica" w:hAnsi="Helvetica" w:cs="Arial"/>
          <w:b/>
          <w:sz w:val="24"/>
          <w:szCs w:val="24"/>
        </w:rPr>
      </w:pPr>
      <w:r>
        <w:rPr>
          <w:rFonts w:ascii="Helvetica" w:hAnsi="Helvetica" w:cs="Arial"/>
          <w:b/>
          <w:sz w:val="24"/>
          <w:szCs w:val="24"/>
        </w:rPr>
        <w:t>APPENDIX 1</w:t>
      </w:r>
    </w:p>
    <w:p w14:paraId="3D42F02E" w14:textId="0403305E" w:rsidR="00F97599" w:rsidRPr="003A6294" w:rsidRDefault="00F97599" w:rsidP="00F97599">
      <w:pPr>
        <w:pStyle w:val="CommentText"/>
        <w:spacing w:after="120"/>
        <w:rPr>
          <w:rFonts w:ascii="Helvetica" w:hAnsi="Helvetica" w:cs="Arial"/>
          <w:sz w:val="24"/>
          <w:szCs w:val="24"/>
        </w:rPr>
      </w:pPr>
      <w:r w:rsidRPr="003A6294">
        <w:rPr>
          <w:rFonts w:ascii="Helvetica" w:hAnsi="Helvetica" w:cs="Arial"/>
          <w:b/>
          <w:sz w:val="24"/>
          <w:szCs w:val="24"/>
        </w:rPr>
        <w:t xml:space="preserve">Development of </w:t>
      </w:r>
      <w:r>
        <w:rPr>
          <w:rFonts w:ascii="Helvetica" w:hAnsi="Helvetica" w:cs="Arial"/>
          <w:b/>
          <w:color w:val="000000"/>
          <w:sz w:val="24"/>
          <w:szCs w:val="24"/>
        </w:rPr>
        <w:t>s</w:t>
      </w:r>
      <w:r w:rsidRPr="003A6294">
        <w:rPr>
          <w:rFonts w:ascii="Helvetica" w:hAnsi="Helvetica" w:cs="Arial"/>
          <w:b/>
          <w:color w:val="000000"/>
          <w:sz w:val="24"/>
          <w:szCs w:val="24"/>
        </w:rPr>
        <w:t xml:space="preserve">timulus </w:t>
      </w:r>
      <w:r>
        <w:rPr>
          <w:rFonts w:ascii="Helvetica" w:hAnsi="Helvetica" w:cs="Arial"/>
          <w:b/>
          <w:color w:val="000000"/>
          <w:sz w:val="24"/>
          <w:szCs w:val="24"/>
        </w:rPr>
        <w:t>v</w:t>
      </w:r>
      <w:r w:rsidRPr="003A6294">
        <w:rPr>
          <w:rFonts w:ascii="Helvetica" w:hAnsi="Helvetica" w:cs="Arial"/>
          <w:b/>
          <w:color w:val="000000"/>
          <w:sz w:val="24"/>
          <w:szCs w:val="24"/>
        </w:rPr>
        <w:t>ideos</w:t>
      </w:r>
    </w:p>
    <w:p w14:paraId="4C04F3A5" w14:textId="41C90A21" w:rsidR="00F97599" w:rsidRDefault="00F97599" w:rsidP="00F97599">
      <w:pPr>
        <w:pStyle w:val="CommentText"/>
        <w:spacing w:after="120"/>
        <w:rPr>
          <w:rFonts w:ascii="Helvetica" w:hAnsi="Helvetica" w:cs="Arial"/>
          <w:sz w:val="24"/>
          <w:szCs w:val="24"/>
        </w:rPr>
      </w:pPr>
      <w:r w:rsidRPr="003A6294">
        <w:rPr>
          <w:rFonts w:ascii="Helvetica" w:hAnsi="Helvetica" w:cs="Arial"/>
          <w:sz w:val="24"/>
          <w:szCs w:val="24"/>
        </w:rPr>
        <w:t>Our study is grounded in participatory action research (PAR),</w:t>
      </w:r>
      <w:r w:rsidRPr="003A6294">
        <w:rPr>
          <w:rFonts w:ascii="Helvetica" w:hAnsi="Helvetica" w:cs="Arial"/>
          <w:sz w:val="24"/>
          <w:szCs w:val="24"/>
        </w:rPr>
        <w:fldChar w:fldCharType="begin" w:fldLock="1"/>
      </w:r>
      <w:r w:rsidR="00AF14FE">
        <w:rPr>
          <w:rFonts w:ascii="Helvetica" w:hAnsi="Helvetica" w:cs="Arial"/>
          <w:sz w:val="24"/>
          <w:szCs w:val="24"/>
        </w:rPr>
        <w:instrText>ADDIN CSL_CITATION {"citationItems":[{"id":"ITEM-1","itemData":{"author":[{"dropping-particle":"","family":"McTaggart","given":"R","non-dropping-particle":"","parse-names":false,"suffix":""}],"container-title":"Adult Education Quarterly","id":"ITEM-1","issue":"3","issued":{"date-parts":[["1991"]]},"page":"168-187","title":"Principles for participatory action research","type":"article-journal","volume":"41"},"uris":["http://www.mendeley.com/documents/?uuid=314f7e25-3aa2-4d24-b0eb-c5a6190c2a4b"]},{"id":"ITEM-2","itemData":{"DOI":"10.1080/09650790600975593","ISSN":"17475074","abstract":"Some action research today lacks a critical edge. This article identifies five inadequate forms of action research, and argues that action research must be capable of ‘telling unwelcome truths’ against schooling in the interests of education. It reasserts a connection between education and emancipatory ideals that allow educators to address contemporary social challenges. It suggests how educational trends in recent decades may have led to the domestication of educational action research, and concludes with three messages about quality in educational action research. It re-thinks educational action research initiatives as creating intersubjective spaces for public discourse in public spheres. © 2006, Educational Action Research.","author":[{"dropping-particle":"","family":"Kemmis","given":"Stephen","non-dropping-particle":"","parse-names":false,"suffix":""}],"container-title":"Educational Action Research","id":"ITEM-2","issue":"4","issued":{"date-parts":[["2006"]]},"page":"459-476","title":"Participatory action research and the public sphere","type":"article-journal","volume":"14"},"uris":["http://www.mendeley.com/documents/?uuid=462ed90f-4473-4b69-b5b1-b6e526cfb55f"]},{"id":"ITEM-3","itemData":{"DOI":"10.1136/jech.2004.028662","ISSN":"0143005X","PMID":"16973531","abstract":"Full title. Participatory action research. This glossary aims to clarify some of the key concepts associated with participatory action research.","author":[{"dropping-particle":"","family":"Baum","given":"Fran","non-dropping-particle":"","parse-names":false,"suffix":""},{"dropping-particle":"","family":"MacDougall","given":"Colin","non-dropping-particle":"","parse-names":false,"suffix":""},{"dropping-particle":"","family":"Smith","given":"Danielle","non-dropping-particle":"","parse-names":false,"suffix":""}],"container-title":"Journal of Epidemiology and Community Health","id":"ITEM-3","issue":"10","issued":{"date-parts":[["2006"]]},"page":"854-857","title":"Participatory action research","type":"article-journal","volume":"60"},"uris":["http://www.mendeley.com/documents/?uuid=e09ff872-7ff5-4188-a41b-52be6ec4f1b1"]}],"mendeley":{"formattedCitation":"&lt;sup&gt;1–3&lt;/sup&gt;","plainTextFormattedCitation":"1–3","previouslyFormattedCitation":"&lt;sup&gt;12–14&lt;/sup&gt;"},"properties":{"noteIndex":0},"schema":"https://github.com/citation-style-language/schema/raw/master/csl-citation.json"}</w:instrText>
      </w:r>
      <w:r w:rsidRPr="003A6294">
        <w:rPr>
          <w:rFonts w:ascii="Helvetica" w:hAnsi="Helvetica" w:cs="Arial"/>
          <w:sz w:val="24"/>
          <w:szCs w:val="24"/>
        </w:rPr>
        <w:fldChar w:fldCharType="separate"/>
      </w:r>
      <w:r w:rsidR="00AF14FE" w:rsidRPr="00AF14FE">
        <w:rPr>
          <w:rFonts w:ascii="Helvetica" w:hAnsi="Helvetica" w:cs="Arial"/>
          <w:noProof/>
          <w:sz w:val="24"/>
          <w:szCs w:val="24"/>
          <w:vertAlign w:val="superscript"/>
        </w:rPr>
        <w:t>1–3</w:t>
      </w:r>
      <w:r w:rsidRPr="003A6294">
        <w:rPr>
          <w:rFonts w:ascii="Helvetica" w:hAnsi="Helvetica" w:cs="Arial"/>
          <w:sz w:val="24"/>
          <w:szCs w:val="24"/>
        </w:rPr>
        <w:fldChar w:fldCharType="end"/>
      </w:r>
      <w:r w:rsidRPr="003A6294">
        <w:rPr>
          <w:rFonts w:ascii="Helvetica" w:hAnsi="Helvetica" w:cs="Arial"/>
          <w:sz w:val="24"/>
          <w:szCs w:val="24"/>
        </w:rPr>
        <w:t xml:space="preserve"> an approach in which an intervention's intended beneficiaries are involved in its development. In this case, those beneficiaries included five Black female physicians who had experienced racist interactions during training. They were centra</w:t>
      </w:r>
      <w:r>
        <w:rPr>
          <w:rFonts w:ascii="Helvetica" w:hAnsi="Helvetica" w:cs="Arial"/>
          <w:sz w:val="24"/>
          <w:szCs w:val="24"/>
        </w:rPr>
        <w:t xml:space="preserve">l in developing scripts </w:t>
      </w:r>
      <w:r w:rsidRPr="003A6294">
        <w:rPr>
          <w:rFonts w:ascii="Helvetica" w:hAnsi="Helvetica" w:cs="Arial"/>
          <w:bCs/>
          <w:sz w:val="24"/>
          <w:szCs w:val="24"/>
        </w:rPr>
        <w:t>informed by the co-constructive patient simulation (CCPS)</w:t>
      </w:r>
      <w:r>
        <w:rPr>
          <w:rFonts w:ascii="Helvetica" w:hAnsi="Helvetica" w:cs="Arial"/>
          <w:bCs/>
          <w:sz w:val="24"/>
          <w:szCs w:val="24"/>
        </w:rPr>
        <w:t>.</w:t>
      </w:r>
      <w:r w:rsidRPr="003A6294">
        <w:rPr>
          <w:rFonts w:ascii="Helvetica" w:hAnsi="Helvetica" w:cs="Arial"/>
          <w:bCs/>
          <w:sz w:val="24"/>
          <w:szCs w:val="24"/>
        </w:rPr>
        <w:fldChar w:fldCharType="begin" w:fldLock="1"/>
      </w:r>
      <w:r w:rsidR="00AF14FE">
        <w:rPr>
          <w:rFonts w:ascii="Helvetica" w:hAnsi="Helvetica" w:cs="Arial"/>
          <w:bCs/>
          <w:sz w:val="24"/>
          <w:szCs w:val="24"/>
        </w:rPr>
        <w:instrText>ADDIN CSL_CITATION {"citationItems":[{"id":"ITEM-1","itemData":{"DOI":"10.1097/sih.0000000000000528","ISBN":"0000000000000","ISSN":"1559-2332","author":[{"dropping-particle":"","family":"Martin","given":"Andrés","non-dropping-particle":"","parse-names":false,"suffix":""},{"dropping-particle":"","family":"Weller","given":"Indigo","non-dropping-particle":"","parse-names":false,"suffix":""},{"dropping-particle":"","family":"Amsalem","given":"Doron","non-dropping-particle":"","parse-names":false,"suffix":""},{"dropping-particle":"","family":"Duvivier","given":"Robbert","non-dropping-particle":"","parse-names":false,"suffix":""},{"dropping-particle":"","family":"Jaarsma","given":"Debbie","non-dropping-particle":"","parse-names":false,"suffix":""},{"dropping-particle":"","family":"Carvalho Filho","given":"Marco Antonio","non-dropping-particle":"de","parse-names":false,"suffix":""}],"container-title":"Simulation in Healthcare: The Journal of the Society for Simulation in Healthcare","id":"ITEM-1","issue":"6","issued":{"date-parts":[["2020"]]},"page":"129-135","title":"Co-constructive patient simulation: a learner-centered method to enhace communciation and reflection skills","type":"article-journal","volume":"16"},"uris":["http://www.mendeley.com/documents/?uuid=dd45fe51-d9f9-4986-a66e-24965dc8c458"]}],"mendeley":{"formattedCitation":"&lt;sup&gt;4&lt;/sup&gt;","plainTextFormattedCitation":"4","previouslyFormattedCitation":"&lt;sup&gt;11&lt;/sup&gt;"},"properties":{"noteIndex":0},"schema":"https://github.com/citation-style-language/schema/raw/master/csl-citation.json"}</w:instrText>
      </w:r>
      <w:r w:rsidRPr="003A6294">
        <w:rPr>
          <w:rFonts w:ascii="Helvetica" w:hAnsi="Helvetica" w:cs="Arial"/>
          <w:bCs/>
          <w:sz w:val="24"/>
          <w:szCs w:val="24"/>
        </w:rPr>
        <w:fldChar w:fldCharType="separate"/>
      </w:r>
      <w:r w:rsidR="00AF14FE" w:rsidRPr="00AF14FE">
        <w:rPr>
          <w:rFonts w:ascii="Helvetica" w:hAnsi="Helvetica" w:cs="Arial"/>
          <w:bCs/>
          <w:noProof/>
          <w:sz w:val="24"/>
          <w:szCs w:val="24"/>
          <w:vertAlign w:val="superscript"/>
        </w:rPr>
        <w:t>4</w:t>
      </w:r>
      <w:r w:rsidRPr="003A6294">
        <w:rPr>
          <w:rFonts w:ascii="Helvetica" w:hAnsi="Helvetica" w:cs="Arial"/>
          <w:bCs/>
          <w:sz w:val="24"/>
          <w:szCs w:val="24"/>
        </w:rPr>
        <w:fldChar w:fldCharType="end"/>
      </w:r>
      <w:r w:rsidRPr="003A6294">
        <w:rPr>
          <w:rFonts w:ascii="Helvetica" w:hAnsi="Helvetica" w:cs="Arial"/>
          <w:bCs/>
          <w:sz w:val="24"/>
          <w:szCs w:val="24"/>
        </w:rPr>
        <w:t xml:space="preserve"> </w:t>
      </w:r>
      <w:r>
        <w:rPr>
          <w:rFonts w:ascii="Helvetica" w:hAnsi="Helvetica" w:cs="Arial"/>
          <w:bCs/>
          <w:sz w:val="24"/>
          <w:szCs w:val="24"/>
        </w:rPr>
        <w:t xml:space="preserve">The ensuing </w:t>
      </w:r>
      <w:r w:rsidRPr="003A6294">
        <w:rPr>
          <w:rFonts w:ascii="Helvetica" w:hAnsi="Helvetica" w:cs="Arial"/>
          <w:sz w:val="24"/>
          <w:szCs w:val="24"/>
        </w:rPr>
        <w:t xml:space="preserve">short videos </w:t>
      </w:r>
      <w:r>
        <w:rPr>
          <w:rFonts w:ascii="Helvetica" w:hAnsi="Helvetica" w:cs="Arial"/>
          <w:sz w:val="24"/>
          <w:szCs w:val="24"/>
        </w:rPr>
        <w:t xml:space="preserve">were </w:t>
      </w:r>
      <w:r w:rsidRPr="003A6294">
        <w:rPr>
          <w:rFonts w:ascii="Helvetica" w:hAnsi="Helvetica" w:cs="Arial"/>
          <w:sz w:val="24"/>
          <w:szCs w:val="24"/>
        </w:rPr>
        <w:t xml:space="preserve">used as standardized stimuli to elicit and analyze feedback from experienced clinicians. </w:t>
      </w:r>
    </w:p>
    <w:p w14:paraId="7503E019" w14:textId="65AA61BB" w:rsidR="00F97599" w:rsidRPr="003A6294" w:rsidRDefault="00F97599" w:rsidP="00F97599">
      <w:pPr>
        <w:pStyle w:val="CommentText"/>
        <w:spacing w:after="120"/>
        <w:ind w:firstLine="720"/>
        <w:rPr>
          <w:rFonts w:ascii="Helvetica" w:hAnsi="Helvetica" w:cs="Arial"/>
          <w:sz w:val="24"/>
          <w:szCs w:val="24"/>
        </w:rPr>
      </w:pPr>
      <w:r w:rsidRPr="003A6294">
        <w:rPr>
          <w:rFonts w:ascii="Helvetica" w:hAnsi="Helvetica" w:cs="Arial"/>
          <w:color w:val="000000"/>
          <w:sz w:val="24"/>
          <w:szCs w:val="24"/>
        </w:rPr>
        <w:t>The video clips formed part of a CCPS session. In the CCPS model’s first part, a learner (hence</w:t>
      </w:r>
      <w:r>
        <w:rPr>
          <w:rFonts w:ascii="Helvetica" w:hAnsi="Helvetica" w:cs="Arial"/>
          <w:color w:val="000000"/>
          <w:sz w:val="24"/>
          <w:szCs w:val="24"/>
        </w:rPr>
        <w:t>f</w:t>
      </w:r>
      <w:r w:rsidRPr="003A6294">
        <w:rPr>
          <w:rFonts w:ascii="Helvetica" w:hAnsi="Helvetica" w:cs="Arial"/>
          <w:color w:val="000000"/>
          <w:sz w:val="24"/>
          <w:szCs w:val="24"/>
        </w:rPr>
        <w:t xml:space="preserve">orth “scriptwriter”), a simulated participant (SP), and a facilitator acquainted with the model write case scripts and learning objectives. During a second part, </w:t>
      </w:r>
      <w:r w:rsidRPr="003A6294">
        <w:rPr>
          <w:rFonts w:ascii="Helvetica" w:hAnsi="Helvetica" w:cs="Arial"/>
          <w:i/>
          <w:iCs/>
          <w:color w:val="000000"/>
          <w:sz w:val="24"/>
          <w:szCs w:val="24"/>
        </w:rPr>
        <w:t>blinded interaction</w:t>
      </w:r>
      <w:r w:rsidRPr="003A6294">
        <w:rPr>
          <w:rFonts w:ascii="Helvetica" w:hAnsi="Helvetica" w:cs="Arial"/>
          <w:color w:val="000000"/>
          <w:sz w:val="24"/>
          <w:szCs w:val="24"/>
        </w:rPr>
        <w:t xml:space="preserve">, other learners, typically the scriptwriter's peers remaining blind to the case scenario, interact in real time with the co-constructed SP-in-role as the scriptwriter joins the other learners observing the interaction unfold. During a third and final part, </w:t>
      </w:r>
      <w:r w:rsidRPr="003A6294">
        <w:rPr>
          <w:rFonts w:ascii="Helvetica" w:hAnsi="Helvetica" w:cs="Arial"/>
          <w:i/>
          <w:iCs/>
          <w:color w:val="000000"/>
          <w:sz w:val="24"/>
          <w:szCs w:val="24"/>
        </w:rPr>
        <w:t>debriefing</w:t>
      </w:r>
      <w:r w:rsidRPr="003A6294">
        <w:rPr>
          <w:rFonts w:ascii="Helvetica" w:hAnsi="Helvetica" w:cs="Arial"/>
          <w:color w:val="000000"/>
          <w:sz w:val="24"/>
          <w:szCs w:val="24"/>
        </w:rPr>
        <w:t>, all participants come together for a facilitated discussion</w:t>
      </w:r>
      <w:r w:rsidRPr="003A6294">
        <w:rPr>
          <w:rFonts w:ascii="Helvetica" w:hAnsi="Helvetica" w:cs="Arial"/>
          <w:i/>
          <w:iCs/>
          <w:color w:val="000000"/>
          <w:sz w:val="24"/>
          <w:szCs w:val="24"/>
        </w:rPr>
        <w:fldChar w:fldCharType="begin" w:fldLock="1"/>
      </w:r>
      <w:r w:rsidR="00AF14FE">
        <w:rPr>
          <w:rFonts w:ascii="Helvetica" w:hAnsi="Helvetica" w:cs="Arial"/>
          <w:i/>
          <w:iCs/>
          <w:color w:val="000000"/>
          <w:sz w:val="24"/>
          <w:szCs w:val="24"/>
        </w:rPr>
        <w:instrText>ADDIN CSL_CITATION {"citationItems":[{"id":"ITEM-1","itemData":{"DOI":"10.1097/SIH.0000000000000381","ISBN":"0000000000000","ISSN":"1559713X","abstract":"STATEMENT: Modern healthcare organizations strive for continuous improvement in systems and processes to ensure safe, effective, and cost-conscious patient care. However, systems failures and inefficiencies lurk in every organization, often emerging only after patients have experienced harm or delays. Simulation and debriefing, focused on identifying systems gaps, can proactively lead to improvements in safety and quality. Systems-focused debriefing requires a different approach than traditional, learner-focused debriefing. We describe PEARLS for Systems Integration, a conceptual framework, debriefing structure and script that facilitators can use for systems-focused debriefing. The framework builds on Promoting Excellence And Reflective Learning in Simulation, using common debriefing strategies (plus/delta, focused facilitation, and directive feedback) in a modified format, with new debriefing scripts. Promoting Excellence And Reflective Learning in Simulation for System Integration offers a structured framework, adaptable for debriefing systems-focused simulations, to identify systems issues and maximize improvements in patient safety and quality.","author":[{"dropping-particle":"","family":"Dubé","given":"Mirette M.","non-dropping-particle":"","parse-names":false,"suffix":""},{"dropping-particle":"","family":"Reid","given":"Jennifer","non-dropping-particle":"","parse-names":false,"suffix":""},{"dropping-particle":"","family":"Kaba","given":"Alyshah","non-dropping-particle":"","parse-names":false,"suffix":""},{"dropping-particle":"","family":"Cheng","given":"Adam","non-dropping-particle":"","parse-names":false,"suffix":""},{"dropping-particle":"","family":"Eppich","given":"Walter","non-dropping-particle":"","parse-names":false,"suffix":""},{"dropping-particle":"","family":"Grant","given":"Vincent","non-dropping-particle":"","parse-names":false,"suffix":""},{"dropping-particle":"","family":"Stone","given":"Kimberly","non-dropping-particle":"","parse-names":false,"suffix":""}],"container-title":"Simulation in Healthcare","id":"ITEM-1","issue":"5","issued":{"date-parts":[["2019"]]},"page":"333-342","title":"PEARLS for Systems Integration: a modified PEARLS framework for debriefing systems-focused simulations","type":"article-journal","volume":"14"},"uris":["http://www.mendeley.com/documents/?uuid=f9ec5d00-2f41-4229-bf9d-e8ce605aca69"]},{"id":"ITEM-2","itemData":{"DOI":"10.1080/0142159X.2018.1468558","ISSN":"1466187X","abstract":"Background: Simulation-based education (SBE) has emerged as an essential modality for health professions education. One of the central tenants of effective SBE is reflective practice, typically guided by a facilitated debriefing. The debriefing conversation has the possibility of becoming a difficult conversation based on learner and situation-related factors. Difficult debriefing situations may threaten the learning environment, thus requiring an appreciation and understanding of the various ways that learners may react adversely to simulation and debriefing. Aim: This article provides a review of the various phenotypes of difficult debriefing situations and a toolbox of proactive and reactive strategies to help guide the simulation educator to manage these situations, with the ultimate goal of achieving learning objectives.","author":[{"dropping-particle":"","family":"Grant","given":"V. J.","non-dropping-particle":"","parse-names":false,"suffix":""},{"dropping-particle":"","family":"Robinson","given":"T.","non-dropping-particle":"","parse-names":false,"suffix":""},{"dropping-particle":"","family":"Catena","given":"H.","non-dropping-particle":"","parse-names":false,"suffix":""},{"dropping-particle":"","family":"Eppich","given":"W.","non-dropping-particle":"","parse-names":false,"suffix":""},{"dropping-particle":"","family":"Cheng","given":"A.","non-dropping-particle":"","parse-names":false,"suffix":""}],"container-title":"Medical Teacher","id":"ITEM-2","issue":"7","issued":{"date-parts":[["2018"]]},"page":"703-712","publisher":"Informa UK Ltd.","title":"Difficult debriefing situations: A toolbox for simulation educators","type":"article-journal","volume":"40"},"uris":["http://www.mendeley.com/documents/?uuid=9556b1db-220f-44c3-b73c-e9e6a86995ae"]},{"id":"ITEM-3","itemData":{"DOI":"10.1097/ACM.0000000000000934","ISBN":"0000000000000","ISSN":"1938808X","PMID":"26375272","abstract":"Mastery learning is a powerful educational strategy in which learners gain knowledge and skills that are rigorously measured against predetermined mastery standards with different learners needing variable time to reach uniform outcomes. Central to mastery learning are repetitive deliberate practice and robust feedback that promote performance improvement. Traditional health care simulation involves a simulation exercise followed by a facilitated postevent debriefing in which learners discuss what went well and what they should do differently next time, usually without additional opportunities to apply the specific new knowledge. Mastery learning approaches enable learners to \"try again\" until they master the skill in question. Despite the growing body of health care simulation literature documenting the efficacy of mastery learning models, to date insufficient details have been reported on how to design and implement the feedback and debriefing components of deliberate-practice-based educational interventions. Using simulation-based training for adult and pediatric advanced life support as case studies, this article focuses on how to prepare learners for feedback and debriefing by establishing a supportive yet challenging learning environment; how to implement educational interventions that maximize opportunities for deliberate practice with feedback and reflection during debriefing; describing the role of within-event debriefing or \"microdebriefing\" (i.e., during a pause in the simulation scenario or during ongoing case management without interruption), as a strategy to promote performance improvement; and highlighting directions for future research in feedback and debriefing for mastery learning.","author":[{"dropping-particle":"","family":"Eppich","given":"Walter J.","non-dropping-particle":"","parse-names":false,"suffix":""},{"dropping-particle":"","family":"Hunt","given":"Elizabeth A.","non-dropping-particle":"","parse-names":false,"suffix":""},{"dropping-particle":"","family":"Duval-Arnould","given":"Jordan M.","non-dropping-particle":"","parse-names":false,"suffix":""},{"dropping-particle":"","family":"Siddall","given":"Viva Jo","non-dropping-particle":"","parse-names":false,"suffix":""},{"dropping-particle":"","family":"Cheng","given":"Adam","non-dropping-particle":"","parse-names":false,"suffix":""}],"container-title":"Academic Medicine","id":"ITEM-3","issue":"11","issued":{"date-parts":[["2015"]]},"page":"1501-1508","title":"Structuring feedback and debriefing to achieve mastery learning goals","type":"article-journal","volume":"90"},"uris":["http://www.mendeley.com/documents/?uuid=596fadd8-d515-4958-8b51-24b4fa03affb"]},{"id":"ITEM-4","itemData":{"DOI":"10.1097/SIH.0000000000000072","ISBN":"0000000000000","ISSN":"1559713X","PMID":"25710312","abstract":"We describe an integrated conceptual framework for a blended approach to debriefing called PEARLS [Promoting Excellence And Reflective Learning in Simulation]. We provide a rationale for scripted debriefing and introduce a PEARLS debriefing tool designed to facilitate implementation of the new framework. The PEARLS framework integrates 3 common educational strategies used during debriefing, namely, (1) learner self-assessment, (2) facilitating focused discussion, and (3) providing information in the form of directive feedback and/or teaching. The PEARLS debriefing tool incorporates scripted language to guide the debriefing, depending on the strategy chosen. The PEARLS framework and debriefing script fill a need for many health care educators learning to facilitate debriefings in simulation-based education. The PEARLS offers a structured framework adaptable for debriefing simulations with a variety in goals, including clinical decision making, improving technical skills, teamwork training, and interprofessional collaboration.","author":[{"dropping-particle":"","family":"Eppich","given":"Walter","non-dropping-particle":"","parse-names":false,"suffix":""},{"dropping-particle":"","family":"Cheng","given":"Adam","non-dropping-particle":"","parse-names":false,"suffix":""}],"container-title":"Simulation in Healthcare","id":"ITEM-4","issue":"2","issued":{"date-parts":[["2015"]]},"page":"106-115","title":"Promoting excellence and reflective learning in simulation (PEARLS): development and rationale for a blended approach to health care simulation debriefing","type":"article-journal","volume":"10"},"uris":["http://www.mendeley.com/documents/?uuid=f6666304-b34d-4bdd-b534-6e3d881d451e"]},{"id":"ITEM-5","itemData":{"DOI":"10.1097/SIH.0000000000000398","ISBN":"0000000000000","ISSN":"1559-2332","abstract":"Despite the critical importance of debriefing in simulation-based education, existing literature offers little guidance on how debriefing skills develop over time. An elaboration of the trajectory through which debriefing expertise evolves would help inform educators looking to enhance their skills. In this article, we present a new con- ceptual framework for the development of debriefing skills based on a modification of Drey- fus and Dreyfus' model of skill development. For each of the 3 stages of debriefing skill development—discovery, growth, and maturity, we highlight characteristics of debriefers, requisite knowledge, and key skills. We propose how faculty development experiences map to each stage of debriefing skill development. We hope the new conceptual frame- work will advance the art and science of debriefing by shaping future faculty development initiatives, research, and innovation in debriefing.","author":[{"dropping-particle":"","family":"Cheng","given":"Adam","non-dropping-particle":"","parse-names":false,"suffix":""},{"dropping-particle":"","family":"Eppich","given":"Walter","non-dropping-particle":"","parse-names":false,"suffix":""},{"dropping-particle":"","family":"Kolbe","given":"Michaela","non-dropping-particle":"","parse-names":false,"suffix":""},{"dropping-particle":"","family":"Meguerdichian","given":"Michael","non-dropping-particle":"","parse-names":false,"suffix":""},{"dropping-particle":"","family":"Bajaj","given":"Komal","non-dropping-particle":"","parse-names":false,"suffix":""},{"dropping-particle":"","family":"Grant","given":"Vincent","non-dropping-particle":"","parse-names":false,"suffix":""}],"container-title":"Simulation in Healthcare","id":"ITEM-5","issue":"0","issued":{"date-parts":[["2019"]]},"page":"Online early","title":"A conceptual framework for the development of debriefing skills","type":"article-journal","volume":"0"},"uris":["http://www.mendeley.com/documents/?uuid=e4e07333-b5c1-4c22-b5e7-4d41182b61e8"]}],"mendeley":{"formattedCitation":"&lt;sup&gt;5–9&lt;/sup&gt;","plainTextFormattedCitation":"5–9","previouslyFormattedCitation":"&lt;sup&gt;15–19&lt;/sup&gt;"},"properties":{"noteIndex":0},"schema":"https://github.com/citation-style-language/schema/raw/master/csl-citation.json"}</w:instrText>
      </w:r>
      <w:r w:rsidRPr="003A6294">
        <w:rPr>
          <w:rFonts w:ascii="Helvetica" w:hAnsi="Helvetica" w:cs="Arial"/>
          <w:i/>
          <w:iCs/>
          <w:color w:val="000000"/>
          <w:sz w:val="24"/>
          <w:szCs w:val="24"/>
        </w:rPr>
        <w:fldChar w:fldCharType="separate"/>
      </w:r>
      <w:r w:rsidR="00AF14FE" w:rsidRPr="00AF14FE">
        <w:rPr>
          <w:rFonts w:ascii="Helvetica" w:hAnsi="Helvetica" w:cs="Arial"/>
          <w:iCs/>
          <w:noProof/>
          <w:color w:val="000000"/>
          <w:sz w:val="24"/>
          <w:szCs w:val="24"/>
          <w:vertAlign w:val="superscript"/>
        </w:rPr>
        <w:t>5–9</w:t>
      </w:r>
      <w:r w:rsidRPr="003A6294">
        <w:rPr>
          <w:rFonts w:ascii="Helvetica" w:hAnsi="Helvetica" w:cs="Arial"/>
          <w:i/>
          <w:iCs/>
          <w:color w:val="000000"/>
          <w:sz w:val="24"/>
          <w:szCs w:val="24"/>
        </w:rPr>
        <w:fldChar w:fldCharType="end"/>
      </w:r>
      <w:r w:rsidRPr="003A6294">
        <w:rPr>
          <w:rFonts w:ascii="Helvetica" w:hAnsi="Helvetica" w:cs="Arial"/>
          <w:color w:val="000000"/>
          <w:sz w:val="24"/>
          <w:szCs w:val="24"/>
        </w:rPr>
        <w:t xml:space="preserve"> led by two experienced facilitators. For this study, the debriefing did not follow a specific rubric and sought to gauge learners’ immediate reactions to the activity and its video components; we also offered the opportunity to follow up individually or to provide clinical resources.</w:t>
      </w:r>
    </w:p>
    <w:p w14:paraId="30B91326" w14:textId="77777777" w:rsidR="00F97599" w:rsidRPr="003A6294" w:rsidRDefault="00F97599" w:rsidP="00F97599">
      <w:pPr>
        <w:spacing w:after="120"/>
        <w:ind w:firstLine="720"/>
        <w:rPr>
          <w:rFonts w:ascii="Helvetica" w:hAnsi="Helvetica" w:cs="Arial"/>
          <w:color w:val="000000"/>
        </w:rPr>
      </w:pPr>
      <w:r w:rsidRPr="003A6294">
        <w:rPr>
          <w:rFonts w:ascii="Helvetica" w:hAnsi="Helvetica" w:cs="Arial"/>
          <w:color w:val="000000"/>
        </w:rPr>
        <w:t xml:space="preserve">The initial case scenario was a composite of actual clinical interactions in which five of the coauthors, each a Black female physician, had been involved. Specifically, as a Black female physician updates a white male patient, he responds with several overt racialized statements (e.g., repeatedly questioning her credentials, implying she is a "diversity" recruit, or asking for a doctor "I can relate to.") </w:t>
      </w:r>
    </w:p>
    <w:p w14:paraId="47205A38" w14:textId="2780B381" w:rsidR="00F97599" w:rsidRPr="003A6294" w:rsidRDefault="00F97599" w:rsidP="00F97599">
      <w:pPr>
        <w:spacing w:after="120"/>
        <w:ind w:firstLine="720"/>
        <w:rPr>
          <w:rFonts w:ascii="Helvetica" w:hAnsi="Helvetica" w:cs="Arial"/>
          <w:color w:val="000000"/>
        </w:rPr>
      </w:pPr>
      <w:r w:rsidRPr="003A6294">
        <w:rPr>
          <w:rFonts w:ascii="Helvetica" w:hAnsi="Helvetica" w:cs="Arial"/>
          <w:color w:val="000000"/>
        </w:rPr>
        <w:t>For this study, we adapted the CCPS model by recording seven interactions between 1) the simulated participant-in-role (DP</w:t>
      </w:r>
      <w:r w:rsidRPr="003A6294">
        <w:rPr>
          <w:rFonts w:ascii="Helvetica" w:hAnsi="Helvetica" w:cs="Arial"/>
          <w:color w:val="000000"/>
          <w:vertAlign w:val="subscript"/>
        </w:rPr>
        <w:t>IR</w:t>
      </w:r>
      <w:r w:rsidRPr="003A6294">
        <w:rPr>
          <w:rFonts w:ascii="Helvetica" w:hAnsi="Helvetica" w:cs="Arial"/>
          <w:color w:val="000000"/>
        </w:rPr>
        <w:t>) and a clinician-in-training (</w:t>
      </w:r>
      <w:proofErr w:type="spellStart"/>
      <w:r w:rsidRPr="003A6294">
        <w:rPr>
          <w:rFonts w:ascii="Helvetica" w:hAnsi="Helvetica" w:cs="Arial"/>
          <w:color w:val="000000"/>
        </w:rPr>
        <w:t>CiT</w:t>
      </w:r>
      <w:proofErr w:type="spellEnd"/>
      <w:r w:rsidRPr="003A6294">
        <w:rPr>
          <w:rFonts w:ascii="Helvetica" w:hAnsi="Helvetica" w:cs="Arial"/>
          <w:color w:val="000000"/>
        </w:rPr>
        <w:t>); 2) three clinicians, each interacting with one of three supervisors, responding as if she had been in the initial encounter; and 3) each of the three clinician-supervisor pairs retuning to join the patient (</w:t>
      </w:r>
      <w:r w:rsidRPr="003A6294">
        <w:rPr>
          <w:rFonts w:ascii="Helvetica" w:hAnsi="Helvetica" w:cs="Arial"/>
          <w:b/>
          <w:bCs/>
          <w:color w:val="000000"/>
        </w:rPr>
        <w:t>Figure 1</w:t>
      </w:r>
      <w:r w:rsidRPr="003A6294">
        <w:rPr>
          <w:rFonts w:ascii="Helvetica" w:hAnsi="Helvetica" w:cs="Arial"/>
          <w:color w:val="000000"/>
        </w:rPr>
        <w:t>). A professional actor with experience working as an SP followed best practices</w:t>
      </w:r>
      <w:r w:rsidRPr="003A6294">
        <w:rPr>
          <w:rFonts w:ascii="Helvetica" w:hAnsi="Helvetica" w:cs="Arial"/>
          <w:color w:val="000000"/>
        </w:rPr>
        <w:fldChar w:fldCharType="begin" w:fldLock="1"/>
      </w:r>
      <w:r w:rsidR="00AF14FE">
        <w:rPr>
          <w:rFonts w:ascii="Helvetica" w:hAnsi="Helvetica" w:cs="Arial"/>
          <w:color w:val="000000"/>
        </w:rPr>
        <w:instrText>ADDIN CSL_CITATION {"citationItems":[{"id":"ITEM-1","itemData":{"ISBN":"2059-0628 (Print) 2059-0628 (Linking)","PMID":"29450011","abstract":"In this paper, we define the Association of Standardized Patient Educators (ASPE) Standards of Best Practice (SOBP) for those working with human role players who interact with learners in a wide range of experiential learning and assessment contexts. These human role players are variously described by such terms as standardized/simulated patients or simulated participants (SP or SPs). ASPE is a global organization whose mission is to share advances in SP-based pedagogy, assessment, research, and scholarship as well as support the professional development of its members. The SOBP are intended to be used in conjunction with the International Nursing Association for Clinical Simulation and Learning (INACSL) Standards of Best Practice: Simulation(SM), which address broader simulation practices. We begin by providing a rationale for the creation of the ASPE SOBP, noting that with the increasing use of simulation in healthcare training, it is incumbent on ASPE to establish SOBP that ensure the growth, integrity, and safe application of SP-based educational endeavors. We then describe the three and a half year process through which these standards were developed by a consensus of international experts in the field. Key terms used throughout the document are defined. Five underlying values inform the SOBP: safety, quality, professionalism, accountability, and collaboration. Finally, we describe five domains of best practice: safe work environment; case development; SP training for role portrayal, feedback, and completion of assessment instruments; program management; and professional development. Each domain is divided into principles with accompanying key practices that provide clear and practical guidelines for achieving desired outcomes and creating simulations that are safe for all stakeholders. Failure to follow the ASPE SOBP could compromise the safety of participants and the effectiveness of a simulation session. Care has been taken to make these guidelines precise yet flexible enough to address the diversity of varying contexts of SP practice. As a living document, these SOBP will be reviewed and modified periodically under the direction of the ASPE Standards of Practice Committee as SP methodology grows and adapts to evolving simulation practices.","author":[{"dropping-particle":"","family":"Lewis","given":"Karen L","non-dropping-particle":"","parse-names":false,"suffix":""},{"dropping-particle":"","family":"Bohnert","given":"Carrie A","non-dropping-particle":"","parse-names":false,"suffix":""},{"dropping-particle":"","family":"Gammon","given":"Wendy L","non-dropping-particle":"","parse-names":false,"suffix":""},{"dropping-particle":"","family":"Hölzer","given":"Henrike","non-dropping-particle":"","parse-names":false,"suffix":""},{"dropping-particle":"","family":"Lyman","given":"Lorraine","non-dropping-particle":"","parse-names":false,"suffix":""},{"dropping-particle":"","family":"Smith","given":"Cathy","non-dropping-particle":"","parse-names":false,"suffix":""},{"dropping-particle":"","family":"Thompson","given":"Tonya M","non-dropping-particle":"","parse-names":false,"suffix":""},{"dropping-particle":"","family":"Wallace","given":"Amelia","non-dropping-particle":"","parse-names":false,"suffix":""},{"dropping-particle":"","family":"Gliva-mcconvey","given":"Gayle","non-dropping-particle":"","parse-names":false,"suffix":""},{"dropping-particle":"","family":"Holzer","given":"H","non-dropping-particle":"","parse-names":false,"suffix":""},{"dropping-particle":"","family":"Lyman","given":"Lorraine","non-dropping-particle":"","parse-names":false,"suffix":""},{"dropping-particle":"","family":"Smith","given":"Cathy","non-dropping-particle":"","parse-names":false,"suffix":""},{"dropping-particle":"","family":"Thompson","given":"Tonya M","non-dropping-particle":"","parse-names":false,"suffix":""},{"dropping-particle":"","family":"Wallace","given":"Amelia","non-dropping-particle":"","parse-names":false,"suffix":""},{"dropping-particle":"","family":"Gliva-mcconvey","given":"Gayle","non-dropping-particle":"","parse-names":false,"suffix":""}],"container-title":"Advances in Simulation","id":"ITEM-1","issue":"10","issued":{"date-parts":[["2017"]]},"note":"From Duplicate 1 (The Association of Standardized Patient Educators (ASPE) Standards of Best Practice (SOBP) - Lewis, K L; Bohnert, C A; Gammon, W L; Holzer, H; Lyman, L; Smith, C; Thompson, T M; Wallace, A; Gliva-McConvey, G)\n\nLewis, Karen L\nBohnert, Carrie A\nGammon, Wendy L\nHolzer, Henrike\nLyman, Lorraine\nSmith, Cathy\nThompson, Tonya M\nWallace, Amelia\nGliva-McConvey, Gayle\neng\nEngland\nAdv Simul (Lond). 2017 Jun 27;2:10. doi: 10.1186/s41077-017-0043-4. eCollection 2017.","page":"1-8","title":"The Association of Standardized Patient Educators (ASPE) Standards of Best Practice (SOBP)","type":"article-journal","volume":"2"},"uris":["http://www.mendeley.com/documents/?uuid=aa7a1aad-85e6-48bd-8814-454f69dcb6c1"]}],"mendeley":{"formattedCitation":"&lt;sup&gt;10&lt;/sup&gt;","plainTextFormattedCitation":"10","previouslyFormattedCitation":"&lt;sup&gt;20&lt;/sup&gt;"},"properties":{"noteIndex":0},"schema":"https://github.com/citation-style-language/schema/raw/master/csl-citation.json"}</w:instrText>
      </w:r>
      <w:r w:rsidRPr="003A6294">
        <w:rPr>
          <w:rFonts w:ascii="Helvetica" w:hAnsi="Helvetica" w:cs="Arial"/>
          <w:color w:val="000000"/>
        </w:rPr>
        <w:fldChar w:fldCharType="separate"/>
      </w:r>
      <w:r w:rsidR="00AF14FE" w:rsidRPr="00AF14FE">
        <w:rPr>
          <w:rFonts w:ascii="Helvetica" w:hAnsi="Helvetica" w:cs="Arial"/>
          <w:noProof/>
          <w:color w:val="000000"/>
          <w:vertAlign w:val="superscript"/>
        </w:rPr>
        <w:t>10</w:t>
      </w:r>
      <w:r w:rsidRPr="003A6294">
        <w:rPr>
          <w:rFonts w:ascii="Helvetica" w:hAnsi="Helvetica" w:cs="Arial"/>
          <w:color w:val="000000"/>
        </w:rPr>
        <w:fldChar w:fldCharType="end"/>
      </w:r>
      <w:r w:rsidRPr="003A6294">
        <w:rPr>
          <w:rFonts w:ascii="Helvetica" w:hAnsi="Helvetica" w:cs="Arial"/>
          <w:color w:val="000000"/>
        </w:rPr>
        <w:t xml:space="preserve"> in taking on the patient’s role. All clinicians in the videos are practicing Black women physicians, not professional actors.</w:t>
      </w:r>
    </w:p>
    <w:p w14:paraId="3F31DFC6" w14:textId="77777777" w:rsidR="00F97599" w:rsidRPr="003A6294" w:rsidRDefault="00F97599" w:rsidP="00F97599">
      <w:pPr>
        <w:spacing w:after="120"/>
        <w:jc w:val="center"/>
        <w:rPr>
          <w:rFonts w:ascii="Helvetica" w:hAnsi="Helvetica" w:cs="Arial"/>
          <w:color w:val="000000"/>
        </w:rPr>
      </w:pPr>
      <w:r w:rsidRPr="003A6294">
        <w:rPr>
          <w:rFonts w:ascii="Helvetica" w:hAnsi="Helvetica" w:cs="Arial"/>
          <w:color w:val="000000"/>
        </w:rPr>
        <w:t>INSERT FIGURE 1 ABOUT HERE</w:t>
      </w:r>
    </w:p>
    <w:p w14:paraId="77628911" w14:textId="77777777" w:rsidR="00F97599" w:rsidRPr="003A6294" w:rsidRDefault="00F97599" w:rsidP="00F97599">
      <w:pPr>
        <w:spacing w:after="120"/>
        <w:ind w:firstLine="720"/>
        <w:rPr>
          <w:rFonts w:ascii="Helvetica" w:hAnsi="Helvetica" w:cs="Arial"/>
          <w:color w:val="000000"/>
        </w:rPr>
      </w:pPr>
      <w:r w:rsidRPr="003A6294">
        <w:rPr>
          <w:rFonts w:ascii="Helvetica" w:hAnsi="Helvetica" w:cs="Arial"/>
          <w:color w:val="000000"/>
        </w:rPr>
        <w:t xml:space="preserve">Meeting with their respective supervisor, each of the three clinicians exemplified how they had responded to personal racist interactions in the past. We first conducted a focus group of the five Black female physician coauthors in which they amalgamated their personal experiences into three paradigmatic response styles: 1) </w:t>
      </w:r>
      <w:r w:rsidRPr="003A6294">
        <w:rPr>
          <w:rFonts w:ascii="Helvetica" w:hAnsi="Helvetica" w:cs="Arial"/>
          <w:i/>
          <w:iCs/>
          <w:color w:val="000000"/>
        </w:rPr>
        <w:t>Freezing,</w:t>
      </w:r>
      <w:r w:rsidRPr="003A6294">
        <w:rPr>
          <w:rFonts w:ascii="Helvetica" w:hAnsi="Helvetica" w:cs="Arial"/>
          <w:color w:val="000000"/>
        </w:rPr>
        <w:t xml:space="preserve"> a stunned reaction in which they found it hard to say much and experienced a wilting silence; 2) </w:t>
      </w:r>
      <w:r w:rsidRPr="003A6294">
        <w:rPr>
          <w:rFonts w:ascii="Helvetica" w:hAnsi="Helvetica" w:cs="Arial"/>
          <w:i/>
          <w:iCs/>
          <w:color w:val="000000"/>
        </w:rPr>
        <w:t>Fleeing,</w:t>
      </w:r>
      <w:r w:rsidRPr="003A6294">
        <w:rPr>
          <w:rFonts w:ascii="Helvetica" w:hAnsi="Helvetica" w:cs="Arial"/>
          <w:color w:val="000000"/>
        </w:rPr>
        <w:t xml:space="preserve"> an attempt to negotiate out of the clinical encounter ("I'll see any other patient instead"), at times ingratiating herself through </w:t>
      </w:r>
      <w:r w:rsidRPr="003A6294">
        <w:rPr>
          <w:rFonts w:ascii="Helvetica" w:hAnsi="Helvetica" w:cs="Arial"/>
          <w:i/>
          <w:iCs/>
          <w:color w:val="000000"/>
        </w:rPr>
        <w:t>fawning</w:t>
      </w:r>
      <w:r w:rsidRPr="003A6294">
        <w:rPr>
          <w:rFonts w:ascii="Helvetica" w:hAnsi="Helvetica" w:cs="Arial"/>
          <w:color w:val="000000"/>
        </w:rPr>
        <w:t xml:space="preserve"> compliments ("you are so good at dealing with complex cases"); or 3) </w:t>
      </w:r>
      <w:r w:rsidRPr="003A6294">
        <w:rPr>
          <w:rFonts w:ascii="Helvetica" w:hAnsi="Helvetica" w:cs="Arial"/>
          <w:i/>
          <w:iCs/>
          <w:color w:val="000000"/>
        </w:rPr>
        <w:t>Fighting,</w:t>
      </w:r>
      <w:r w:rsidRPr="003A6294">
        <w:rPr>
          <w:rFonts w:ascii="Helvetica" w:hAnsi="Helvetica" w:cs="Arial"/>
          <w:color w:val="000000"/>
        </w:rPr>
        <w:t xml:space="preserve"> a direct and candid way of discussing the interaction–and the only one in which racism is explicitly named.</w:t>
      </w:r>
    </w:p>
    <w:p w14:paraId="1A313EB9" w14:textId="77777777" w:rsidR="00F97599" w:rsidRPr="003A6294" w:rsidRDefault="00F97599" w:rsidP="00F97599">
      <w:pPr>
        <w:spacing w:after="120"/>
        <w:ind w:firstLine="720"/>
        <w:rPr>
          <w:rFonts w:ascii="Helvetica" w:hAnsi="Helvetica" w:cs="Arial"/>
          <w:color w:val="000000"/>
        </w:rPr>
      </w:pPr>
      <w:r w:rsidRPr="003A6294">
        <w:rPr>
          <w:rFonts w:ascii="Helvetica" w:hAnsi="Helvetica" w:cs="Arial"/>
          <w:color w:val="000000"/>
        </w:rPr>
        <w:lastRenderedPageBreak/>
        <w:t xml:space="preserve">The supervising physicians were three senior coauthors with extensive supervisory experience. Each one represented a different demographic: a white man, a white woman, and a Black woman. In preparation for the recording session, we asked them to think back to supervisory responses falling into one of two categories around racism: </w:t>
      </w:r>
      <w:r w:rsidRPr="003A6294">
        <w:rPr>
          <w:rFonts w:ascii="Helvetica" w:hAnsi="Helvetica" w:cs="Arial"/>
          <w:i/>
          <w:iCs/>
          <w:color w:val="000000"/>
        </w:rPr>
        <w:t>entrenching</w:t>
      </w:r>
      <w:r w:rsidRPr="003A6294">
        <w:rPr>
          <w:rFonts w:ascii="Helvetica" w:hAnsi="Helvetica" w:cs="Arial"/>
          <w:color w:val="000000"/>
        </w:rPr>
        <w:t xml:space="preserve"> or </w:t>
      </w:r>
      <w:r w:rsidRPr="003A6294">
        <w:rPr>
          <w:rFonts w:ascii="Helvetica" w:hAnsi="Helvetica" w:cs="Arial"/>
          <w:i/>
          <w:iCs/>
          <w:color w:val="000000"/>
        </w:rPr>
        <w:t>disrupting</w:t>
      </w:r>
      <w:r w:rsidRPr="003A6294">
        <w:rPr>
          <w:rFonts w:ascii="Helvetica" w:hAnsi="Helvetica" w:cs="Arial"/>
          <w:color w:val="000000"/>
        </w:rPr>
        <w:t xml:space="preserve">.  </w:t>
      </w:r>
    </w:p>
    <w:p w14:paraId="6E400842" w14:textId="77777777" w:rsidR="00F97599" w:rsidRPr="003A6294" w:rsidRDefault="00F97599" w:rsidP="00F97599">
      <w:pPr>
        <w:spacing w:after="120"/>
        <w:ind w:firstLine="720"/>
        <w:rPr>
          <w:rFonts w:ascii="Helvetica" w:hAnsi="Helvetica" w:cs="Arial"/>
          <w:color w:val="000000"/>
        </w:rPr>
      </w:pPr>
      <w:r w:rsidRPr="003A6294">
        <w:rPr>
          <w:rFonts w:ascii="Helvetica" w:hAnsi="Helvetica" w:cs="Arial"/>
          <w:color w:val="000000"/>
        </w:rPr>
        <w:t xml:space="preserve">For the </w:t>
      </w:r>
      <w:r w:rsidRPr="003A6294">
        <w:rPr>
          <w:rFonts w:ascii="Helvetica" w:hAnsi="Helvetica" w:cs="Arial"/>
          <w:i/>
          <w:iCs/>
          <w:color w:val="000000"/>
        </w:rPr>
        <w:t>entrenching</w:t>
      </w:r>
      <w:r w:rsidRPr="003A6294">
        <w:rPr>
          <w:rFonts w:ascii="Helvetica" w:hAnsi="Helvetica" w:cs="Arial"/>
          <w:color w:val="000000"/>
        </w:rPr>
        <w:t xml:space="preserve"> responses, supervisors recalled ways in which they or their colleagues had not addressed racism effectively, where if anything, they may have helped sustain or reify the status quo of their work environment. Supervisors reflected on their worst moments, and low point experiences dealing with similar past challenges. These responses were not scripted or vetted in advance and yielded three paradigmatic styles: 1) </w:t>
      </w:r>
      <w:r w:rsidRPr="003A6294">
        <w:rPr>
          <w:rFonts w:ascii="Helvetica" w:hAnsi="Helvetica" w:cs="Arial"/>
          <w:i/>
          <w:iCs/>
          <w:color w:val="000000"/>
        </w:rPr>
        <w:t>Dismissive,</w:t>
      </w:r>
      <w:r w:rsidRPr="003A6294">
        <w:rPr>
          <w:rFonts w:ascii="Helvetica" w:hAnsi="Helvetica" w:cs="Arial"/>
          <w:color w:val="000000"/>
        </w:rPr>
        <w:t xml:space="preserve"> where events or actions were brushed off as universal ("we all have been treated this way," "it's part of the job experience"), not relevant ("it's him, not you: it's not personal"), or ignored through platitudes ("you are doing a great job, don't pay attention to that, just focus on the patient "); 2) </w:t>
      </w:r>
      <w:r w:rsidRPr="003A6294">
        <w:rPr>
          <w:rFonts w:ascii="Helvetica" w:hAnsi="Helvetica" w:cs="Arial"/>
          <w:i/>
          <w:iCs/>
          <w:color w:val="000000"/>
        </w:rPr>
        <w:t>Benevolent</w:t>
      </w:r>
      <w:r w:rsidRPr="003A6294">
        <w:rPr>
          <w:rFonts w:ascii="Helvetica" w:hAnsi="Helvetica" w:cs="Arial"/>
          <w:color w:val="000000"/>
        </w:rPr>
        <w:t xml:space="preserve">, where the supervisor can identify the emotional hurt, perhaps even inquiring whether racism had been at play. However, their response becomes oppressive in its overzealous attempt to resolve the situation prematurely (“don’t keep it in," "don't let it fester”); and 3) </w:t>
      </w:r>
      <w:r w:rsidRPr="003A6294">
        <w:rPr>
          <w:rFonts w:ascii="Helvetica" w:hAnsi="Helvetica" w:cs="Arial"/>
          <w:i/>
          <w:iCs/>
          <w:color w:val="000000"/>
        </w:rPr>
        <w:t>Internalized,</w:t>
      </w:r>
      <w:r w:rsidRPr="003A6294">
        <w:rPr>
          <w:rFonts w:ascii="Helvetica" w:hAnsi="Helvetica" w:cs="Arial"/>
          <w:color w:val="000000"/>
        </w:rPr>
        <w:t xml:space="preserve"> in which the supervisor identifies the racist behavior for what it is but recommends avoiding it ("it will just make things worse"), implying a role in exacerbating matters ("you mentioned racism?", "you were too direct"), and warning against possible retaliation ("he might file a complaint," "you don't want to be pegged as the ‘angry Black woman.")</w:t>
      </w:r>
    </w:p>
    <w:p w14:paraId="2989D000" w14:textId="76D63751" w:rsidR="00F97599" w:rsidRDefault="00F97599" w:rsidP="00F97599">
      <w:pPr>
        <w:spacing w:after="120"/>
        <w:ind w:firstLine="720"/>
        <w:rPr>
          <w:rFonts w:ascii="Helvetica" w:hAnsi="Helvetica" w:cs="Arial"/>
          <w:color w:val="000000"/>
        </w:rPr>
      </w:pPr>
      <w:r w:rsidRPr="003A6294">
        <w:rPr>
          <w:rFonts w:ascii="Helvetica" w:hAnsi="Helvetica" w:cs="Arial"/>
          <w:color w:val="000000"/>
        </w:rPr>
        <w:t xml:space="preserve">The same three supervisors recorded a second take for their </w:t>
      </w:r>
      <w:r w:rsidRPr="003A6294">
        <w:rPr>
          <w:rFonts w:ascii="Helvetica" w:hAnsi="Helvetica" w:cs="Arial"/>
          <w:i/>
          <w:iCs/>
          <w:color w:val="000000"/>
        </w:rPr>
        <w:t>disrupting</w:t>
      </w:r>
      <w:r w:rsidRPr="003A6294">
        <w:rPr>
          <w:rFonts w:ascii="Helvetica" w:hAnsi="Helvetica" w:cs="Arial"/>
          <w:color w:val="000000"/>
        </w:rPr>
        <w:t xml:space="preserve"> responses, this time demonstrating behaviors they had considered effective and supportive, actions they felt proud of toward disrupting sentinel events and tense interactions; in short, ways in which they considered having been effectively antiracist in the oversight of their trainees.</w:t>
      </w:r>
    </w:p>
    <w:p w14:paraId="1315254D" w14:textId="2D44ACA7" w:rsidR="00F97599" w:rsidRDefault="00F97599" w:rsidP="00F97599">
      <w:pPr>
        <w:spacing w:after="120"/>
        <w:ind w:firstLine="720"/>
        <w:rPr>
          <w:rFonts w:ascii="Helvetica" w:hAnsi="Helvetica" w:cs="Arial"/>
          <w:color w:val="000000"/>
        </w:rPr>
      </w:pPr>
    </w:p>
    <w:p w14:paraId="3EA0468E" w14:textId="77777777" w:rsidR="00F97599" w:rsidRDefault="00F97599" w:rsidP="00F97599">
      <w:pPr>
        <w:spacing w:after="120"/>
        <w:ind w:firstLine="720"/>
        <w:rPr>
          <w:rFonts w:ascii="Helvetica" w:hAnsi="Helvetica" w:cs="Arial"/>
          <w:color w:val="000000"/>
        </w:rPr>
      </w:pPr>
    </w:p>
    <w:p w14:paraId="6C0F6543" w14:textId="77777777" w:rsidR="00F97599" w:rsidRDefault="00F97599">
      <w:pPr>
        <w:rPr>
          <w:rFonts w:ascii="Helvetica" w:hAnsi="Helvetica" w:cs="Arial"/>
          <w:color w:val="000000"/>
        </w:rPr>
      </w:pPr>
      <w:r>
        <w:rPr>
          <w:rFonts w:ascii="Helvetica" w:hAnsi="Helvetica" w:cs="Arial"/>
          <w:color w:val="000000"/>
        </w:rPr>
        <w:br w:type="page"/>
      </w:r>
    </w:p>
    <w:p w14:paraId="697A3FDE" w14:textId="457D0A11" w:rsidR="00AF14FE" w:rsidRPr="00AF14FE" w:rsidRDefault="00AF14FE" w:rsidP="00AF14FE">
      <w:pPr>
        <w:spacing w:after="120"/>
        <w:rPr>
          <w:rFonts w:ascii="Helvetica" w:hAnsi="Helvetica" w:cs="Arial"/>
          <w:b/>
          <w:bCs/>
          <w:color w:val="000000"/>
        </w:rPr>
      </w:pPr>
      <w:r w:rsidRPr="00AF14FE">
        <w:rPr>
          <w:rFonts w:ascii="Helvetica" w:hAnsi="Helvetica" w:cs="Arial"/>
          <w:b/>
          <w:bCs/>
          <w:color w:val="000000"/>
        </w:rPr>
        <w:lastRenderedPageBreak/>
        <w:t>REFERENCES</w:t>
      </w:r>
    </w:p>
    <w:p w14:paraId="0B990ECF" w14:textId="2C229363" w:rsidR="00AF14FE" w:rsidRPr="00AF14FE" w:rsidRDefault="00AF14FE" w:rsidP="00AF14FE">
      <w:pPr>
        <w:widowControl w:val="0"/>
        <w:autoSpaceDE w:val="0"/>
        <w:autoSpaceDN w:val="0"/>
        <w:adjustRightInd w:val="0"/>
        <w:spacing w:after="120"/>
        <w:ind w:left="640" w:hanging="640"/>
        <w:rPr>
          <w:rFonts w:ascii="Helvetica" w:hAnsi="Helvetica"/>
          <w:noProof/>
        </w:rPr>
      </w:pPr>
      <w:r>
        <w:rPr>
          <w:rFonts w:ascii="Helvetica" w:hAnsi="Helvetica" w:cs="Arial"/>
          <w:color w:val="000000"/>
        </w:rPr>
        <w:fldChar w:fldCharType="begin" w:fldLock="1"/>
      </w:r>
      <w:r>
        <w:rPr>
          <w:rFonts w:ascii="Helvetica" w:hAnsi="Helvetica" w:cs="Arial"/>
          <w:color w:val="000000"/>
        </w:rPr>
        <w:instrText xml:space="preserve">ADDIN Mendeley Bibliography CSL_BIBLIOGRAPHY </w:instrText>
      </w:r>
      <w:r>
        <w:rPr>
          <w:rFonts w:ascii="Helvetica" w:hAnsi="Helvetica" w:cs="Arial"/>
          <w:color w:val="000000"/>
        </w:rPr>
        <w:fldChar w:fldCharType="separate"/>
      </w:r>
      <w:r w:rsidRPr="00AF14FE">
        <w:rPr>
          <w:rFonts w:ascii="Helvetica" w:hAnsi="Helvetica"/>
          <w:noProof/>
        </w:rPr>
        <w:t xml:space="preserve">1. </w:t>
      </w:r>
      <w:r w:rsidRPr="00AF14FE">
        <w:rPr>
          <w:rFonts w:ascii="Helvetica" w:hAnsi="Helvetica"/>
          <w:noProof/>
        </w:rPr>
        <w:tab/>
        <w:t xml:space="preserve">McTaggart R. Principles for participatory action research. </w:t>
      </w:r>
      <w:r w:rsidRPr="00AF14FE">
        <w:rPr>
          <w:rFonts w:ascii="Helvetica" w:hAnsi="Helvetica"/>
          <w:i/>
          <w:iCs/>
          <w:noProof/>
        </w:rPr>
        <w:t>Adult Educ Q</w:t>
      </w:r>
      <w:r w:rsidRPr="00AF14FE">
        <w:rPr>
          <w:rFonts w:ascii="Helvetica" w:hAnsi="Helvetica"/>
          <w:noProof/>
        </w:rPr>
        <w:t>. 1991;41(3):168-187.</w:t>
      </w:r>
    </w:p>
    <w:p w14:paraId="09D9DAF8"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2. </w:t>
      </w:r>
      <w:r w:rsidRPr="00AF14FE">
        <w:rPr>
          <w:rFonts w:ascii="Helvetica" w:hAnsi="Helvetica"/>
          <w:noProof/>
        </w:rPr>
        <w:tab/>
        <w:t xml:space="preserve">Kemmis S. Participatory action research and the public sphere. </w:t>
      </w:r>
      <w:r w:rsidRPr="00AF14FE">
        <w:rPr>
          <w:rFonts w:ascii="Helvetica" w:hAnsi="Helvetica"/>
          <w:i/>
          <w:iCs/>
          <w:noProof/>
        </w:rPr>
        <w:t>Educ Action Res</w:t>
      </w:r>
      <w:r w:rsidRPr="00AF14FE">
        <w:rPr>
          <w:rFonts w:ascii="Helvetica" w:hAnsi="Helvetica"/>
          <w:noProof/>
        </w:rPr>
        <w:t>. 2006;14(4):459-476. doi:10.1080/09650790600975593</w:t>
      </w:r>
    </w:p>
    <w:p w14:paraId="05B1FF50"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3. </w:t>
      </w:r>
      <w:r w:rsidRPr="00AF14FE">
        <w:rPr>
          <w:rFonts w:ascii="Helvetica" w:hAnsi="Helvetica"/>
          <w:noProof/>
        </w:rPr>
        <w:tab/>
        <w:t xml:space="preserve">Baum F, MacDougall C, Smith D. Participatory action research. </w:t>
      </w:r>
      <w:r w:rsidRPr="00AF14FE">
        <w:rPr>
          <w:rFonts w:ascii="Helvetica" w:hAnsi="Helvetica"/>
          <w:i/>
          <w:iCs/>
          <w:noProof/>
        </w:rPr>
        <w:t>J Epidemiol Community Health</w:t>
      </w:r>
      <w:r w:rsidRPr="00AF14FE">
        <w:rPr>
          <w:rFonts w:ascii="Helvetica" w:hAnsi="Helvetica"/>
          <w:noProof/>
        </w:rPr>
        <w:t>. 2006;60(10):854-857. doi:10.1136/jech.2004.028662</w:t>
      </w:r>
    </w:p>
    <w:p w14:paraId="189C61C7"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4. </w:t>
      </w:r>
      <w:r w:rsidRPr="00AF14FE">
        <w:rPr>
          <w:rFonts w:ascii="Helvetica" w:hAnsi="Helvetica"/>
          <w:noProof/>
        </w:rPr>
        <w:tab/>
        <w:t xml:space="preserve">Martin A, Weller I, Amsalem D, Duvivier R, Jaarsma D, de Carvalho Filho MA. Co-constructive patient simulation: a learner-centered method to enhace communciation and reflection skills. </w:t>
      </w:r>
      <w:r w:rsidRPr="00AF14FE">
        <w:rPr>
          <w:rFonts w:ascii="Helvetica" w:hAnsi="Helvetica"/>
          <w:i/>
          <w:iCs/>
          <w:noProof/>
        </w:rPr>
        <w:t>Simul Healthc J Soc Simul Healthc</w:t>
      </w:r>
      <w:r w:rsidRPr="00AF14FE">
        <w:rPr>
          <w:rFonts w:ascii="Helvetica" w:hAnsi="Helvetica"/>
          <w:noProof/>
        </w:rPr>
        <w:t>. 2020;16(6):129-135. doi:10.1097/sih.0000000000000528</w:t>
      </w:r>
    </w:p>
    <w:p w14:paraId="425FCE3C"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5. </w:t>
      </w:r>
      <w:r w:rsidRPr="00AF14FE">
        <w:rPr>
          <w:rFonts w:ascii="Helvetica" w:hAnsi="Helvetica"/>
          <w:noProof/>
        </w:rPr>
        <w:tab/>
        <w:t xml:space="preserve">Dubé MM, Reid J, Kaba A, et al. PEARLS for Systems Integration: a modified PEARLS framework for debriefing systems-focused simulations. </w:t>
      </w:r>
      <w:r w:rsidRPr="00AF14FE">
        <w:rPr>
          <w:rFonts w:ascii="Helvetica" w:hAnsi="Helvetica"/>
          <w:i/>
          <w:iCs/>
          <w:noProof/>
        </w:rPr>
        <w:t>Simul Healthc</w:t>
      </w:r>
      <w:r w:rsidRPr="00AF14FE">
        <w:rPr>
          <w:rFonts w:ascii="Helvetica" w:hAnsi="Helvetica"/>
          <w:noProof/>
        </w:rPr>
        <w:t>. 2019;14(5):333-342. doi:10.1097/SIH.0000000000000381</w:t>
      </w:r>
    </w:p>
    <w:p w14:paraId="70779D73"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6. </w:t>
      </w:r>
      <w:r w:rsidRPr="00AF14FE">
        <w:rPr>
          <w:rFonts w:ascii="Helvetica" w:hAnsi="Helvetica"/>
          <w:noProof/>
        </w:rPr>
        <w:tab/>
        <w:t xml:space="preserve">Grant VJ, Robinson T, Catena H, Eppich W, Cheng A. Difficult debriefing situations: A toolbox for simulation educators. </w:t>
      </w:r>
      <w:r w:rsidRPr="00AF14FE">
        <w:rPr>
          <w:rFonts w:ascii="Helvetica" w:hAnsi="Helvetica"/>
          <w:i/>
          <w:iCs/>
          <w:noProof/>
        </w:rPr>
        <w:t>Med Teach</w:t>
      </w:r>
      <w:r w:rsidRPr="00AF14FE">
        <w:rPr>
          <w:rFonts w:ascii="Helvetica" w:hAnsi="Helvetica"/>
          <w:noProof/>
        </w:rPr>
        <w:t>. 2018;40(7):703-712. doi:10.1080/0142159X.2018.1468558</w:t>
      </w:r>
    </w:p>
    <w:p w14:paraId="37E033D2"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7. </w:t>
      </w:r>
      <w:r w:rsidRPr="00AF14FE">
        <w:rPr>
          <w:rFonts w:ascii="Helvetica" w:hAnsi="Helvetica"/>
          <w:noProof/>
        </w:rPr>
        <w:tab/>
        <w:t xml:space="preserve">Eppich WJ, Hunt EA, Duval-Arnould JM, Siddall VJ, Cheng A. Structuring feedback and debriefing to achieve mastery learning goals. </w:t>
      </w:r>
      <w:r w:rsidRPr="00AF14FE">
        <w:rPr>
          <w:rFonts w:ascii="Helvetica" w:hAnsi="Helvetica"/>
          <w:i/>
          <w:iCs/>
          <w:noProof/>
        </w:rPr>
        <w:t>Acad Med</w:t>
      </w:r>
      <w:r w:rsidRPr="00AF14FE">
        <w:rPr>
          <w:rFonts w:ascii="Helvetica" w:hAnsi="Helvetica"/>
          <w:noProof/>
        </w:rPr>
        <w:t>. 2015;90(11):1501-1508. doi:10.1097/ACM.0000000000000934</w:t>
      </w:r>
    </w:p>
    <w:p w14:paraId="2F30E09F"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8. </w:t>
      </w:r>
      <w:r w:rsidRPr="00AF14FE">
        <w:rPr>
          <w:rFonts w:ascii="Helvetica" w:hAnsi="Helvetica"/>
          <w:noProof/>
        </w:rPr>
        <w:tab/>
        <w:t xml:space="preserve">Eppich W, Cheng A. Promoting excellence and reflective learning in simulation (PEARLS): development and rationale for a blended approach to health care simulation debriefing. </w:t>
      </w:r>
      <w:r w:rsidRPr="00AF14FE">
        <w:rPr>
          <w:rFonts w:ascii="Helvetica" w:hAnsi="Helvetica"/>
          <w:i/>
          <w:iCs/>
          <w:noProof/>
        </w:rPr>
        <w:t>Simul Healthc</w:t>
      </w:r>
      <w:r w:rsidRPr="00AF14FE">
        <w:rPr>
          <w:rFonts w:ascii="Helvetica" w:hAnsi="Helvetica"/>
          <w:noProof/>
        </w:rPr>
        <w:t>. 2015;10(2):106-115. doi:10.1097/SIH.0000000000000072</w:t>
      </w:r>
    </w:p>
    <w:p w14:paraId="01260BBB"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9. </w:t>
      </w:r>
      <w:r w:rsidRPr="00AF14FE">
        <w:rPr>
          <w:rFonts w:ascii="Helvetica" w:hAnsi="Helvetica"/>
          <w:noProof/>
        </w:rPr>
        <w:tab/>
        <w:t xml:space="preserve">Cheng A, Eppich W, Kolbe M, Meguerdichian M, Bajaj K, Grant V. A conceptual framework for the development of debriefing skills. </w:t>
      </w:r>
      <w:r w:rsidRPr="00AF14FE">
        <w:rPr>
          <w:rFonts w:ascii="Helvetica" w:hAnsi="Helvetica"/>
          <w:i/>
          <w:iCs/>
          <w:noProof/>
        </w:rPr>
        <w:t>Simul Healthc</w:t>
      </w:r>
      <w:r w:rsidRPr="00AF14FE">
        <w:rPr>
          <w:rFonts w:ascii="Helvetica" w:hAnsi="Helvetica"/>
          <w:noProof/>
        </w:rPr>
        <w:t>. 2019;0(0):Online early. doi:10.1097/SIH.0000000000000398</w:t>
      </w:r>
    </w:p>
    <w:p w14:paraId="2B9CC1DA" w14:textId="77777777" w:rsidR="00AF14FE" w:rsidRPr="00AF14FE" w:rsidRDefault="00AF14FE" w:rsidP="00AF14FE">
      <w:pPr>
        <w:widowControl w:val="0"/>
        <w:autoSpaceDE w:val="0"/>
        <w:autoSpaceDN w:val="0"/>
        <w:adjustRightInd w:val="0"/>
        <w:spacing w:after="120"/>
        <w:ind w:left="640" w:hanging="640"/>
        <w:rPr>
          <w:rFonts w:ascii="Helvetica" w:hAnsi="Helvetica"/>
          <w:noProof/>
        </w:rPr>
      </w:pPr>
      <w:r w:rsidRPr="00AF14FE">
        <w:rPr>
          <w:rFonts w:ascii="Helvetica" w:hAnsi="Helvetica"/>
          <w:noProof/>
        </w:rPr>
        <w:t xml:space="preserve">10. </w:t>
      </w:r>
      <w:r w:rsidRPr="00AF14FE">
        <w:rPr>
          <w:rFonts w:ascii="Helvetica" w:hAnsi="Helvetica"/>
          <w:noProof/>
        </w:rPr>
        <w:tab/>
        <w:t xml:space="preserve">Lewis KL, Bohnert CA, Gammon WL, et al. The Association of Standardized Patient Educators (ASPE) Standards of Best Practice (SOBP). </w:t>
      </w:r>
      <w:r w:rsidRPr="00AF14FE">
        <w:rPr>
          <w:rFonts w:ascii="Helvetica" w:hAnsi="Helvetica"/>
          <w:i/>
          <w:iCs/>
          <w:noProof/>
        </w:rPr>
        <w:t>Adv Simul</w:t>
      </w:r>
      <w:r w:rsidRPr="00AF14FE">
        <w:rPr>
          <w:rFonts w:ascii="Helvetica" w:hAnsi="Helvetica"/>
          <w:noProof/>
        </w:rPr>
        <w:t>. 2017;2(10):1-8.</w:t>
      </w:r>
    </w:p>
    <w:p w14:paraId="37993D53" w14:textId="3A706CCB" w:rsidR="004853C3" w:rsidRDefault="00AF14FE" w:rsidP="00D165BA">
      <w:pPr>
        <w:spacing w:after="120"/>
        <w:ind w:firstLine="720"/>
      </w:pPr>
      <w:r>
        <w:rPr>
          <w:rFonts w:ascii="Helvetica" w:hAnsi="Helvetica" w:cs="Arial"/>
          <w:color w:val="000000"/>
        </w:rPr>
        <w:fldChar w:fldCharType="end"/>
      </w:r>
    </w:p>
    <w:sectPr w:rsidR="004853C3" w:rsidSect="002F2C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599"/>
    <w:rsid w:val="00053580"/>
    <w:rsid w:val="000600B4"/>
    <w:rsid w:val="0006736E"/>
    <w:rsid w:val="00094A44"/>
    <w:rsid w:val="000C74A0"/>
    <w:rsid w:val="000D7F6E"/>
    <w:rsid w:val="000E7E46"/>
    <w:rsid w:val="000F0539"/>
    <w:rsid w:val="001119BD"/>
    <w:rsid w:val="001215EF"/>
    <w:rsid w:val="0014473B"/>
    <w:rsid w:val="00145CE8"/>
    <w:rsid w:val="001659E8"/>
    <w:rsid w:val="001723EF"/>
    <w:rsid w:val="0017765F"/>
    <w:rsid w:val="00197C15"/>
    <w:rsid w:val="001A0F5D"/>
    <w:rsid w:val="001B78CE"/>
    <w:rsid w:val="001E72F7"/>
    <w:rsid w:val="001F2DEC"/>
    <w:rsid w:val="00204689"/>
    <w:rsid w:val="00205219"/>
    <w:rsid w:val="00220469"/>
    <w:rsid w:val="00223FAE"/>
    <w:rsid w:val="00226F07"/>
    <w:rsid w:val="00226F61"/>
    <w:rsid w:val="0023629F"/>
    <w:rsid w:val="00276D70"/>
    <w:rsid w:val="002A4CB5"/>
    <w:rsid w:val="002B709A"/>
    <w:rsid w:val="002C0F4D"/>
    <w:rsid w:val="002D280D"/>
    <w:rsid w:val="002D5012"/>
    <w:rsid w:val="002F2CA1"/>
    <w:rsid w:val="003136EC"/>
    <w:rsid w:val="00316FC1"/>
    <w:rsid w:val="00320304"/>
    <w:rsid w:val="00322225"/>
    <w:rsid w:val="00326AFE"/>
    <w:rsid w:val="00330FDF"/>
    <w:rsid w:val="00350FF4"/>
    <w:rsid w:val="0035394A"/>
    <w:rsid w:val="00354EF3"/>
    <w:rsid w:val="00355221"/>
    <w:rsid w:val="0035766A"/>
    <w:rsid w:val="00380EF4"/>
    <w:rsid w:val="00394960"/>
    <w:rsid w:val="0039701A"/>
    <w:rsid w:val="003A0224"/>
    <w:rsid w:val="003D6B16"/>
    <w:rsid w:val="003E7271"/>
    <w:rsid w:val="00414752"/>
    <w:rsid w:val="00414E28"/>
    <w:rsid w:val="0041580D"/>
    <w:rsid w:val="00432B7E"/>
    <w:rsid w:val="00446EE3"/>
    <w:rsid w:val="004515DA"/>
    <w:rsid w:val="00464325"/>
    <w:rsid w:val="004665C5"/>
    <w:rsid w:val="004850AD"/>
    <w:rsid w:val="004853C3"/>
    <w:rsid w:val="00485898"/>
    <w:rsid w:val="00487DBF"/>
    <w:rsid w:val="004A4465"/>
    <w:rsid w:val="004A52EA"/>
    <w:rsid w:val="004C384E"/>
    <w:rsid w:val="004C6A6F"/>
    <w:rsid w:val="005208F2"/>
    <w:rsid w:val="00526B15"/>
    <w:rsid w:val="00566995"/>
    <w:rsid w:val="00594E65"/>
    <w:rsid w:val="005A3223"/>
    <w:rsid w:val="005B3AFE"/>
    <w:rsid w:val="005D2A20"/>
    <w:rsid w:val="005D6223"/>
    <w:rsid w:val="005D62AB"/>
    <w:rsid w:val="005E0D5E"/>
    <w:rsid w:val="005F1159"/>
    <w:rsid w:val="005F7A5D"/>
    <w:rsid w:val="00601AA5"/>
    <w:rsid w:val="006060EE"/>
    <w:rsid w:val="006120CD"/>
    <w:rsid w:val="006244FD"/>
    <w:rsid w:val="00636746"/>
    <w:rsid w:val="00665225"/>
    <w:rsid w:val="00667097"/>
    <w:rsid w:val="006879BF"/>
    <w:rsid w:val="006B1587"/>
    <w:rsid w:val="006B2B3B"/>
    <w:rsid w:val="006C5FBF"/>
    <w:rsid w:val="006C68BF"/>
    <w:rsid w:val="006D65F5"/>
    <w:rsid w:val="006E51B1"/>
    <w:rsid w:val="006E5C8A"/>
    <w:rsid w:val="006F317A"/>
    <w:rsid w:val="00705F08"/>
    <w:rsid w:val="00710C97"/>
    <w:rsid w:val="00712275"/>
    <w:rsid w:val="00715291"/>
    <w:rsid w:val="007305D9"/>
    <w:rsid w:val="00761990"/>
    <w:rsid w:val="007A0FE1"/>
    <w:rsid w:val="007A4185"/>
    <w:rsid w:val="007A7EB2"/>
    <w:rsid w:val="007D33CC"/>
    <w:rsid w:val="007D3B26"/>
    <w:rsid w:val="00816E6A"/>
    <w:rsid w:val="008344EA"/>
    <w:rsid w:val="00837411"/>
    <w:rsid w:val="00851736"/>
    <w:rsid w:val="00871EA0"/>
    <w:rsid w:val="0088629A"/>
    <w:rsid w:val="008C04BF"/>
    <w:rsid w:val="008D1EF7"/>
    <w:rsid w:val="008E372A"/>
    <w:rsid w:val="008E7B17"/>
    <w:rsid w:val="00900E7A"/>
    <w:rsid w:val="00923E2F"/>
    <w:rsid w:val="0099157E"/>
    <w:rsid w:val="009B6713"/>
    <w:rsid w:val="009D5AEA"/>
    <w:rsid w:val="00A367D3"/>
    <w:rsid w:val="00A66F7C"/>
    <w:rsid w:val="00A868FD"/>
    <w:rsid w:val="00AA4E34"/>
    <w:rsid w:val="00AA5707"/>
    <w:rsid w:val="00AC4A96"/>
    <w:rsid w:val="00AD54A1"/>
    <w:rsid w:val="00AD782E"/>
    <w:rsid w:val="00AF14FE"/>
    <w:rsid w:val="00AF6BFC"/>
    <w:rsid w:val="00B11484"/>
    <w:rsid w:val="00B129F2"/>
    <w:rsid w:val="00B23861"/>
    <w:rsid w:val="00B23971"/>
    <w:rsid w:val="00B417CE"/>
    <w:rsid w:val="00B46722"/>
    <w:rsid w:val="00BC110E"/>
    <w:rsid w:val="00BE0156"/>
    <w:rsid w:val="00C0591F"/>
    <w:rsid w:val="00C074E9"/>
    <w:rsid w:val="00C33657"/>
    <w:rsid w:val="00C368CD"/>
    <w:rsid w:val="00C3733E"/>
    <w:rsid w:val="00C45A04"/>
    <w:rsid w:val="00C552A7"/>
    <w:rsid w:val="00C56396"/>
    <w:rsid w:val="00C72030"/>
    <w:rsid w:val="00C8488E"/>
    <w:rsid w:val="00C87602"/>
    <w:rsid w:val="00C92DDC"/>
    <w:rsid w:val="00C96B8D"/>
    <w:rsid w:val="00CA51D6"/>
    <w:rsid w:val="00CC3ACC"/>
    <w:rsid w:val="00CD56C6"/>
    <w:rsid w:val="00CE08ED"/>
    <w:rsid w:val="00D165BA"/>
    <w:rsid w:val="00D220B0"/>
    <w:rsid w:val="00D5470D"/>
    <w:rsid w:val="00D65C83"/>
    <w:rsid w:val="00D712A9"/>
    <w:rsid w:val="00D71D5A"/>
    <w:rsid w:val="00DA6A6C"/>
    <w:rsid w:val="00DB2D1B"/>
    <w:rsid w:val="00DF3F6C"/>
    <w:rsid w:val="00E56F96"/>
    <w:rsid w:val="00EA24F3"/>
    <w:rsid w:val="00EB07E0"/>
    <w:rsid w:val="00ED2A0F"/>
    <w:rsid w:val="00EE2810"/>
    <w:rsid w:val="00EF08CE"/>
    <w:rsid w:val="00EF7512"/>
    <w:rsid w:val="00F048DE"/>
    <w:rsid w:val="00F06911"/>
    <w:rsid w:val="00F42533"/>
    <w:rsid w:val="00F47E2A"/>
    <w:rsid w:val="00F5115F"/>
    <w:rsid w:val="00F603F7"/>
    <w:rsid w:val="00F67A80"/>
    <w:rsid w:val="00F73EE2"/>
    <w:rsid w:val="00F825EC"/>
    <w:rsid w:val="00F97599"/>
    <w:rsid w:val="00FA347D"/>
    <w:rsid w:val="00FC0199"/>
    <w:rsid w:val="00FE40CD"/>
    <w:rsid w:val="00FF0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DDBFA"/>
  <w15:chartTrackingRefBased/>
  <w15:docId w15:val="{B40FC6E2-8F65-2345-9E95-F4AEACF46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759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F97599"/>
    <w:rPr>
      <w:sz w:val="20"/>
      <w:szCs w:val="20"/>
    </w:rPr>
  </w:style>
  <w:style w:type="character" w:customStyle="1" w:styleId="CommentTextChar">
    <w:name w:val="Comment Text Char"/>
    <w:basedOn w:val="DefaultParagraphFont"/>
    <w:link w:val="CommentText"/>
    <w:uiPriority w:val="99"/>
    <w:rsid w:val="00F97599"/>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C9A446-C908-E34F-BE3F-AA9DE5A2B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4266</Words>
  <Characters>24322</Characters>
  <Application>Microsoft Office Word</Application>
  <DocSecurity>0</DocSecurity>
  <Lines>202</Lines>
  <Paragraphs>57</Paragraphs>
  <ScaleCrop>false</ScaleCrop>
  <Company/>
  <LinksUpToDate>false</LinksUpToDate>
  <CharactersWithSpaces>28531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Andres</dc:creator>
  <cp:keywords/>
  <dc:description/>
  <cp:lastModifiedBy>Martin, Andres</cp:lastModifiedBy>
  <cp:revision>3</cp:revision>
  <dcterms:created xsi:type="dcterms:W3CDTF">2022-07-10T23:33:00Z</dcterms:created>
  <dcterms:modified xsi:type="dcterms:W3CDTF">2022-07-11T02:06:00Z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http://www.zotero.org/styles/academic-pediatrics</vt:lpwstr>
  </property>
  <property fmtid="{D5CDD505-2E9C-101B-9397-08002B2CF9AE}" pid="3" name="Mendeley Recent Style Name 0_1">
    <vt:lpwstr>Academic Pediatrics</vt:lpwstr>
  </property>
  <property fmtid="{D5CDD505-2E9C-101B-9397-08002B2CF9AE}" pid="4" name="Mendeley Recent Style Id 1_1">
    <vt:lpwstr>http://www.zotero.org/styles/academic-psychiatry</vt:lpwstr>
  </property>
  <property fmtid="{D5CDD505-2E9C-101B-9397-08002B2CF9AE}" pid="5" name="Mendeley Recent Style Name 1_1">
    <vt:lpwstr>Academic Psychiatry</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http://www.zotero.org/styles/chicago-note-bibliography</vt:lpwstr>
  </property>
  <property fmtid="{D5CDD505-2E9C-101B-9397-08002B2CF9AE}" pid="9" name="Mendeley Recent Style Name 3_1">
    <vt:lpwstr>Chicago Manual of Style 17th edition (note)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http://www.zotero.org/styles/jama</vt:lpwstr>
  </property>
  <property fmtid="{D5CDD505-2E9C-101B-9397-08002B2CF9AE}" pid="13" name="Mendeley Recent Style Name 5_1">
    <vt:lpwstr>JAMA (The Journal of the American Medical Association)</vt:lpwstr>
  </property>
  <property fmtid="{D5CDD505-2E9C-101B-9397-08002B2CF9AE}" pid="14" name="Mendeley Recent Style Id 6_1">
    <vt:lpwstr>http://www.zotero.org/styles/journal-of-adolescent-health</vt:lpwstr>
  </property>
  <property fmtid="{D5CDD505-2E9C-101B-9397-08002B2CF9AE}" pid="15" name="Mendeley Recent Style Name 6_1">
    <vt:lpwstr>Journal of Adolescent Health</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2e870168-21b1-347e-88a9-0eb2707b83a2</vt:lpwstr>
  </property>
  <property fmtid="{D5CDD505-2E9C-101B-9397-08002B2CF9AE}" pid="24" name="Mendeley Citation Style_1">
    <vt:lpwstr>http://www.zotero.org/styles/jama</vt:lpwstr>
  </property>
</Properties>
</file>