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9D86C4" w14:textId="77777777" w:rsidR="00B04F00" w:rsidRPr="006B3FD4" w:rsidRDefault="00B04F00" w:rsidP="00B04F00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Hlk107832717"/>
      <w:r w:rsidRPr="00832A4D">
        <w:rPr>
          <w:b/>
          <w:bCs/>
          <w:sz w:val="36"/>
          <w:szCs w:val="36"/>
        </w:rPr>
        <w:t>Endogenous circadian reporte</w:t>
      </w:r>
      <w:r>
        <w:rPr>
          <w:b/>
          <w:bCs/>
          <w:sz w:val="36"/>
          <w:szCs w:val="36"/>
        </w:rPr>
        <w:t>rs reveal critical</w:t>
      </w:r>
      <w:r>
        <w:rPr>
          <w:b/>
          <w:bCs/>
          <w:sz w:val="36"/>
          <w:szCs w:val="36"/>
        </w:rPr>
        <w:t xml:space="preserve"> consequences of diverse </w:t>
      </w:r>
      <w:r>
        <w:rPr>
          <w:b/>
          <w:bCs/>
          <w:sz w:val="36"/>
          <w:szCs w:val="36"/>
        </w:rPr>
        <w:t xml:space="preserve">novel </w:t>
      </w:r>
      <w:r>
        <w:rPr>
          <w:b/>
          <w:bCs/>
          <w:sz w:val="36"/>
          <w:szCs w:val="36"/>
        </w:rPr>
        <w:t>mutations in clock genes</w:t>
      </w:r>
      <w:r w:rsidRPr="006B3FD4">
        <w:rPr>
          <w:b/>
          <w:bCs/>
          <w:sz w:val="32"/>
          <w:szCs w:val="32"/>
        </w:rPr>
        <w:t xml:space="preserve"> </w:t>
      </w:r>
      <w:bookmarkEnd w:id="0"/>
    </w:p>
    <w:p w14:paraId="0D47D583" w14:textId="77777777" w:rsidR="00B04F00" w:rsidRDefault="00B04F00" w:rsidP="00B04F00">
      <w:pPr>
        <w:rPr>
          <w:rFonts w:ascii="Arial" w:hAnsi="Arial" w:cs="Arial"/>
          <w:b/>
          <w:i/>
        </w:rPr>
      </w:pPr>
    </w:p>
    <w:p w14:paraId="17D6C0EF" w14:textId="460923E9" w:rsidR="00B04F00" w:rsidRPr="00832A4D" w:rsidRDefault="00B04F00" w:rsidP="00B04F00">
      <w:r w:rsidRPr="000C43FD">
        <w:t>Jiyoung Park, Kwangjun Lee</w:t>
      </w:r>
      <w:r w:rsidRPr="00A12200">
        <w:t xml:space="preserve">, </w:t>
      </w:r>
      <w:bookmarkStart w:id="1" w:name="_Hlk106791419"/>
      <w:proofErr w:type="spellStart"/>
      <w:r w:rsidRPr="00832A4D">
        <w:t>Hyeongseok</w:t>
      </w:r>
      <w:proofErr w:type="spellEnd"/>
      <w:r w:rsidRPr="00832A4D">
        <w:t xml:space="preserve"> Kim</w:t>
      </w:r>
      <w:bookmarkEnd w:id="1"/>
      <w:r w:rsidRPr="00832A4D">
        <w:t xml:space="preserve">, </w:t>
      </w:r>
      <w:proofErr w:type="spellStart"/>
      <w:r w:rsidRPr="00832A4D">
        <w:t>Heungsop</w:t>
      </w:r>
      <w:proofErr w:type="spellEnd"/>
      <w:r w:rsidRPr="00832A4D">
        <w:t xml:space="preserve"> Shin and Choogon Lee</w:t>
      </w:r>
    </w:p>
    <w:p w14:paraId="6CF6A5CF" w14:textId="77777777" w:rsidR="00B04F00" w:rsidRDefault="00B04F00">
      <w:pPr>
        <w:spacing w:after="160" w:line="259" w:lineRule="auto"/>
        <w:rPr>
          <w:b/>
          <w:noProof/>
        </w:rPr>
      </w:pPr>
    </w:p>
    <w:p w14:paraId="42060DF6" w14:textId="77777777" w:rsidR="00B04F00" w:rsidRDefault="00B04F00">
      <w:pPr>
        <w:spacing w:after="160" w:line="259" w:lineRule="auto"/>
        <w:rPr>
          <w:b/>
          <w:noProof/>
        </w:rPr>
      </w:pPr>
    </w:p>
    <w:p w14:paraId="1546F639" w14:textId="77777777" w:rsidR="00B04F00" w:rsidRDefault="00B04F00">
      <w:pPr>
        <w:spacing w:after="160" w:line="259" w:lineRule="auto"/>
        <w:rPr>
          <w:b/>
          <w:noProof/>
        </w:rPr>
      </w:pPr>
      <w:r>
        <w:rPr>
          <w:b/>
          <w:noProof/>
        </w:rPr>
        <w:t>List of Supplementary Information:</w:t>
      </w:r>
    </w:p>
    <w:p w14:paraId="3E3187C5" w14:textId="77777777" w:rsidR="00B04F00" w:rsidRDefault="00B04F00">
      <w:pPr>
        <w:spacing w:after="160" w:line="259" w:lineRule="auto"/>
        <w:rPr>
          <w:b/>
          <w:noProof/>
        </w:rPr>
      </w:pPr>
    </w:p>
    <w:p w14:paraId="295FEEDD" w14:textId="76A70F83" w:rsidR="00B04F00" w:rsidRDefault="00B04F00">
      <w:pPr>
        <w:spacing w:after="160" w:line="259" w:lineRule="auto"/>
        <w:rPr>
          <w:b/>
          <w:noProof/>
        </w:rPr>
      </w:pPr>
      <w:r>
        <w:rPr>
          <w:b/>
          <w:noProof/>
        </w:rPr>
        <w:t>Supplementary Figures 1-9</w:t>
      </w:r>
      <w:r>
        <w:rPr>
          <w:b/>
          <w:noProof/>
        </w:rPr>
        <w:br w:type="page"/>
      </w:r>
    </w:p>
    <w:p w14:paraId="37AEC427" w14:textId="30809E3A" w:rsidR="00844B59" w:rsidRDefault="00B04F00" w:rsidP="00844B59">
      <w:pPr>
        <w:spacing w:line="480" w:lineRule="auto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7F852478" wp14:editId="64E69174">
            <wp:extent cx="5466442" cy="7078497"/>
            <wp:effectExtent l="0" t="0" r="1270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698" cy="70956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A7E508" w14:textId="3382877C" w:rsidR="00844B59" w:rsidRDefault="00844B59" w:rsidP="00844B59">
      <w:r w:rsidRPr="00852A47">
        <w:rPr>
          <w:b/>
        </w:rPr>
        <w:t>Fig</w:t>
      </w:r>
      <w:r w:rsidR="00B604C3">
        <w:rPr>
          <w:b/>
        </w:rPr>
        <w:t>ure</w:t>
      </w:r>
      <w:r w:rsidRPr="00852A47">
        <w:rPr>
          <w:b/>
        </w:rPr>
        <w:t xml:space="preserve"> </w:t>
      </w:r>
      <w:r>
        <w:rPr>
          <w:b/>
        </w:rPr>
        <w:t>S1</w:t>
      </w:r>
      <w:r w:rsidRPr="00852A47">
        <w:rPr>
          <w:b/>
        </w:rPr>
        <w:t xml:space="preserve">. </w:t>
      </w:r>
      <w:r>
        <w:rPr>
          <w:b/>
        </w:rPr>
        <w:t xml:space="preserve">Sanger sequencing of the KI alleles confirms on-target KI.  </w:t>
      </w:r>
      <w:r>
        <w:t xml:space="preserve">One each of </w:t>
      </w:r>
      <w:r w:rsidRPr="003D4FA8">
        <w:rPr>
          <w:i/>
          <w:iCs/>
        </w:rPr>
        <w:t>Per1</w:t>
      </w:r>
      <w:r>
        <w:t xml:space="preserve"> </w:t>
      </w:r>
      <w:r w:rsidR="00DC48A9">
        <w:t>(H3)</w:t>
      </w:r>
      <w:r w:rsidR="00E15FD8">
        <w:t xml:space="preserve"> </w:t>
      </w:r>
      <w:r>
        <w:t xml:space="preserve">and </w:t>
      </w:r>
      <w:r w:rsidRPr="003D4FA8">
        <w:rPr>
          <w:i/>
          <w:iCs/>
        </w:rPr>
        <w:t>Per2</w:t>
      </w:r>
      <w:r>
        <w:t xml:space="preserve"> </w:t>
      </w:r>
      <w:r w:rsidR="00E15FD8">
        <w:t xml:space="preserve">(LH1) </w:t>
      </w:r>
      <w:r>
        <w:t xml:space="preserve">heterozygous KI clones used throughout the studies are shown. Stop codons are underlined with red. Note that a base pair (bp) was deleted in the non-KI allele in the </w:t>
      </w:r>
      <w:r w:rsidRPr="003D4FA8">
        <w:rPr>
          <w:i/>
          <w:iCs/>
        </w:rPr>
        <w:t>Per1</w:t>
      </w:r>
      <w:r>
        <w:t xml:space="preserve"> clone and 1 bp insertion in the </w:t>
      </w:r>
      <w:r w:rsidRPr="003D4FA8">
        <w:rPr>
          <w:i/>
          <w:iCs/>
        </w:rPr>
        <w:t>Per2</w:t>
      </w:r>
      <w:r>
        <w:t xml:space="preserve"> clone. There are no mutations in the KI alleles. </w:t>
      </w:r>
      <w:r w:rsidR="00B604C3">
        <w:t>Related to Fig</w:t>
      </w:r>
      <w:r w:rsidR="00B04F00">
        <w:t>.</w:t>
      </w:r>
      <w:r w:rsidR="00B604C3">
        <w:t xml:space="preserve"> 1.</w:t>
      </w:r>
    </w:p>
    <w:p w14:paraId="320A4E15" w14:textId="77777777" w:rsidR="00844B59" w:rsidRDefault="00844B59" w:rsidP="00844B59">
      <w:pPr>
        <w:spacing w:line="480" w:lineRule="auto"/>
        <w:rPr>
          <w:b/>
        </w:rPr>
      </w:pPr>
    </w:p>
    <w:p w14:paraId="50623DDD" w14:textId="6BCDDD79" w:rsidR="00844B59" w:rsidRDefault="00B04F00" w:rsidP="00844B59">
      <w:pPr>
        <w:spacing w:line="480" w:lineRule="auto"/>
        <w:rPr>
          <w:b/>
        </w:rPr>
      </w:pPr>
      <w:r>
        <w:rPr>
          <w:b/>
          <w:noProof/>
        </w:rPr>
        <w:drawing>
          <wp:inline distT="0" distB="0" distL="0" distR="0" wp14:anchorId="6C0ECDCA" wp14:editId="62C673CD">
            <wp:extent cx="4994910" cy="1969918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335" cy="19740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EC3700" w14:textId="77777777" w:rsidR="00844B59" w:rsidRDefault="00844B59" w:rsidP="00844B59">
      <w:pPr>
        <w:spacing w:line="480" w:lineRule="auto"/>
        <w:rPr>
          <w:b/>
        </w:rPr>
      </w:pPr>
    </w:p>
    <w:p w14:paraId="7806F488" w14:textId="78968E40" w:rsidR="00844B59" w:rsidRPr="00D673B7" w:rsidRDefault="00844B59" w:rsidP="00B604C3">
      <w:r w:rsidRPr="00852A47">
        <w:rPr>
          <w:b/>
        </w:rPr>
        <w:t>Fig</w:t>
      </w:r>
      <w:r w:rsidR="00B604C3">
        <w:rPr>
          <w:b/>
        </w:rPr>
        <w:t>ure</w:t>
      </w:r>
      <w:r w:rsidRPr="00852A47">
        <w:rPr>
          <w:b/>
        </w:rPr>
        <w:t xml:space="preserve"> </w:t>
      </w:r>
      <w:r>
        <w:rPr>
          <w:b/>
        </w:rPr>
        <w:t>S2</w:t>
      </w:r>
      <w:r w:rsidRPr="00852A47">
        <w:rPr>
          <w:b/>
        </w:rPr>
        <w:t xml:space="preserve">. </w:t>
      </w:r>
      <w:r>
        <w:rPr>
          <w:b/>
        </w:rPr>
        <w:t xml:space="preserve">Immunoblotting with anti-Luc antibody confirms specific KI. </w:t>
      </w:r>
      <w:r w:rsidRPr="00D673B7">
        <w:t>* nonspecific band</w:t>
      </w:r>
      <w:r w:rsidR="00B604C3">
        <w:t>. Related to Fig</w:t>
      </w:r>
      <w:r w:rsidR="00B04F00">
        <w:t>.</w:t>
      </w:r>
      <w:r w:rsidR="00B604C3">
        <w:t xml:space="preserve"> 1.</w:t>
      </w:r>
    </w:p>
    <w:p w14:paraId="3DDFF713" w14:textId="367E9F17" w:rsidR="00844B59" w:rsidRDefault="00B04F00" w:rsidP="00844B59">
      <w:pPr>
        <w:spacing w:line="480" w:lineRule="auto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67B62858" wp14:editId="531B8E16">
            <wp:extent cx="5697855" cy="5904112"/>
            <wp:effectExtent l="0" t="0" r="0" b="19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721" cy="590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165C82" w14:textId="6FC235E0" w:rsidR="00844B59" w:rsidRDefault="00844B59" w:rsidP="00844B59">
      <w:r w:rsidRPr="008C2952">
        <w:rPr>
          <w:b/>
        </w:rPr>
        <w:t>Fig</w:t>
      </w:r>
      <w:r w:rsidR="00B604C3">
        <w:rPr>
          <w:b/>
        </w:rPr>
        <w:t>ure</w:t>
      </w:r>
      <w:r w:rsidRPr="008C2952">
        <w:rPr>
          <w:b/>
        </w:rPr>
        <w:t xml:space="preserve"> S3. </w:t>
      </w:r>
      <w:r w:rsidRPr="003D4FA8">
        <w:rPr>
          <w:b/>
        </w:rPr>
        <w:t xml:space="preserve">mRuby3 and Luc signals disappear due to indels in </w:t>
      </w:r>
      <w:r>
        <w:rPr>
          <w:b/>
        </w:rPr>
        <w:t xml:space="preserve">early </w:t>
      </w:r>
      <w:r w:rsidRPr="003D4FA8">
        <w:rPr>
          <w:b/>
        </w:rPr>
        <w:t>exon</w:t>
      </w:r>
      <w:r>
        <w:rPr>
          <w:b/>
        </w:rPr>
        <w:t xml:space="preserve">s </w:t>
      </w:r>
      <w:r w:rsidRPr="003D4FA8">
        <w:rPr>
          <w:b/>
        </w:rPr>
        <w:t xml:space="preserve">in </w:t>
      </w:r>
      <w:r w:rsidRPr="003D4FA8">
        <w:rPr>
          <w:b/>
          <w:i/>
        </w:rPr>
        <w:t>Per-Luc</w:t>
      </w:r>
      <w:r w:rsidRPr="003D4FA8">
        <w:rPr>
          <w:b/>
        </w:rPr>
        <w:t xml:space="preserve"> reporter clone</w:t>
      </w:r>
      <w:r>
        <w:rPr>
          <w:b/>
        </w:rPr>
        <w:t>s</w:t>
      </w:r>
      <w:r w:rsidRPr="003D4FA8">
        <w:rPr>
          <w:b/>
        </w:rPr>
        <w:t xml:space="preserve">. </w:t>
      </w:r>
      <w:r w:rsidRPr="003D4FA8">
        <w:t xml:space="preserve">Representative </w:t>
      </w:r>
      <w:r w:rsidRPr="003D4FA8">
        <w:rPr>
          <w:i/>
          <w:iCs/>
        </w:rPr>
        <w:t>Per1</w:t>
      </w:r>
      <w:r w:rsidRPr="003D4FA8">
        <w:t xml:space="preserve"> and </w:t>
      </w:r>
      <w:r w:rsidRPr="003D4FA8">
        <w:rPr>
          <w:i/>
          <w:iCs/>
        </w:rPr>
        <w:t>Per2</w:t>
      </w:r>
      <w:r w:rsidRPr="003D4FA8">
        <w:t xml:space="preserve"> clones are shown. </w:t>
      </w:r>
      <w:r>
        <w:t>Indels were induced using a</w:t>
      </w:r>
      <w:r w:rsidRPr="003D4FA8">
        <w:t xml:space="preserve">ll-in-one </w:t>
      </w:r>
      <w:r>
        <w:t>adenoviruses</w:t>
      </w:r>
      <w:r w:rsidRPr="003D4FA8">
        <w:t xml:space="preserve"> targeting exon 17 in </w:t>
      </w:r>
      <w:r w:rsidRPr="003D4FA8">
        <w:rPr>
          <w:i/>
          <w:iCs/>
        </w:rPr>
        <w:t>Per2</w:t>
      </w:r>
      <w:r w:rsidRPr="003D4FA8">
        <w:t xml:space="preserve"> </w:t>
      </w:r>
      <w:r>
        <w:t>and exon 6 in</w:t>
      </w:r>
      <w:r w:rsidRPr="003D4FA8">
        <w:t xml:space="preserve"> </w:t>
      </w:r>
      <w:r w:rsidRPr="003D4FA8">
        <w:rPr>
          <w:i/>
          <w:iCs/>
        </w:rPr>
        <w:t>Per</w:t>
      </w:r>
      <w:r>
        <w:rPr>
          <w:i/>
          <w:iCs/>
        </w:rPr>
        <w:t xml:space="preserve">1. </w:t>
      </w:r>
      <w:r w:rsidRPr="003D4FA8">
        <w:t xml:space="preserve"> </w:t>
      </w:r>
      <w:r>
        <w:t xml:space="preserve">To ensure 100% infection in U2OS cells with the all-in-one adenoviruses, the cells were infected at MOI of 50 twice, two days apart. </w:t>
      </w:r>
    </w:p>
    <w:p w14:paraId="78E7C170" w14:textId="009F03EC" w:rsidR="00844B59" w:rsidRPr="003D4FA8" w:rsidRDefault="00844B59" w:rsidP="00844B59">
      <w:r w:rsidRPr="003D4FA8">
        <w:t>Note that a group of mRuby3</w:t>
      </w:r>
      <w:r>
        <w:t>-negative</w:t>
      </w:r>
      <w:r w:rsidRPr="003D4FA8">
        <w:t xml:space="preserve"> cells appeared after the treatment in the bottom FACS graph. These negative cells also lost bioluminescence signal.</w:t>
      </w:r>
      <w:r w:rsidR="00B604C3">
        <w:t xml:space="preserve"> Related to Fig</w:t>
      </w:r>
      <w:r w:rsidR="005529CC">
        <w:t>.</w:t>
      </w:r>
      <w:r w:rsidR="00B604C3">
        <w:t xml:space="preserve"> 1.</w:t>
      </w:r>
      <w:r w:rsidRPr="003D4FA8">
        <w:t xml:space="preserve">  </w:t>
      </w:r>
    </w:p>
    <w:p w14:paraId="6DF4DA33" w14:textId="5A1EEC0B" w:rsidR="00844B59" w:rsidRDefault="005529CC" w:rsidP="00844B59">
      <w:pPr>
        <w:spacing w:line="480" w:lineRule="auto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5AA4830F" wp14:editId="6C2B29BB">
            <wp:extent cx="4752465" cy="699897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264" cy="7007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63C1BF" w14:textId="1A19AF8A" w:rsidR="00844B59" w:rsidRDefault="00844B59" w:rsidP="00844B59">
      <w:r w:rsidRPr="00852A47">
        <w:rPr>
          <w:b/>
        </w:rPr>
        <w:t>Fig</w:t>
      </w:r>
      <w:r w:rsidR="00B604C3">
        <w:rPr>
          <w:b/>
        </w:rPr>
        <w:t>ure</w:t>
      </w:r>
      <w:r w:rsidRPr="00852A47">
        <w:rPr>
          <w:b/>
        </w:rPr>
        <w:t xml:space="preserve"> </w:t>
      </w:r>
      <w:r>
        <w:rPr>
          <w:b/>
        </w:rPr>
        <w:t>S4</w:t>
      </w:r>
      <w:r w:rsidRPr="00852A47">
        <w:rPr>
          <w:b/>
        </w:rPr>
        <w:t xml:space="preserve">. </w:t>
      </w:r>
      <w:r>
        <w:rPr>
          <w:b/>
        </w:rPr>
        <w:t xml:space="preserve">Bioluminescence circadian reporters are highly quantitative and robust. </w:t>
      </w:r>
      <w:r w:rsidR="005529CC">
        <w:rPr>
          <w:b/>
        </w:rPr>
        <w:t>a.</w:t>
      </w:r>
      <w:r>
        <w:rPr>
          <w:b/>
        </w:rPr>
        <w:t xml:space="preserve"> </w:t>
      </w:r>
      <w:r w:rsidRPr="003D4FA8">
        <w:t xml:space="preserve">A heterozygous </w:t>
      </w:r>
      <w:r w:rsidRPr="008C2952">
        <w:rPr>
          <w:i/>
          <w:iCs/>
        </w:rPr>
        <w:t>Per1</w:t>
      </w:r>
      <w:r w:rsidRPr="008C2952">
        <w:rPr>
          <w:i/>
          <w:iCs/>
          <w:vertAlign w:val="superscript"/>
        </w:rPr>
        <w:t>Luc</w:t>
      </w:r>
      <w:r w:rsidRPr="003D4FA8">
        <w:t xml:space="preserve"> was compared with a homozygous </w:t>
      </w:r>
      <w:r w:rsidRPr="008C2952">
        <w:rPr>
          <w:i/>
          <w:iCs/>
        </w:rPr>
        <w:t>Per1</w:t>
      </w:r>
      <w:r w:rsidRPr="008C2952">
        <w:rPr>
          <w:i/>
          <w:iCs/>
          <w:vertAlign w:val="superscript"/>
        </w:rPr>
        <w:t>Luc</w:t>
      </w:r>
      <w:r w:rsidRPr="003D4FA8">
        <w:t xml:space="preserve"> clone. </w:t>
      </w:r>
      <w:r w:rsidR="005529CC" w:rsidRPr="005529CC">
        <w:rPr>
          <w:b/>
        </w:rPr>
        <w:t>b.</w:t>
      </w:r>
      <w:r>
        <w:t xml:space="preserve"> Bioluminescence rhythms were robust over 10 days. Representative</w:t>
      </w:r>
      <w:r w:rsidRPr="007B3885">
        <w:rPr>
          <w:i/>
          <w:iCs/>
        </w:rPr>
        <w:t xml:space="preserve"> </w:t>
      </w:r>
      <w:r w:rsidRPr="008C2952">
        <w:rPr>
          <w:i/>
          <w:iCs/>
        </w:rPr>
        <w:t>Per1</w:t>
      </w:r>
      <w:r w:rsidRPr="008C2952">
        <w:rPr>
          <w:i/>
          <w:iCs/>
          <w:vertAlign w:val="superscript"/>
        </w:rPr>
        <w:t>Luc</w:t>
      </w:r>
      <w:r>
        <w:t xml:space="preserve"> and </w:t>
      </w:r>
      <w:r w:rsidRPr="008C2952">
        <w:rPr>
          <w:i/>
          <w:iCs/>
        </w:rPr>
        <w:t>Per</w:t>
      </w:r>
      <w:r>
        <w:rPr>
          <w:i/>
          <w:iCs/>
        </w:rPr>
        <w:t>2</w:t>
      </w:r>
      <w:r w:rsidRPr="008C2952">
        <w:rPr>
          <w:i/>
          <w:iCs/>
          <w:vertAlign w:val="superscript"/>
        </w:rPr>
        <w:t>Luc</w:t>
      </w:r>
      <w:r>
        <w:rPr>
          <w:b/>
        </w:rPr>
        <w:t xml:space="preserve"> </w:t>
      </w:r>
      <w:r w:rsidRPr="00D673B7">
        <w:t>reporters are shown</w:t>
      </w:r>
      <w:r>
        <w:t xml:space="preserve">. </w:t>
      </w:r>
      <w:r w:rsidR="005529CC" w:rsidRPr="005529CC">
        <w:rPr>
          <w:b/>
        </w:rPr>
        <w:t>c.</w:t>
      </w:r>
      <w:r>
        <w:t xml:space="preserve"> Circadian period was not significantly different between </w:t>
      </w:r>
      <w:r w:rsidRPr="008C2952">
        <w:rPr>
          <w:i/>
          <w:iCs/>
        </w:rPr>
        <w:t>Per1</w:t>
      </w:r>
      <w:r w:rsidRPr="008C2952">
        <w:rPr>
          <w:i/>
          <w:iCs/>
          <w:vertAlign w:val="superscript"/>
        </w:rPr>
        <w:t>Luc</w:t>
      </w:r>
      <w:r>
        <w:t xml:space="preserve"> and </w:t>
      </w:r>
      <w:r w:rsidRPr="008C2952">
        <w:rPr>
          <w:i/>
          <w:iCs/>
        </w:rPr>
        <w:t>Per</w:t>
      </w:r>
      <w:r>
        <w:rPr>
          <w:i/>
          <w:iCs/>
        </w:rPr>
        <w:t>2</w:t>
      </w:r>
      <w:r w:rsidRPr="008C2952">
        <w:rPr>
          <w:i/>
          <w:iCs/>
          <w:vertAlign w:val="superscript"/>
        </w:rPr>
        <w:t>Luc</w:t>
      </w:r>
      <w:r>
        <w:rPr>
          <w:b/>
        </w:rPr>
        <w:t xml:space="preserve"> </w:t>
      </w:r>
      <w:r w:rsidRPr="00852A47">
        <w:t>reporter</w:t>
      </w:r>
      <w:r>
        <w:t xml:space="preserve"> clones. </w:t>
      </w:r>
      <w:r w:rsidR="009E6CFD">
        <w:t>Representative of three traces per clone is shown.</w:t>
      </w:r>
    </w:p>
    <w:p w14:paraId="3F0CB9E4" w14:textId="6A193A4A" w:rsidR="00844B59" w:rsidRPr="00D673B7" w:rsidRDefault="00B604C3" w:rsidP="00844B59">
      <w:pPr>
        <w:spacing w:line="480" w:lineRule="auto"/>
      </w:pPr>
      <w:r>
        <w:t>Related to Fig</w:t>
      </w:r>
      <w:r w:rsidR="005529CC">
        <w:t>.</w:t>
      </w:r>
      <w:r>
        <w:t xml:space="preserve"> </w:t>
      </w:r>
      <w:r w:rsidR="009E6CFD">
        <w:t>2</w:t>
      </w:r>
      <w:r>
        <w:t>.</w:t>
      </w:r>
    </w:p>
    <w:p w14:paraId="6644432E" w14:textId="1F506DE9" w:rsidR="00844B59" w:rsidRDefault="005529CC" w:rsidP="00844B59">
      <w:pPr>
        <w:spacing w:line="480" w:lineRule="auto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2AA6AAF3" wp14:editId="0E9FF7E4">
            <wp:extent cx="5267325" cy="5700713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755" cy="57065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D2365E" w14:textId="3AF5B9F9" w:rsidR="00844B59" w:rsidRPr="004C0095" w:rsidRDefault="00844B59" w:rsidP="00844B59">
      <w:r w:rsidRPr="00852A47">
        <w:rPr>
          <w:b/>
        </w:rPr>
        <w:t>Fig</w:t>
      </w:r>
      <w:r w:rsidR="00B604C3">
        <w:rPr>
          <w:b/>
        </w:rPr>
        <w:t>ure</w:t>
      </w:r>
      <w:r w:rsidRPr="00852A47">
        <w:rPr>
          <w:b/>
        </w:rPr>
        <w:t xml:space="preserve"> </w:t>
      </w:r>
      <w:r>
        <w:rPr>
          <w:b/>
        </w:rPr>
        <w:t>S5</w:t>
      </w:r>
      <w:r w:rsidRPr="00852A47">
        <w:rPr>
          <w:b/>
        </w:rPr>
        <w:t xml:space="preserve">. </w:t>
      </w:r>
      <w:r>
        <w:rPr>
          <w:b/>
        </w:rPr>
        <w:t xml:space="preserve">PER1 and PER2 are different in key parameters. </w:t>
      </w:r>
      <w:r w:rsidR="005529CC">
        <w:rPr>
          <w:b/>
        </w:rPr>
        <w:t>a.</w:t>
      </w:r>
      <w:r w:rsidRPr="004C0095">
        <w:t xml:space="preserve"> </w:t>
      </w:r>
      <w:r>
        <w:t>D</w:t>
      </w:r>
      <w:r w:rsidRPr="004C0095">
        <w:t>e novo PER1 accumulated faster than PER2. Existing PER was depleted by CHX treatment for 8 hrs.</w:t>
      </w:r>
      <w:r>
        <w:t xml:space="preserve"> </w:t>
      </w:r>
      <w:r w:rsidR="005529CC">
        <w:t>M</w:t>
      </w:r>
      <w:r>
        <w:t xml:space="preserve">ean+/-SEM </w:t>
      </w:r>
      <w:r w:rsidR="005529CC">
        <w:t>(n</w:t>
      </w:r>
      <w:r w:rsidR="005529CC">
        <w:t>=3</w:t>
      </w:r>
      <w:r w:rsidR="005529CC">
        <w:t xml:space="preserve">, two-tailed </w:t>
      </w:r>
      <w:r w:rsidR="005529CC" w:rsidRPr="00F56EA2">
        <w:rPr>
          <w:i/>
        </w:rPr>
        <w:t>t</w:t>
      </w:r>
      <w:r w:rsidR="005529CC">
        <w:t>-test)</w:t>
      </w:r>
      <w:r w:rsidR="005529CC">
        <w:t xml:space="preserve">. </w:t>
      </w:r>
      <w:r>
        <w:t xml:space="preserve">p&lt;0.001.  </w:t>
      </w:r>
      <w:r w:rsidR="005529CC" w:rsidRPr="005529CC">
        <w:rPr>
          <w:b/>
        </w:rPr>
        <w:t>b.</w:t>
      </w:r>
      <w:r>
        <w:t xml:space="preserve"> </w:t>
      </w:r>
      <w:r w:rsidRPr="004C0095">
        <w:t xml:space="preserve">Antiphase oscillation of PER2-Luc in </w:t>
      </w:r>
      <w:r w:rsidRPr="004C0095">
        <w:rPr>
          <w:i/>
          <w:iCs/>
        </w:rPr>
        <w:t>Per1</w:t>
      </w:r>
      <w:r w:rsidRPr="004C0095">
        <w:t xml:space="preserve"> KO cells was reproduced by </w:t>
      </w:r>
      <w:proofErr w:type="spellStart"/>
      <w:r w:rsidRPr="004C0095">
        <w:t>forskolin</w:t>
      </w:r>
      <w:proofErr w:type="spellEnd"/>
      <w:r w:rsidRPr="004C0095">
        <w:t xml:space="preserve"> treatment.</w:t>
      </w:r>
      <w:r w:rsidR="00B604C3">
        <w:t xml:space="preserve"> Related to Fig</w:t>
      </w:r>
      <w:r w:rsidR="005529CC">
        <w:t>.</w:t>
      </w:r>
      <w:r w:rsidR="00B604C3">
        <w:t xml:space="preserve"> </w:t>
      </w:r>
      <w:r w:rsidR="00C23695">
        <w:t>3 and 4</w:t>
      </w:r>
      <w:r w:rsidR="00B604C3">
        <w:t>.</w:t>
      </w:r>
    </w:p>
    <w:p w14:paraId="127C9B41" w14:textId="6130FF87" w:rsidR="00844B59" w:rsidRDefault="005529CC" w:rsidP="00844B59">
      <w:pPr>
        <w:spacing w:line="480" w:lineRule="auto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514CFF6D" wp14:editId="4485FD52">
            <wp:extent cx="5123804" cy="6510655"/>
            <wp:effectExtent l="0" t="0" r="1270" b="44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545" cy="65344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5CBDB1" w14:textId="223C594E" w:rsidR="00844B59" w:rsidRDefault="00844B59" w:rsidP="009136A5">
      <w:r w:rsidRPr="00852A47">
        <w:rPr>
          <w:b/>
        </w:rPr>
        <w:t>Fig</w:t>
      </w:r>
      <w:r w:rsidR="00B604C3">
        <w:rPr>
          <w:b/>
        </w:rPr>
        <w:t>ure</w:t>
      </w:r>
      <w:r w:rsidRPr="00852A47">
        <w:rPr>
          <w:b/>
        </w:rPr>
        <w:t xml:space="preserve"> </w:t>
      </w:r>
      <w:r>
        <w:rPr>
          <w:b/>
        </w:rPr>
        <w:t>S6</w:t>
      </w:r>
      <w:r w:rsidRPr="00852A47">
        <w:rPr>
          <w:b/>
        </w:rPr>
        <w:t xml:space="preserve">. </w:t>
      </w:r>
      <w:r>
        <w:rPr>
          <w:b/>
        </w:rPr>
        <w:t xml:space="preserve">CRY protects hyperphosphorylated PER from rapid degradation. </w:t>
      </w:r>
      <w:r w:rsidR="005529CC">
        <w:rPr>
          <w:b/>
        </w:rPr>
        <w:t>a.</w:t>
      </w:r>
      <w:r>
        <w:rPr>
          <w:b/>
        </w:rPr>
        <w:t xml:space="preserve"> </w:t>
      </w:r>
      <w:r w:rsidRPr="00D673B7">
        <w:t>PER proteins</w:t>
      </w:r>
      <w:r>
        <w:rPr>
          <w:b/>
        </w:rPr>
        <w:t xml:space="preserve"> </w:t>
      </w:r>
      <w:r w:rsidRPr="00D673B7">
        <w:t xml:space="preserve">were degraded before reaching </w:t>
      </w:r>
      <w:r>
        <w:t xml:space="preserve">a </w:t>
      </w:r>
      <w:r w:rsidRPr="00D673B7">
        <w:t>hyperphosphorylated state</w:t>
      </w:r>
      <w:r>
        <w:t xml:space="preserve"> in </w:t>
      </w:r>
      <w:r w:rsidRPr="005478F3">
        <w:rPr>
          <w:i/>
          <w:iCs/>
        </w:rPr>
        <w:t>Cry1/2</w:t>
      </w:r>
      <w:r>
        <w:t xml:space="preserve"> KO cells</w:t>
      </w:r>
      <w:r w:rsidRPr="00D673B7">
        <w:t xml:space="preserve">. </w:t>
      </w:r>
      <w:r w:rsidR="005529CC" w:rsidRPr="005529CC">
        <w:rPr>
          <w:b/>
        </w:rPr>
        <w:t>b.</w:t>
      </w:r>
      <w:r>
        <w:t xml:space="preserve"> PER can be hyperphosphorylated in </w:t>
      </w:r>
      <w:r w:rsidRPr="005478F3">
        <w:rPr>
          <w:i/>
          <w:iCs/>
        </w:rPr>
        <w:t>Cry1/2</w:t>
      </w:r>
      <w:r>
        <w:t xml:space="preserve"> KO cells as much as PER in </w:t>
      </w:r>
      <w:proofErr w:type="spellStart"/>
      <w:r>
        <w:t>wt</w:t>
      </w:r>
      <w:proofErr w:type="spellEnd"/>
      <w:r>
        <w:t xml:space="preserve"> cells. This suggests that hyperphosphorylated PER species are unstable without CRY. </w:t>
      </w:r>
      <w:r w:rsidRPr="00D673B7">
        <w:t>Three</w:t>
      </w:r>
      <w:r w:rsidRPr="003D4FA8">
        <w:t xml:space="preserve"> stages of PER phosphorylation are illustrated in the left panel. </w:t>
      </w:r>
      <w:r>
        <w:t xml:space="preserve">Extra hyperphosphorylated species are not detected in a steady state because they are very unstable but can be detected in </w:t>
      </w:r>
      <w:r w:rsidRPr="003D4FA8">
        <w:rPr>
          <w:i/>
          <w:iCs/>
        </w:rPr>
        <w:t>β-Trcp1/2</w:t>
      </w:r>
      <w:r>
        <w:t xml:space="preserve"> KO cells. </w:t>
      </w:r>
      <w:r w:rsidR="005529CC" w:rsidRPr="005529CC">
        <w:rPr>
          <w:b/>
        </w:rPr>
        <w:t>c.</w:t>
      </w:r>
      <w:r>
        <w:t xml:space="preserve"> Hyperphosphorylated PER species accumulated in </w:t>
      </w:r>
      <w:r w:rsidRPr="005478F3">
        <w:rPr>
          <w:i/>
          <w:iCs/>
        </w:rPr>
        <w:t>Cry1/2</w:t>
      </w:r>
      <w:r>
        <w:t xml:space="preserve"> KO cells when transgenic CRY1 was expressed.</w:t>
      </w:r>
      <w:r w:rsidR="00B604C3">
        <w:t xml:space="preserve"> Related to Fig</w:t>
      </w:r>
      <w:r w:rsidR="005529CC">
        <w:t>.</w:t>
      </w:r>
      <w:r w:rsidR="00B604C3">
        <w:t xml:space="preserve"> </w:t>
      </w:r>
      <w:r w:rsidR="003D629F">
        <w:t>5</w:t>
      </w:r>
      <w:r w:rsidR="00B604C3">
        <w:t>.</w:t>
      </w:r>
    </w:p>
    <w:p w14:paraId="6DE6082A" w14:textId="77777777" w:rsidR="00844B59" w:rsidRDefault="00844B59" w:rsidP="00844B59">
      <w:pPr>
        <w:spacing w:line="480" w:lineRule="auto"/>
      </w:pPr>
      <w:r>
        <w:rPr>
          <w:noProof/>
        </w:rPr>
        <w:lastRenderedPageBreak/>
        <w:drawing>
          <wp:inline distT="0" distB="0" distL="0" distR="0" wp14:anchorId="4DB2711B" wp14:editId="51AA0946">
            <wp:extent cx="5284606" cy="6816090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740" cy="68188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D41D6F" w14:textId="49F8868D" w:rsidR="00844B59" w:rsidRPr="003D4FA8" w:rsidRDefault="00844B59" w:rsidP="009136A5">
      <w:r w:rsidRPr="00852A47">
        <w:rPr>
          <w:b/>
        </w:rPr>
        <w:t>Fig</w:t>
      </w:r>
      <w:r w:rsidR="00B604C3">
        <w:rPr>
          <w:b/>
        </w:rPr>
        <w:t>ure</w:t>
      </w:r>
      <w:r w:rsidRPr="00852A47">
        <w:rPr>
          <w:b/>
        </w:rPr>
        <w:t xml:space="preserve"> </w:t>
      </w:r>
      <w:r>
        <w:rPr>
          <w:b/>
        </w:rPr>
        <w:t>S7</w:t>
      </w:r>
      <w:r w:rsidRPr="00852A47">
        <w:rPr>
          <w:b/>
        </w:rPr>
        <w:t xml:space="preserve">. </w:t>
      </w:r>
      <w:r>
        <w:rPr>
          <w:b/>
        </w:rPr>
        <w:t xml:space="preserve">Catalytic domains of CK1 isoforms are well conserved. </w:t>
      </w:r>
      <w:r w:rsidRPr="003D4FA8">
        <w:t xml:space="preserve">Three </w:t>
      </w:r>
      <w:r>
        <w:t xml:space="preserve">most conserved </w:t>
      </w:r>
      <w:r w:rsidRPr="003D4FA8">
        <w:t>human</w:t>
      </w:r>
      <w:r>
        <w:t xml:space="preserve"> CK1</w:t>
      </w:r>
      <w:r w:rsidRPr="003D4FA8">
        <w:t xml:space="preserve"> isoforms are aligned. CRISPR target sites are represented by red arrows</w:t>
      </w:r>
      <w:r>
        <w:t xml:space="preserve">; E2 and E8 for CK1ε, E4 for CK1δ. C-termini are highlighted in yellow. </w:t>
      </w:r>
      <w:r w:rsidRPr="003D4FA8">
        <w:t xml:space="preserve">The red boxed sequence was mutated from </w:t>
      </w:r>
      <w:proofErr w:type="spellStart"/>
      <w:r w:rsidRPr="003D4FA8">
        <w:t>Arg</w:t>
      </w:r>
      <w:proofErr w:type="spellEnd"/>
      <w:r w:rsidRPr="003D4FA8">
        <w:t xml:space="preserve"> Glu </w:t>
      </w:r>
      <w:proofErr w:type="spellStart"/>
      <w:r>
        <w:t>Glu</w:t>
      </w:r>
      <w:proofErr w:type="spellEnd"/>
      <w:r w:rsidRPr="003D4FA8">
        <w:t xml:space="preserve"> to del </w:t>
      </w:r>
      <w:proofErr w:type="spellStart"/>
      <w:r w:rsidRPr="003D4FA8">
        <w:t>del</w:t>
      </w:r>
      <w:proofErr w:type="spellEnd"/>
      <w:r w:rsidRPr="003D4FA8">
        <w:t xml:space="preserve"> </w:t>
      </w:r>
      <w:r>
        <w:t xml:space="preserve">Pro in the </w:t>
      </w:r>
      <w:r w:rsidRPr="00D673B7">
        <w:rPr>
          <w:i/>
        </w:rPr>
        <w:t>Per1</w:t>
      </w:r>
      <w:r w:rsidRPr="00D673B7">
        <w:rPr>
          <w:i/>
          <w:vertAlign w:val="superscript"/>
        </w:rPr>
        <w:t>Luc</w:t>
      </w:r>
      <w:r>
        <w:t>-CKKO-2 clone</w:t>
      </w:r>
      <w:r w:rsidRPr="003D4FA8">
        <w:t xml:space="preserve">. </w:t>
      </w:r>
      <w:r w:rsidR="00B604C3">
        <w:t>Related to Fig</w:t>
      </w:r>
      <w:r w:rsidR="005529CC">
        <w:t>.</w:t>
      </w:r>
      <w:r w:rsidR="00B604C3">
        <w:t xml:space="preserve"> </w:t>
      </w:r>
      <w:r w:rsidR="00891BB5">
        <w:t>6</w:t>
      </w:r>
      <w:r w:rsidR="00B604C3">
        <w:t>.</w:t>
      </w:r>
    </w:p>
    <w:p w14:paraId="6079EDA2" w14:textId="77777777" w:rsidR="00844B59" w:rsidRDefault="00844B59" w:rsidP="00844B59">
      <w:pPr>
        <w:spacing w:line="480" w:lineRule="auto"/>
        <w:rPr>
          <w:b/>
        </w:rPr>
      </w:pPr>
    </w:p>
    <w:p w14:paraId="409E568A" w14:textId="77777777" w:rsidR="009136A5" w:rsidRDefault="009136A5" w:rsidP="009136A5">
      <w:pPr>
        <w:spacing w:line="480" w:lineRule="auto"/>
        <w:rPr>
          <w:b/>
        </w:rPr>
      </w:pPr>
    </w:p>
    <w:p w14:paraId="156ABB2F" w14:textId="3A66BA5E" w:rsidR="009136A5" w:rsidRDefault="005529CC" w:rsidP="009136A5">
      <w:pPr>
        <w:spacing w:line="480" w:lineRule="auto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4D867FA5" wp14:editId="4574E409">
            <wp:extent cx="5195077" cy="6416040"/>
            <wp:effectExtent l="0" t="0" r="5715" b="381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303" cy="6424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9BC5C1" w14:textId="013F5DFA" w:rsidR="00844B59" w:rsidRPr="00D673B7" w:rsidRDefault="00844B59" w:rsidP="009136A5">
      <w:r w:rsidRPr="00852A47">
        <w:rPr>
          <w:b/>
        </w:rPr>
        <w:t>Fig</w:t>
      </w:r>
      <w:r w:rsidR="00B604C3">
        <w:rPr>
          <w:b/>
        </w:rPr>
        <w:t>ure</w:t>
      </w:r>
      <w:r w:rsidRPr="00852A47">
        <w:rPr>
          <w:b/>
        </w:rPr>
        <w:t xml:space="preserve"> </w:t>
      </w:r>
      <w:r>
        <w:rPr>
          <w:b/>
        </w:rPr>
        <w:t>S8</w:t>
      </w:r>
      <w:r w:rsidRPr="00852A47">
        <w:rPr>
          <w:b/>
        </w:rPr>
        <w:t xml:space="preserve">. </w:t>
      </w:r>
      <w:r>
        <w:rPr>
          <w:b/>
        </w:rPr>
        <w:t xml:space="preserve">Robust interaction between PER-CKBD and CK1δ/ε is critical for the </w:t>
      </w:r>
      <w:proofErr w:type="spellStart"/>
      <w:r>
        <w:rPr>
          <w:b/>
        </w:rPr>
        <w:t>phosphotimer</w:t>
      </w:r>
      <w:proofErr w:type="spellEnd"/>
      <w:r>
        <w:rPr>
          <w:b/>
        </w:rPr>
        <w:t xml:space="preserve">. </w:t>
      </w:r>
      <w:r w:rsidR="005529CC">
        <w:rPr>
          <w:b/>
        </w:rPr>
        <w:t>a.</w:t>
      </w:r>
      <w:r w:rsidRPr="00D673B7">
        <w:t xml:space="preserve"> </w:t>
      </w:r>
      <w:r w:rsidRPr="00D673B7">
        <w:rPr>
          <w:i/>
        </w:rPr>
        <w:t>Per1</w:t>
      </w:r>
      <w:r w:rsidRPr="00D673B7">
        <w:rPr>
          <w:i/>
          <w:vertAlign w:val="superscript"/>
        </w:rPr>
        <w:t>Luc</w:t>
      </w:r>
      <w:r w:rsidRPr="00D673B7">
        <w:t xml:space="preserve">-CKKO-2 clone showed </w:t>
      </w:r>
      <w:r>
        <w:t xml:space="preserve">a </w:t>
      </w:r>
      <w:r w:rsidRPr="00D673B7">
        <w:t xml:space="preserve">~28.5 </w:t>
      </w:r>
      <w:proofErr w:type="spellStart"/>
      <w:r w:rsidRPr="00D673B7">
        <w:t>hr</w:t>
      </w:r>
      <w:proofErr w:type="spellEnd"/>
      <w:r w:rsidRPr="00D673B7">
        <w:t xml:space="preserve"> period which is comparable to </w:t>
      </w:r>
      <w:r>
        <w:t xml:space="preserve">other </w:t>
      </w:r>
      <w:r w:rsidRPr="005478F3">
        <w:rPr>
          <w:i/>
          <w:iCs/>
        </w:rPr>
        <w:t>CK1</w:t>
      </w:r>
      <w:r w:rsidRPr="00D673B7">
        <w:t xml:space="preserve"> double mutant clones and much longer than </w:t>
      </w:r>
      <w:r w:rsidRPr="005478F3">
        <w:rPr>
          <w:i/>
          <w:iCs/>
        </w:rPr>
        <w:t>CK1δ</w:t>
      </w:r>
      <w:r w:rsidRPr="00D673B7">
        <w:t xml:space="preserve"> or </w:t>
      </w:r>
      <w:r w:rsidRPr="005478F3">
        <w:rPr>
          <w:i/>
          <w:iCs/>
        </w:rPr>
        <w:t>ε</w:t>
      </w:r>
      <w:r w:rsidRPr="00D673B7">
        <w:t xml:space="preserve"> single mutant clones. Another bioluminescence </w:t>
      </w:r>
      <w:r>
        <w:t>rhythm plot is</w:t>
      </w:r>
      <w:r w:rsidRPr="00D673B7">
        <w:t xml:space="preserve"> shown. Three replicates of </w:t>
      </w:r>
      <w:proofErr w:type="spellStart"/>
      <w:r w:rsidRPr="00D673B7">
        <w:t>wt</w:t>
      </w:r>
      <w:proofErr w:type="spellEnd"/>
      <w:r w:rsidRPr="00D673B7">
        <w:t xml:space="preserve"> and the mutant are shown. </w:t>
      </w:r>
      <w:proofErr w:type="spellStart"/>
      <w:proofErr w:type="gramStart"/>
      <w:r w:rsidR="00855A26" w:rsidRPr="00855A26">
        <w:rPr>
          <w:b/>
        </w:rPr>
        <w:t>b,c</w:t>
      </w:r>
      <w:proofErr w:type="spellEnd"/>
      <w:r w:rsidR="00855A26" w:rsidRPr="00855A26">
        <w:rPr>
          <w:b/>
        </w:rPr>
        <w:t>.</w:t>
      </w:r>
      <w:proofErr w:type="gramEnd"/>
      <w:r w:rsidR="00855A26">
        <w:t xml:space="preserve"> </w:t>
      </w:r>
      <w:r w:rsidRPr="00D673B7">
        <w:t>A PER2</w:t>
      </w:r>
      <w:r w:rsidRPr="00D673B7">
        <w:rPr>
          <w:rFonts w:ascii="Symbol" w:hAnsi="Symbol"/>
          <w:vertAlign w:val="superscript"/>
        </w:rPr>
        <w:t></w:t>
      </w:r>
      <w:r w:rsidRPr="00D673B7">
        <w:rPr>
          <w:vertAlign w:val="superscript"/>
        </w:rPr>
        <w:t>CKBD</w:t>
      </w:r>
      <w:r w:rsidRPr="00D673B7">
        <w:t xml:space="preserve"> mutant is defective in binding to PER. One allele had a frame</w:t>
      </w:r>
      <w:r>
        <w:t>-</w:t>
      </w:r>
      <w:r w:rsidRPr="00D673B7">
        <w:t xml:space="preserve">shifting mutation while the other allele had a large deletion. Sequencing of cDNA revealed that the </w:t>
      </w:r>
      <w:r>
        <w:t>deletion-</w:t>
      </w:r>
      <w:r w:rsidRPr="00D673B7">
        <w:t xml:space="preserve">mutant allele had an in-frame deletion missing 2/3 of CKBD. </w:t>
      </w:r>
      <w:proofErr w:type="spellStart"/>
      <w:r w:rsidRPr="00D673B7">
        <w:t>CoIP</w:t>
      </w:r>
      <w:proofErr w:type="spellEnd"/>
      <w:r w:rsidRPr="00D673B7">
        <w:t xml:space="preserve"> is representative of two experiments. </w:t>
      </w:r>
      <w:r w:rsidR="00855A26" w:rsidRPr="00855A26">
        <w:rPr>
          <w:b/>
        </w:rPr>
        <w:t>d.</w:t>
      </w:r>
      <w:r w:rsidRPr="00D673B7">
        <w:t xml:space="preserve"> Hyperphosphorylation of the mutant PER2 was more sensitive to the CK1</w:t>
      </w:r>
      <w:r w:rsidRPr="00D673B7">
        <w:rPr>
          <w:rFonts w:ascii="Symbol" w:hAnsi="Symbol"/>
        </w:rPr>
        <w:t></w:t>
      </w:r>
      <w:r w:rsidRPr="00D673B7">
        <w:rPr>
          <w:rFonts w:ascii="Symbol" w:hAnsi="Symbol"/>
        </w:rPr>
        <w:t></w:t>
      </w:r>
      <w:r w:rsidRPr="00D673B7">
        <w:rPr>
          <w:rFonts w:ascii="Symbol" w:hAnsi="Symbol"/>
        </w:rPr>
        <w:t></w:t>
      </w:r>
      <w:r w:rsidRPr="00D673B7">
        <w:rPr>
          <w:rFonts w:ascii="Symbol" w:hAnsi="Symbol"/>
        </w:rPr>
        <w:t></w:t>
      </w:r>
      <w:r w:rsidRPr="00D673B7">
        <w:t>inhibitor.</w:t>
      </w:r>
      <w:r w:rsidR="00B604C3">
        <w:t xml:space="preserve"> Related to Fig</w:t>
      </w:r>
      <w:r w:rsidR="005529CC">
        <w:t>.</w:t>
      </w:r>
      <w:r w:rsidR="00B604C3">
        <w:t xml:space="preserve"> </w:t>
      </w:r>
      <w:r w:rsidR="00891BB5">
        <w:t>6 and 7</w:t>
      </w:r>
      <w:r w:rsidR="00B604C3">
        <w:t>.</w:t>
      </w:r>
    </w:p>
    <w:p w14:paraId="04FE4220" w14:textId="77777777" w:rsidR="00844B59" w:rsidRDefault="009136A5" w:rsidP="00844B59">
      <w:pPr>
        <w:spacing w:line="480" w:lineRule="auto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5EE94614" wp14:editId="36325AA9">
            <wp:extent cx="5305591" cy="5175885"/>
            <wp:effectExtent l="0" t="0" r="9525" b="57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596" cy="51807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3B8444" w14:textId="14B433C0" w:rsidR="00844B59" w:rsidRPr="008300AA" w:rsidRDefault="00844B59" w:rsidP="009136A5">
      <w:pPr>
        <w:rPr>
          <w:sz w:val="22"/>
          <w:szCs w:val="22"/>
        </w:rPr>
      </w:pPr>
      <w:r w:rsidRPr="00852A47">
        <w:rPr>
          <w:b/>
        </w:rPr>
        <w:t>Fig</w:t>
      </w:r>
      <w:r w:rsidR="00B604C3">
        <w:rPr>
          <w:b/>
        </w:rPr>
        <w:t>ure</w:t>
      </w:r>
      <w:r w:rsidRPr="00852A47">
        <w:rPr>
          <w:b/>
        </w:rPr>
        <w:t xml:space="preserve"> </w:t>
      </w:r>
      <w:r>
        <w:rPr>
          <w:b/>
        </w:rPr>
        <w:t>S9</w:t>
      </w:r>
      <w:r w:rsidRPr="00852A47">
        <w:rPr>
          <w:b/>
        </w:rPr>
        <w:t xml:space="preserve">. </w:t>
      </w:r>
      <w:r>
        <w:rPr>
          <w:b/>
        </w:rPr>
        <w:t>PER2</w:t>
      </w:r>
      <w:r w:rsidRPr="00852A47">
        <w:rPr>
          <w:rFonts w:ascii="Symbol" w:hAnsi="Symbol"/>
          <w:b/>
          <w:vertAlign w:val="superscript"/>
        </w:rPr>
        <w:t></w:t>
      </w:r>
      <w:r w:rsidRPr="00852A47">
        <w:rPr>
          <w:b/>
          <w:vertAlign w:val="superscript"/>
        </w:rPr>
        <w:t>CKBD</w:t>
      </w:r>
      <w:r>
        <w:rPr>
          <w:b/>
        </w:rPr>
        <w:t xml:space="preserve"> is predominantly nuclear. </w:t>
      </w:r>
      <w:r w:rsidRPr="00D673B7">
        <w:t xml:space="preserve">PER2-Venus </w:t>
      </w:r>
      <w:r>
        <w:t xml:space="preserve">and </w:t>
      </w:r>
      <w:r w:rsidRPr="00D673B7">
        <w:t>PER2</w:t>
      </w:r>
      <w:r w:rsidRPr="00D673B7">
        <w:rPr>
          <w:rFonts w:ascii="Symbol" w:hAnsi="Symbol"/>
          <w:vertAlign w:val="superscript"/>
        </w:rPr>
        <w:t></w:t>
      </w:r>
      <w:r w:rsidRPr="00D673B7">
        <w:rPr>
          <w:vertAlign w:val="superscript"/>
        </w:rPr>
        <w:t>CKBD</w:t>
      </w:r>
      <w:r w:rsidRPr="00D673B7">
        <w:t>-Venus</w:t>
      </w:r>
      <w:r>
        <w:rPr>
          <w:b/>
        </w:rPr>
        <w:t xml:space="preserve"> </w:t>
      </w:r>
      <w:r w:rsidRPr="00D673B7">
        <w:t>fusion protein</w:t>
      </w:r>
      <w:r>
        <w:t>s</w:t>
      </w:r>
      <w:r w:rsidRPr="00D673B7">
        <w:t xml:space="preserve"> w</w:t>
      </w:r>
      <w:r>
        <w:t>ere</w:t>
      </w:r>
      <w:r w:rsidRPr="00D673B7">
        <w:t xml:space="preserve"> expressed </w:t>
      </w:r>
      <w:r>
        <w:t>using</w:t>
      </w:r>
      <w:r w:rsidRPr="00D673B7">
        <w:t xml:space="preserve"> the adenoviral vector</w:t>
      </w:r>
      <w:r w:rsidR="00855A26">
        <w:t>.</w:t>
      </w:r>
      <w:bookmarkStart w:id="2" w:name="_GoBack"/>
      <w:bookmarkEnd w:id="2"/>
      <w:r w:rsidRPr="00D673B7">
        <w:t xml:space="preserve"> </w:t>
      </w:r>
      <w:r>
        <w:t>Venus fluorescence was visualized using confocal microscopy.</w:t>
      </w:r>
      <w:r w:rsidR="00B604C3">
        <w:t xml:space="preserve"> Related to Fig</w:t>
      </w:r>
      <w:r w:rsidR="005529CC">
        <w:t>.</w:t>
      </w:r>
      <w:r w:rsidR="00B604C3">
        <w:t xml:space="preserve"> </w:t>
      </w:r>
      <w:r w:rsidR="00891BB5">
        <w:t>7</w:t>
      </w:r>
      <w:r w:rsidR="00B604C3">
        <w:t>.</w:t>
      </w:r>
    </w:p>
    <w:p w14:paraId="6B4DF8D8" w14:textId="77777777" w:rsidR="007C3F9C" w:rsidRDefault="007C3F9C"/>
    <w:sectPr w:rsidR="007C3F9C" w:rsidSect="00BF10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DA2B64" w14:textId="77777777" w:rsidR="00B04F00" w:rsidRDefault="00B04F00" w:rsidP="00B04F00">
      <w:r>
        <w:separator/>
      </w:r>
    </w:p>
  </w:endnote>
  <w:endnote w:type="continuationSeparator" w:id="0">
    <w:p w14:paraId="78B60111" w14:textId="77777777" w:rsidR="00B04F00" w:rsidRDefault="00B04F00" w:rsidP="00B04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439ABA" w14:textId="77777777" w:rsidR="00B04F00" w:rsidRDefault="00B04F00" w:rsidP="00B04F00">
      <w:r>
        <w:separator/>
      </w:r>
    </w:p>
  </w:footnote>
  <w:footnote w:type="continuationSeparator" w:id="0">
    <w:p w14:paraId="2BC50C8B" w14:textId="77777777" w:rsidR="00B04F00" w:rsidRDefault="00B04F00" w:rsidP="00B04F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B59"/>
    <w:rsid w:val="003D629F"/>
    <w:rsid w:val="005529CC"/>
    <w:rsid w:val="0067578A"/>
    <w:rsid w:val="007C3F9C"/>
    <w:rsid w:val="00844B59"/>
    <w:rsid w:val="00855A26"/>
    <w:rsid w:val="00891BB5"/>
    <w:rsid w:val="009136A5"/>
    <w:rsid w:val="00957F89"/>
    <w:rsid w:val="009E6CFD"/>
    <w:rsid w:val="00B04F00"/>
    <w:rsid w:val="00B604C3"/>
    <w:rsid w:val="00C23695"/>
    <w:rsid w:val="00DC48A9"/>
    <w:rsid w:val="00E1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4EA1E62A"/>
  <w15:chartTrackingRefBased/>
  <w15:docId w15:val="{6E8192C2-ACBF-445D-85D8-F1477EA9B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4B59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4F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4F00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Footer">
    <w:name w:val="footer"/>
    <w:basedOn w:val="Normal"/>
    <w:link w:val="FooterChar"/>
    <w:uiPriority w:val="99"/>
    <w:unhideWhenUsed/>
    <w:rsid w:val="00B04F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4F00"/>
    <w:rPr>
      <w:rFonts w:ascii="Times New Roman" w:eastAsia="Batang" w:hAnsi="Times New Roman" w:cs="Times New Roman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8E71F4C809694A8FE86E6AAA0E1148" ma:contentTypeVersion="10" ma:contentTypeDescription="Create a new document." ma:contentTypeScope="" ma:versionID="addf4a5c147006d1b4862a9277fc3a30">
  <xsd:schema xmlns:xsd="http://www.w3.org/2001/XMLSchema" xmlns:xs="http://www.w3.org/2001/XMLSchema" xmlns:p="http://schemas.microsoft.com/office/2006/metadata/properties" xmlns:ns3="c0ea4c96-c916-4356-b97d-707632d919c2" targetNamespace="http://schemas.microsoft.com/office/2006/metadata/properties" ma:root="true" ma:fieldsID="31f47210f3603fdbcda950b8db465d47" ns3:_="">
    <xsd:import namespace="c0ea4c96-c916-4356-b97d-707632d919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ea4c96-c916-4356-b97d-707632d919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6178FF-94DB-4541-B193-5196593594E6}">
  <ds:schemaRefs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c0ea4c96-c916-4356-b97d-707632d919c2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0D080A2-CF74-413C-9ED4-199E35C344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8DABB3-AA66-40FE-B71A-31128F0403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ea4c96-c916-4356-b97d-707632d919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FSU College of Medicine</Company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Choogon Lee</dc:creator>
  <cp:keywords/>
  <dc:description/>
  <cp:lastModifiedBy>Choogon Lee</cp:lastModifiedBy>
  <cp:revision>2</cp:revision>
  <cp:lastPrinted>2022-06-23T13:41:00Z</cp:lastPrinted>
  <dcterms:created xsi:type="dcterms:W3CDTF">2022-07-09T16:02:00Z</dcterms:created>
  <dcterms:modified xsi:type="dcterms:W3CDTF">2022-07-09T16:02:00Z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0x0101008C8E71F4C809694A8FE86E6AAA0E1148</vt:lpwstr>
  </property>
</Properties>
</file>