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62052" w14:textId="77777777" w:rsidR="009B5A5E" w:rsidRPr="00835CFD" w:rsidRDefault="009B5A5E" w:rsidP="009B5A5E">
      <w:pPr>
        <w:jc w:val="center"/>
        <w:rPr>
          <w:b/>
          <w:bCs/>
          <w:color w:val="000000" w:themeColor="text1"/>
        </w:rPr>
      </w:pPr>
      <w:r w:rsidRPr="00835CFD">
        <w:rPr>
          <w:b/>
          <w:bCs/>
          <w:color w:val="000000" w:themeColor="text1"/>
        </w:rPr>
        <w:t>Supplementary Information</w:t>
      </w:r>
    </w:p>
    <w:p w14:paraId="3C274D30" w14:textId="77777777" w:rsidR="00513C59" w:rsidRDefault="00513C59" w:rsidP="009B5A5E">
      <w:pPr>
        <w:jc w:val="center"/>
        <w:rPr>
          <w:b/>
          <w:bCs/>
          <w:color w:val="000000" w:themeColor="text1"/>
        </w:rPr>
      </w:pPr>
    </w:p>
    <w:p w14:paraId="6842E3B2" w14:textId="36766F33" w:rsidR="009B5A5E" w:rsidRPr="00835CFD" w:rsidRDefault="00283041" w:rsidP="009B5A5E">
      <w:pPr>
        <w:jc w:val="center"/>
        <w:rPr>
          <w:color w:val="000000" w:themeColor="text1"/>
        </w:rPr>
      </w:pPr>
      <w:r w:rsidRPr="00283041">
        <w:rPr>
          <w:color w:val="000000" w:themeColor="text1"/>
        </w:rPr>
        <w:t>Contact tracing reveals community transmission of COVID-19 in New York City</w:t>
      </w:r>
    </w:p>
    <w:p w14:paraId="692611CE" w14:textId="77777777" w:rsidR="009B5A5E" w:rsidRPr="00835CFD" w:rsidRDefault="009B5A5E" w:rsidP="009B5A5E">
      <w:pPr>
        <w:jc w:val="center"/>
        <w:rPr>
          <w:color w:val="000000" w:themeColor="text1"/>
        </w:rPr>
      </w:pPr>
    </w:p>
    <w:p w14:paraId="39B40AB1" w14:textId="77777777" w:rsidR="00283041" w:rsidRPr="00A62722" w:rsidRDefault="00283041" w:rsidP="007E7147">
      <w:pPr>
        <w:pStyle w:val="Authors"/>
        <w:jc w:val="left"/>
        <w:rPr>
          <w:vertAlign w:val="superscript"/>
        </w:rPr>
      </w:pPr>
      <w:r w:rsidRPr="00EF6515">
        <w:t>Sen Pei</w:t>
      </w:r>
      <w:r w:rsidRPr="00EF6515">
        <w:rPr>
          <w:vertAlign w:val="superscript"/>
        </w:rPr>
        <w:t>1</w:t>
      </w:r>
      <w:r>
        <w:t>*</w:t>
      </w:r>
      <w:r w:rsidRPr="00EF6515">
        <w:t xml:space="preserve">, </w:t>
      </w:r>
      <w:proofErr w:type="spellStart"/>
      <w:r w:rsidRPr="00EF6515">
        <w:t>Sasikiran</w:t>
      </w:r>
      <w:proofErr w:type="spellEnd"/>
      <w:r w:rsidRPr="00EF6515">
        <w:t xml:space="preserve"> Kandula</w:t>
      </w:r>
      <w:r w:rsidRPr="00EF6515">
        <w:rPr>
          <w:vertAlign w:val="superscript"/>
        </w:rPr>
        <w:t>1</w:t>
      </w:r>
      <w:r w:rsidRPr="00EF6515">
        <w:t>, Jaime Cascante-Vega</w:t>
      </w:r>
      <w:r w:rsidRPr="00EF6515">
        <w:rPr>
          <w:vertAlign w:val="superscript"/>
        </w:rPr>
        <w:t>1</w:t>
      </w:r>
      <w:r w:rsidRPr="00EF6515">
        <w:t>, Wan Yang</w:t>
      </w:r>
      <w:r w:rsidRPr="00EF6515">
        <w:rPr>
          <w:vertAlign w:val="superscript"/>
        </w:rPr>
        <w:t>2</w:t>
      </w:r>
      <w:r w:rsidRPr="00EF6515">
        <w:t>, Steffen Foerster</w:t>
      </w:r>
      <w:r w:rsidRPr="00EF6515">
        <w:rPr>
          <w:vertAlign w:val="superscript"/>
        </w:rPr>
        <w:t>3</w:t>
      </w:r>
      <w:r w:rsidRPr="00EF6515">
        <w:t>, Corinne Thompson</w:t>
      </w:r>
      <w:r w:rsidRPr="00EF6515">
        <w:rPr>
          <w:vertAlign w:val="superscript"/>
        </w:rPr>
        <w:t>3</w:t>
      </w:r>
      <w:r w:rsidRPr="00EF6515">
        <w:t>, Jennifer Baumgartner</w:t>
      </w:r>
      <w:r w:rsidRPr="00EF6515">
        <w:rPr>
          <w:vertAlign w:val="superscript"/>
        </w:rPr>
        <w:t>3</w:t>
      </w:r>
      <w:r w:rsidRPr="00EF6515">
        <w:t xml:space="preserve">, </w:t>
      </w:r>
      <w:proofErr w:type="spellStart"/>
      <w:r w:rsidRPr="00EF6515">
        <w:t>Shama</w:t>
      </w:r>
      <w:proofErr w:type="spellEnd"/>
      <w:r w:rsidRPr="00EF6515">
        <w:t xml:space="preserve"> Desai Ahuja</w:t>
      </w:r>
      <w:r w:rsidRPr="00EF6515">
        <w:rPr>
          <w:vertAlign w:val="superscript"/>
        </w:rPr>
        <w:t>2,3</w:t>
      </w:r>
      <w:r w:rsidRPr="00EF6515">
        <w:t>, Kathleen Blaney</w:t>
      </w:r>
      <w:r w:rsidRPr="00EF6515">
        <w:rPr>
          <w:vertAlign w:val="superscript"/>
        </w:rPr>
        <w:t>3</w:t>
      </w:r>
      <w:r w:rsidRPr="00EF6515">
        <w:t>, Jay K. Varma</w:t>
      </w:r>
      <w:r w:rsidRPr="00EF6515">
        <w:rPr>
          <w:vertAlign w:val="superscript"/>
        </w:rPr>
        <w:t>4</w:t>
      </w:r>
      <w:r w:rsidRPr="00EF6515">
        <w:t>, Theodore Long</w:t>
      </w:r>
      <w:r w:rsidRPr="00EF6515">
        <w:rPr>
          <w:vertAlign w:val="superscript"/>
        </w:rPr>
        <w:t>5</w:t>
      </w:r>
      <w:r w:rsidRPr="00EF6515">
        <w:t>, Jeffrey Shaman</w:t>
      </w:r>
      <w:r w:rsidRPr="00EF6515">
        <w:rPr>
          <w:vertAlign w:val="superscript"/>
        </w:rPr>
        <w:t>1</w:t>
      </w:r>
    </w:p>
    <w:p w14:paraId="4B0AEC8F" w14:textId="77777777" w:rsidR="00283041" w:rsidRDefault="00283041" w:rsidP="00283041">
      <w:pPr>
        <w:pStyle w:val="Paragraph"/>
        <w:ind w:firstLine="0"/>
      </w:pPr>
      <w:r w:rsidRPr="00B43FDE">
        <w:rPr>
          <w:vertAlign w:val="superscript"/>
        </w:rPr>
        <w:t>1</w:t>
      </w:r>
      <w:bookmarkStart w:id="0" w:name="_Hlk62201602"/>
      <w:r w:rsidRPr="00243D64">
        <w:t>Department of Environmental Health Sciences, Mailman School of Public Health, Columbia University, New York, NY, 10032, USA</w:t>
      </w:r>
    </w:p>
    <w:p w14:paraId="7D2215FE" w14:textId="77777777" w:rsidR="00283041" w:rsidRDefault="00283041" w:rsidP="00283041">
      <w:pPr>
        <w:pStyle w:val="Paragraph"/>
        <w:ind w:firstLine="0"/>
      </w:pPr>
      <w:r>
        <w:rPr>
          <w:vertAlign w:val="superscript"/>
        </w:rPr>
        <w:t>2</w:t>
      </w:r>
      <w:r w:rsidRPr="00243D64">
        <w:t xml:space="preserve">Department of </w:t>
      </w:r>
      <w:r>
        <w:t>Epidemiology</w:t>
      </w:r>
      <w:r w:rsidRPr="00243D64">
        <w:t>, Mailman School of Public Health, Columbia University, New York, NY, 10032, USA</w:t>
      </w:r>
      <w:r>
        <w:t xml:space="preserve"> </w:t>
      </w:r>
      <w:bookmarkEnd w:id="0"/>
    </w:p>
    <w:p w14:paraId="1FB2AEA1" w14:textId="77777777" w:rsidR="00283041" w:rsidRDefault="00283041" w:rsidP="00283041">
      <w:pPr>
        <w:pStyle w:val="Paragraph"/>
        <w:ind w:firstLine="0"/>
      </w:pPr>
      <w:r>
        <w:rPr>
          <w:vertAlign w:val="superscript"/>
        </w:rPr>
        <w:t>3</w:t>
      </w:r>
      <w:r w:rsidRPr="00050A4F">
        <w:t>New York City Department of Health and Mental Hygiene (DOHMH), Long Island City, NY, 11001, USA</w:t>
      </w:r>
    </w:p>
    <w:p w14:paraId="24E22BFC" w14:textId="77777777" w:rsidR="00283041" w:rsidRDefault="00283041" w:rsidP="00283041">
      <w:pPr>
        <w:pStyle w:val="Paragraph"/>
        <w:ind w:firstLine="0"/>
      </w:pPr>
      <w:r>
        <w:rPr>
          <w:vertAlign w:val="superscript"/>
        </w:rPr>
        <w:t>4</w:t>
      </w:r>
      <w:r w:rsidRPr="004E1948">
        <w:t>Department of Population Health Sciences, Weill Cornell Medical College, New York, NY</w:t>
      </w:r>
      <w:r>
        <w:t>, 10065, USA</w:t>
      </w:r>
    </w:p>
    <w:p w14:paraId="13BE1FB1" w14:textId="77777777" w:rsidR="00283041" w:rsidRPr="003F7278" w:rsidRDefault="00283041" w:rsidP="00283041">
      <w:pPr>
        <w:pStyle w:val="Paragraph"/>
        <w:ind w:firstLine="0"/>
      </w:pPr>
      <w:r>
        <w:rPr>
          <w:vertAlign w:val="superscript"/>
        </w:rPr>
        <w:t>5</w:t>
      </w:r>
      <w:r w:rsidRPr="00A37E89">
        <w:t>NYC Health + Hospitals, New York, NY</w:t>
      </w:r>
    </w:p>
    <w:p w14:paraId="7FD2852A" w14:textId="77777777" w:rsidR="00283041" w:rsidRPr="00A62722" w:rsidRDefault="00283041" w:rsidP="00283041">
      <w:pPr>
        <w:pStyle w:val="Paragraph"/>
        <w:ind w:firstLine="0"/>
      </w:pPr>
      <w:r w:rsidRPr="00A62722">
        <w:rPr>
          <w:vertAlign w:val="superscript"/>
        </w:rPr>
        <w:t>*</w:t>
      </w:r>
      <w:r w:rsidRPr="00A62722">
        <w:t>Correspondence to: S.P. (</w:t>
      </w:r>
      <w:hyperlink r:id="rId8" w:history="1">
        <w:r w:rsidRPr="00A62722">
          <w:rPr>
            <w:rStyle w:val="Hyperlink"/>
          </w:rPr>
          <w:t>sp3449@cumc.columbia.edu</w:t>
        </w:r>
      </w:hyperlink>
      <w:r w:rsidRPr="00A62722">
        <w:t>)</w:t>
      </w:r>
    </w:p>
    <w:p w14:paraId="4E3B2903" w14:textId="6C2099AA" w:rsidR="009B5A5E" w:rsidRPr="00835CFD" w:rsidRDefault="009B5A5E" w:rsidP="009B5A5E">
      <w:pPr>
        <w:pStyle w:val="Paragraph"/>
        <w:ind w:firstLine="0"/>
      </w:pPr>
    </w:p>
    <w:p w14:paraId="6B220639" w14:textId="0182883D" w:rsidR="00283041" w:rsidRPr="00283041" w:rsidRDefault="00283041" w:rsidP="00283041">
      <w:pPr>
        <w:pStyle w:val="TOCHeading"/>
        <w:rPr>
          <w:rFonts w:ascii="Times New Roman" w:hAnsi="Times New Roman"/>
        </w:rPr>
      </w:pPr>
    </w:p>
    <w:p w14:paraId="1D3BFA3B" w14:textId="6B7B1002" w:rsidR="0048777D" w:rsidRDefault="00000000" w:rsidP="009B5A5E">
      <w:fldSimple w:instr=" TOC \o &quot;1-3&quot; \h \z \u "/>
    </w:p>
    <w:p w14:paraId="197E03B4" w14:textId="02DB5200" w:rsidR="009B5A5E" w:rsidRPr="00835CFD" w:rsidRDefault="00AE7641" w:rsidP="00AE7641">
      <w:r>
        <w:br w:type="page"/>
      </w:r>
    </w:p>
    <w:p w14:paraId="1260D627" w14:textId="0E553A77" w:rsidR="009B5A5E" w:rsidRPr="0048777D" w:rsidRDefault="007E7147" w:rsidP="009473C4">
      <w:pPr>
        <w:pStyle w:val="Heading1"/>
      </w:pPr>
      <w:r>
        <w:lastRenderedPageBreak/>
        <w:t>1. D</w:t>
      </w:r>
      <w:r>
        <w:rPr>
          <w:rFonts w:hint="eastAsia"/>
          <w:lang w:eastAsia="zh-CN"/>
        </w:rPr>
        <w:t>ata</w:t>
      </w:r>
    </w:p>
    <w:p w14:paraId="2F54E1BF" w14:textId="77777777" w:rsidR="007E7147" w:rsidRDefault="007E7147" w:rsidP="007E7147"/>
    <w:p w14:paraId="654859DF" w14:textId="57D2069F" w:rsidR="007E7147" w:rsidRPr="00370800" w:rsidRDefault="007E7147" w:rsidP="007E7147">
      <w:r w:rsidRPr="00370800">
        <w:t xml:space="preserve">The NYC Test &amp; Trace Corps (T2) initiative attempts to interview all confirmed and probable COVID-19 patients about their location and activities before and during the infectious period. Information about close contacts during the infectious period is elicited during the interview. Close contacts are then interviewed and monitored for the duration of their quarantine. The program offers resources to support quarantine and isolation free of charge, including food delivery, medication delivery, and access to hotels. Close contacts are encouraged to get tested. </w:t>
      </w:r>
    </w:p>
    <w:p w14:paraId="23ACB042" w14:textId="77777777" w:rsidR="007E7147" w:rsidRPr="00370800" w:rsidRDefault="007E7147" w:rsidP="007E7147"/>
    <w:p w14:paraId="1DD2F859" w14:textId="358C5170" w:rsidR="007E7147" w:rsidRDefault="007E7147" w:rsidP="001F6D62">
      <w:r w:rsidRPr="00370800">
        <w:t xml:space="preserve">We used T2 data collected in NYC from October 1, </w:t>
      </w:r>
      <w:proofErr w:type="gramStart"/>
      <w:r w:rsidRPr="00370800">
        <w:t>2020</w:t>
      </w:r>
      <w:proofErr w:type="gramEnd"/>
      <w:r w:rsidRPr="00370800">
        <w:t xml:space="preserve"> to May 10, 2021. The study period spans the second pandemic wave of COVID-19 in NYC. The data contain 5,735,726 phone call records of interactions between contact tracers and confirmed/probable cases and their contacts, as well as information gathered during the phone calls. Age and zip code of home location are available for most cases and contacts. Index cases and their contacts were identified in the dataset using a matching algorithm based on personal identifying information. We further cross-linked the contact tracing dataset with laboratory test results of COVID-19 in NYC during the same period to obtain the infection status of exposed persons. The daily numbers of contacted infected individuals in five age groups (0-9, 10-19, 20-49, 50-64, 65+) are shown in </w:t>
      </w:r>
      <w:r w:rsidR="00D00624">
        <w:t xml:space="preserve">Extended Data </w:t>
      </w:r>
      <w:r w:rsidRPr="00370800">
        <w:t xml:space="preserve">Fig. </w:t>
      </w:r>
      <w:r w:rsidR="00D00624">
        <w:t>1a</w:t>
      </w:r>
      <w:r w:rsidRPr="00370800">
        <w:t>. During the study period, the age structure of confirmed cases remained stable; age group 20-49 accounted for most infections (</w:t>
      </w:r>
      <w:r w:rsidR="00F67FCF">
        <w:t xml:space="preserve">Extended Data </w:t>
      </w:r>
      <w:r w:rsidRPr="00370800">
        <w:t>Fig. 1</w:t>
      </w:r>
      <w:r w:rsidR="00F67FCF">
        <w:t>b</w:t>
      </w:r>
      <w:r w:rsidRPr="00370800">
        <w:t>). Use of this dataset in this study was approved by Columbia University Institutional Review Board (IRB) AAAT2182.</w:t>
      </w:r>
    </w:p>
    <w:p w14:paraId="57C9189B" w14:textId="77777777" w:rsidR="001F6D62" w:rsidRPr="00370800" w:rsidRDefault="001F6D62" w:rsidP="001F6D62"/>
    <w:p w14:paraId="418E397C" w14:textId="1CA95077" w:rsidR="007E7147" w:rsidRPr="00370800" w:rsidRDefault="007E7147" w:rsidP="007E7147">
      <w:r w:rsidRPr="00370800">
        <w:t>Demographic and socioeconomic data for NYC zip code tabulation areas (ZCTA) were compiled from the 5-year American Community Survey (ACS) (</w:t>
      </w:r>
      <w:hyperlink r:id="rId9" w:history="1">
        <w:r w:rsidRPr="00370800">
          <w:rPr>
            <w:rStyle w:val="Hyperlink"/>
            <w:rFonts w:eastAsia="Times"/>
          </w:rPr>
          <w:t>https://www.census.gov/programs-surveys/acs/data.html</w:t>
        </w:r>
      </w:hyperlink>
      <w:r w:rsidRPr="00370800">
        <w:t>). Variables include population size, population density (persons per square kilometer), percentage of Black residents, percentage of Hispanic residents, percentage of population over 65 years old, median household income, percentage of residents with bachelor’s degree, and mean household size. We downloaded the 2019 estimates for these variables using the R package tidycensus</w:t>
      </w:r>
      <w:r w:rsidR="0041697C">
        <w:fldChar w:fldCharType="begin"/>
      </w:r>
      <w:r w:rsidR="0041697C">
        <w:instrText xml:space="preserve"> ADDIN ZOTERO_ITEM CSL_CITATION {"citationID":"XnLR2m0v","properties":{"formattedCitation":"\\super 1\\nosupersub{}","plainCitation":"1","noteIndex":0},"citationItems":[{"id":3057,"uris":["http://zotero.org/users/6798153/items/44UZD53S"],"itemData":{"id":3057,"type":"book","abstract":"An integrated R interface to several United States Census Bureau APIs (&lt;https://www.census.gov/data/developers/data-sets.html&gt;) and the US Census Bureau's geographic boundary files. Allows R users to return Census and ACS data as tidyverse-ready data frames, and optionally returns a list-column with feature geometry for mapping and spatial analysis.","source":"R-Packages","title":"tidycensus: Load US Census Boundary and Attribute Data as 'tidyverse' and 'sf'-Ready Data Frames","title-short":"tidycensus","URL":"https://CRAN.R-project.org/package=tidycensus","version":"1.1","author":[{"family":"Walker","given":"Kyle"},{"family":"Herman","given":"Matt"},{"family":"Eberwein","given":"Kris"}],"accessed":{"date-parts":[["2022",2,22]]},"issued":{"date-parts":[["2021",9,23]]}}}],"schema":"https://github.com/citation-style-language/schema/raw/master/csl-citation.json"} </w:instrText>
      </w:r>
      <w:r w:rsidR="0041697C">
        <w:fldChar w:fldCharType="separate"/>
      </w:r>
      <w:r w:rsidR="0041697C" w:rsidRPr="0041697C">
        <w:rPr>
          <w:vertAlign w:val="superscript"/>
        </w:rPr>
        <w:t>1</w:t>
      </w:r>
      <w:r w:rsidR="0041697C">
        <w:fldChar w:fldCharType="end"/>
      </w:r>
      <w:r w:rsidRPr="00370800">
        <w:t>.</w:t>
      </w:r>
    </w:p>
    <w:p w14:paraId="08402B02" w14:textId="77777777" w:rsidR="007E7147" w:rsidRPr="00370800" w:rsidRDefault="007E7147" w:rsidP="007E7147"/>
    <w:p w14:paraId="20BEA0DA" w14:textId="77777777" w:rsidR="007E7147" w:rsidRDefault="007E7147" w:rsidP="007E7147">
      <w:r w:rsidRPr="00370800">
        <w:t>COVID-19 surveillance data in NYC at the MOZCTA (modified ZIP code tabulation area) level are available at the GitHub repository maintained by the NYC Department of Health and Mental Hygiene (DOHMH) (</w:t>
      </w:r>
      <w:hyperlink r:id="rId10" w:history="1">
        <w:r w:rsidRPr="00370800">
          <w:rPr>
            <w:rStyle w:val="Hyperlink"/>
            <w:rFonts w:eastAsia="Times"/>
          </w:rPr>
          <w:t>https://github.com/nychealth/coronavirus-data</w:t>
        </w:r>
      </w:hyperlink>
      <w:r w:rsidRPr="00370800">
        <w:t>). We used weekly cases per capita, weekly tests per capita, and percentage of tests positive. Vaccination data were obtained from the public repository of DOHMH (</w:t>
      </w:r>
      <w:hyperlink r:id="rId11" w:history="1">
        <w:r w:rsidRPr="00370800">
          <w:rPr>
            <w:rStyle w:val="Hyperlink"/>
            <w:rFonts w:eastAsia="Times"/>
          </w:rPr>
          <w:t>https://github.com/nychealth/covid-vaccine-data</w:t>
        </w:r>
      </w:hyperlink>
      <w:r w:rsidRPr="00370800">
        <w:t xml:space="preserve">). Human mobility data recording the weekly number of visitors to points of interest (POIs) in NYC were provided by </w:t>
      </w:r>
      <w:proofErr w:type="spellStart"/>
      <w:r w:rsidRPr="00370800">
        <w:t>SafeGraph</w:t>
      </w:r>
      <w:proofErr w:type="spellEnd"/>
      <w:r w:rsidRPr="00370800">
        <w:t xml:space="preserve"> (</w:t>
      </w:r>
      <w:hyperlink r:id="rId12" w:history="1">
        <w:r w:rsidRPr="00370800">
          <w:rPr>
            <w:rStyle w:val="Hyperlink"/>
            <w:rFonts w:eastAsia="Times"/>
          </w:rPr>
          <w:t>https://safegraph.com/</w:t>
        </w:r>
      </w:hyperlink>
      <w:r w:rsidRPr="00370800">
        <w:t xml:space="preserve">), which aggregates anonymized location data from numerous mobile phone applications to provide insights about physical places, via the </w:t>
      </w:r>
      <w:proofErr w:type="spellStart"/>
      <w:r w:rsidRPr="00370800">
        <w:t>SafeGraph</w:t>
      </w:r>
      <w:proofErr w:type="spellEnd"/>
      <w:r w:rsidRPr="00370800">
        <w:t xml:space="preserve"> Community. To enhance privacy, </w:t>
      </w:r>
      <w:proofErr w:type="spellStart"/>
      <w:r w:rsidRPr="00370800">
        <w:t>SafeGraph</w:t>
      </w:r>
      <w:proofErr w:type="spellEnd"/>
      <w:r w:rsidRPr="00370800">
        <w:t xml:space="preserve"> excludes census block group information if fewer than five devices visited an establishment in a month from a given census block group. We aggregated the mobility data to zip code level to estimate the weekly number of visitors (regardless of visitors’ location of residence) to POIs in each zip code area. In the statistical analysis, we mapped the ACS data from the ZCTA level to the MOZCTA level to align the scale of the data. The mapping between ZCTA and MOZCTA is available at </w:t>
      </w:r>
      <w:hyperlink r:id="rId13" w:history="1">
        <w:r w:rsidRPr="00370800">
          <w:rPr>
            <w:rStyle w:val="Hyperlink"/>
            <w:rFonts w:eastAsia="Times"/>
          </w:rPr>
          <w:t>https://data.cityofnewyork.us/Health/Modified-Zip-Code-Tabulation-Areas-MODZCTA-/pri4-ifjk</w:t>
        </w:r>
      </w:hyperlink>
      <w:r w:rsidRPr="00370800">
        <w:t>.</w:t>
      </w:r>
    </w:p>
    <w:p w14:paraId="192F3D47" w14:textId="4DA6E9CA" w:rsidR="007E7147" w:rsidRPr="00D3665E" w:rsidRDefault="00D70AEB" w:rsidP="009B5A5E">
      <w:pPr>
        <w:rPr>
          <w:b/>
          <w:bCs/>
        </w:rPr>
      </w:pPr>
      <w:r w:rsidRPr="00D3665E">
        <w:rPr>
          <w:b/>
          <w:bCs/>
        </w:rPr>
        <w:lastRenderedPageBreak/>
        <w:t>2. Reconstructing transmission networks</w:t>
      </w:r>
    </w:p>
    <w:p w14:paraId="1763C426" w14:textId="6968B082" w:rsidR="00D70AEB" w:rsidRDefault="00D70AEB" w:rsidP="009B5A5E"/>
    <w:p w14:paraId="590E9256" w14:textId="77777777" w:rsidR="00D3665E" w:rsidRPr="00B02E99" w:rsidRDefault="00D3665E" w:rsidP="00D3665E">
      <w:r w:rsidRPr="00B02E99">
        <w:t>Due to asymptomatic and pre-symptomatic shedding, the reporting dates of index cases and contacts cannot be used to determine the direction of transmission. To address this issue, we developed a maximum-likelihood method to reconstruct transmission chains based on the risk of COVID-19 spread across different age groups. This approach includes three steps:</w:t>
      </w:r>
    </w:p>
    <w:p w14:paraId="1F10E50E" w14:textId="77777777" w:rsidR="00D3665E" w:rsidRPr="00B02E99" w:rsidRDefault="00D3665E" w:rsidP="00D3665E">
      <w:pPr>
        <w:pStyle w:val="ListParagraph"/>
        <w:ind w:left="1080"/>
      </w:pPr>
    </w:p>
    <w:p w14:paraId="66300E92" w14:textId="77777777" w:rsidR="00D3665E" w:rsidRPr="0041697C" w:rsidRDefault="00D3665E">
      <w:pPr>
        <w:pStyle w:val="ListParagraph"/>
        <w:numPr>
          <w:ilvl w:val="1"/>
          <w:numId w:val="11"/>
        </w:numPr>
        <w:spacing w:after="0" w:line="240" w:lineRule="auto"/>
        <w:rPr>
          <w:rFonts w:ascii="Times New Roman" w:hAnsi="Times New Roman" w:cs="Times New Roman"/>
          <w:sz w:val="24"/>
          <w:szCs w:val="24"/>
        </w:rPr>
      </w:pPr>
      <w:r w:rsidRPr="0041697C">
        <w:rPr>
          <w:rFonts w:ascii="Times New Roman" w:hAnsi="Times New Roman" w:cs="Times New Roman"/>
          <w:sz w:val="24"/>
          <w:szCs w:val="24"/>
        </w:rPr>
        <w:t>Estimate the infection time using symptom onset date or specimen collection date. Use the estimated infection time to determine the direction of exposure and transmission.</w:t>
      </w:r>
    </w:p>
    <w:p w14:paraId="5CABD1A0" w14:textId="77777777" w:rsidR="00D3665E" w:rsidRPr="0041697C" w:rsidRDefault="00D3665E" w:rsidP="00D3665E">
      <w:pPr>
        <w:pStyle w:val="ListParagraph"/>
        <w:ind w:left="1080"/>
        <w:rPr>
          <w:rFonts w:ascii="Times New Roman" w:hAnsi="Times New Roman" w:cs="Times New Roman"/>
          <w:sz w:val="24"/>
          <w:szCs w:val="24"/>
        </w:rPr>
      </w:pPr>
    </w:p>
    <w:p w14:paraId="4695D81E" w14:textId="77777777" w:rsidR="00D3665E" w:rsidRPr="0041697C" w:rsidRDefault="00D3665E">
      <w:pPr>
        <w:pStyle w:val="ListParagraph"/>
        <w:numPr>
          <w:ilvl w:val="1"/>
          <w:numId w:val="11"/>
        </w:numPr>
        <w:spacing w:after="0" w:line="240" w:lineRule="auto"/>
        <w:rPr>
          <w:rFonts w:ascii="Times New Roman" w:hAnsi="Times New Roman" w:cs="Times New Roman"/>
          <w:sz w:val="24"/>
          <w:szCs w:val="24"/>
        </w:rPr>
      </w:pPr>
      <w:r w:rsidRPr="0041697C">
        <w:rPr>
          <w:rFonts w:ascii="Times New Roman" w:hAnsi="Times New Roman" w:cs="Times New Roman"/>
          <w:sz w:val="24"/>
          <w:szCs w:val="24"/>
        </w:rPr>
        <w:t>Estimate the probability of transmission for exposures across age groups using test and trace data.</w:t>
      </w:r>
    </w:p>
    <w:p w14:paraId="7D90CD70" w14:textId="77777777" w:rsidR="00D3665E" w:rsidRPr="0041697C" w:rsidRDefault="00D3665E" w:rsidP="00D3665E">
      <w:pPr>
        <w:pStyle w:val="ListParagraph"/>
        <w:ind w:left="1080"/>
        <w:rPr>
          <w:rFonts w:ascii="Times New Roman" w:hAnsi="Times New Roman" w:cs="Times New Roman"/>
          <w:sz w:val="24"/>
          <w:szCs w:val="24"/>
        </w:rPr>
      </w:pPr>
    </w:p>
    <w:p w14:paraId="37263A06" w14:textId="77777777" w:rsidR="00D3665E" w:rsidRPr="0041697C" w:rsidRDefault="00D3665E">
      <w:pPr>
        <w:pStyle w:val="ListParagraph"/>
        <w:numPr>
          <w:ilvl w:val="1"/>
          <w:numId w:val="11"/>
        </w:numPr>
        <w:spacing w:after="0" w:line="240" w:lineRule="auto"/>
        <w:rPr>
          <w:rFonts w:ascii="Times New Roman" w:hAnsi="Times New Roman" w:cs="Times New Roman"/>
          <w:sz w:val="24"/>
          <w:szCs w:val="24"/>
        </w:rPr>
      </w:pPr>
      <w:r w:rsidRPr="0041697C">
        <w:rPr>
          <w:rFonts w:ascii="Times New Roman" w:hAnsi="Times New Roman" w:cs="Times New Roman"/>
          <w:sz w:val="24"/>
          <w:szCs w:val="24"/>
        </w:rPr>
        <w:t>Sample an ensemble of possible transmission networks and select the one that maximizes the transmission likelihood.</w:t>
      </w:r>
    </w:p>
    <w:p w14:paraId="508CC73A" w14:textId="77777777" w:rsidR="00D3665E" w:rsidRPr="00CA2103" w:rsidRDefault="00D3665E" w:rsidP="00D3665E">
      <w:pPr>
        <w:pStyle w:val="SMText"/>
      </w:pPr>
      <w:r w:rsidRPr="00CA2103">
        <w:t xml:space="preserve"> </w:t>
      </w:r>
      <w:bookmarkStart w:id="1" w:name="Figures"/>
      <w:bookmarkEnd w:id="1"/>
    </w:p>
    <w:p w14:paraId="43C3EE1C" w14:textId="2171EF6C" w:rsidR="00D3665E" w:rsidRPr="00CA2103" w:rsidRDefault="00D3665E" w:rsidP="00D3665E">
      <w:pPr>
        <w:pStyle w:val="SMSubheading"/>
        <w:rPr>
          <w:b/>
          <w:bCs/>
          <w:u w:val="none"/>
        </w:rPr>
      </w:pPr>
      <w:r w:rsidRPr="00CA2103">
        <w:rPr>
          <w:b/>
          <w:bCs/>
          <w:u w:val="none"/>
        </w:rPr>
        <w:t>2.1 Estimation of infection time</w:t>
      </w:r>
    </w:p>
    <w:p w14:paraId="2AFACA9E" w14:textId="77777777" w:rsidR="00CA2103" w:rsidRPr="00B02E99" w:rsidRDefault="00CA2103" w:rsidP="00D3665E">
      <w:pPr>
        <w:pStyle w:val="SMSubheading"/>
        <w:rPr>
          <w:u w:val="single"/>
        </w:rPr>
      </w:pPr>
    </w:p>
    <w:p w14:paraId="4E92938B" w14:textId="77777777" w:rsidR="00D3665E" w:rsidRPr="00B02E99" w:rsidRDefault="00D3665E" w:rsidP="00D3665E">
      <w:r w:rsidRPr="00B02E99">
        <w:t>For each pair of index case and contact, we inferred the direction of exposure or transmission using estimated infection time. All index cases were confirmed infections, but only a proportion of contacts were tested. We therefore used exposure pairs for which both the index case and contact had been tested and excluded exposure pairs for which contacts had not been tested, as these contacts did not affect the observed transmission network. If the contact tested negative, the direction of exposure is from the index case to the close contact (i.e., the index case is the infector); however, if the contact tested positive, the direction of exposure is uncertain and must be estimated.</w:t>
      </w:r>
    </w:p>
    <w:p w14:paraId="6833207F" w14:textId="77777777" w:rsidR="00D3665E" w:rsidRPr="00B02E99" w:rsidRDefault="00D3665E" w:rsidP="00D3665E"/>
    <w:p w14:paraId="0C72A2A6" w14:textId="5F51EF78" w:rsidR="00D3665E" w:rsidRDefault="00D3665E" w:rsidP="00D3665E">
      <w:r w:rsidRPr="00B02E99">
        <w:t>For symptomatic cases who reported symptom onset dates, the infection time was estimated using the distribution of the incubation period reported from previous studies. Incubation period is the time between infection and symptom onset. Here we used a Weibull distribution estimated based on detailed contact tracing data from Hunan province, China</w:t>
      </w:r>
      <w:r w:rsidR="0041697C">
        <w:fldChar w:fldCharType="begin"/>
      </w:r>
      <w:r w:rsidR="0041697C">
        <w:instrText xml:space="preserve"> ADDIN ZOTERO_ITEM CSL_CITATION {"citationID":"ow7TucGS","properties":{"formattedCitation":"\\super 2\\nosupersub{}","plainCitation":"2","noteIndex":0},"citationItems":[{"id":2657,"uris":["http://zotero.org/users/6798153/items/BYCCXX5J"],"itemData":{"id":2657,"type":"article-journal","abstract":"Several mechanisms driving SARS-CoV-2 transmission remain unclear. Based on individual records of 1178 potential SARS-CoV-2 infectors and their 15,648 contacts in Hunan, China, we estimated key transmission parameters. The mean generation time was estimated to be 5.7 (median: 5.5, IQR: 4.5, 6.8) days, with infectiousness peaking 1.8 days before symptom onset, with 95% of transmission events occurring between 8.8 days before and 9.5 days after symptom onset. Most transmission events occurred during the pre-symptomatic phase (59.2%). SARS-CoV-2 susceptibility to infection increases with age, while transmissibility is not significantly different between age groups and between symptomatic and asymptomatic individuals. Contacts in households and exposure to first-generation cases are associated with higher odds of transmission. Our findings support the hypothesis that children can effectively transmit SARS-CoV-2 and highlight how pre-symptomatic and asymptomatic transmission can hinder control efforts.","container-title":"Nature Communications","DOI":"10.1038/s41467-021-21710-6","ISSN":"2041-1723","issue":"1","journalAbbreviation":"Nat Commun","language":"en","note":"Bandiera_abtest: a\nCc_license_type: cc_by\nCg_type: Nature Research Journals\nnumber: 1\nPrimary_atype: Research\npublisher: Nature Publishing Group\nSubject_term: Epidemiology;Preventive medicine;SARS-CoV-2;Viral epidemiology\nSubject_term_id: epidemiology;preventive-medicine;sars-cov-2;viral-epidemiology","page":"1533","source":"www.nature.com","title":"Infectivity, susceptibility, and risk factors associated with SARS-CoV-2 transmission under intensive contact tracing in Hunan, China","volume":"12","author":[{"family":"Hu","given":"Shixiong"},{"family":"Wang","given":"Wei"},{"family":"Wang","given":"Yan"},{"family":"Litvinova","given":"Maria"},{"family":"Luo","given":"Kaiwei"},{"family":"Ren","given":"Lingshuang"},{"family":"Sun","given":"Qianlai"},{"family":"Chen","given":"Xinghui"},{"family":"Zeng","given":"Ge"},{"family":"Li","given":"Jing"},{"family":"Liang","given":"Lu"},{"family":"Deng","given":"Zhihong"},{"family":"Zheng","given":"Wen"},{"family":"Li","given":"Mei"},{"family":"Yang","given":"Hao"},{"family":"Guo","given":"Jinxin"},{"family":"Wang","given":"Kai"},{"family":"Chen","given":"Xinhua"},{"family":"Liu","given":"Ziyan"},{"family":"Yan","given":"Han"},{"family":"Shi","given":"Huilin"},{"family":"Chen","given":"Zhiyuan"},{"family":"Zhou","given":"Yonghong"},{"family":"Sun","given":"Kaiyuan"},{"family":"Vespignani","given":"Alessandro"},{"family":"Viboud","given":"Cécile"},{"family":"Gao","given":"Lidong"},{"family":"Ajelli","given":"Marco"},{"family":"Yu","given":"Hongjie"}],"issued":{"date-parts":[["2021",3,9]]}}}],"schema":"https://github.com/citation-style-language/schema/raw/master/csl-citation.json"} </w:instrText>
      </w:r>
      <w:r w:rsidR="0041697C">
        <w:fldChar w:fldCharType="separate"/>
      </w:r>
      <w:r w:rsidR="0041697C" w:rsidRPr="0041697C">
        <w:rPr>
          <w:vertAlign w:val="superscript"/>
        </w:rPr>
        <w:t>2</w:t>
      </w:r>
      <w:r w:rsidR="0041697C">
        <w:fldChar w:fldCharType="end"/>
      </w:r>
      <w:r w:rsidRPr="00B02E99">
        <w:t>. Specifically, the probability density function (PDF) for the incubation distribution is</w:t>
      </w:r>
    </w:p>
    <w:p w14:paraId="655CC0A2" w14:textId="77777777" w:rsidR="00377EBF" w:rsidRPr="00B02E99" w:rsidRDefault="00377EBF" w:rsidP="00D3665E"/>
    <w:p w14:paraId="24D66D1C" w14:textId="77777777" w:rsidR="00D3665E" w:rsidRPr="00B02E99" w:rsidRDefault="00D3665E" w:rsidP="00D3665E">
      <w:pPr>
        <w:jc w:val="center"/>
        <w:rPr>
          <w:iCs/>
        </w:rPr>
      </w:pPr>
      <m:oMathPara>
        <m:oMath>
          <m:r>
            <w:rPr>
              <w:rFonts w:ascii="Cambria Math" w:hAnsi="Cambria Math"/>
            </w:rPr>
            <m:t>p</m:t>
          </m:r>
          <m:d>
            <m:dPr>
              <m:ctrlPr>
                <w:rPr>
                  <w:rFonts w:ascii="Cambria Math" w:hAnsi="Cambria Math"/>
                  <w:i/>
                  <w:iCs/>
                </w:rPr>
              </m:ctrlPr>
            </m:dPr>
            <m:e>
              <m:r>
                <w:rPr>
                  <w:rFonts w:ascii="Cambria Math" w:hAnsi="Cambria Math"/>
                </w:rPr>
                <m:t>x</m:t>
              </m:r>
            </m:e>
          </m:d>
          <m:r>
            <w:rPr>
              <w:rFonts w:ascii="Cambria Math" w:hAnsi="Cambria Math"/>
            </w:rPr>
            <m:t>=</m:t>
          </m:r>
          <m:f>
            <m:fPr>
              <m:ctrlPr>
                <w:rPr>
                  <w:rFonts w:ascii="Cambria Math" w:hAnsi="Cambria Math"/>
                  <w:i/>
                  <w:iCs/>
                </w:rPr>
              </m:ctrlPr>
            </m:fPr>
            <m:num>
              <m:r>
                <w:rPr>
                  <w:rFonts w:ascii="Cambria Math" w:hAnsi="Cambria Math"/>
                </w:rPr>
                <m:t>k</m:t>
              </m:r>
            </m:num>
            <m:den>
              <m:r>
                <w:rPr>
                  <w:rFonts w:ascii="Cambria Math" w:hAnsi="Cambria Math"/>
                </w:rPr>
                <m:t>λ</m:t>
              </m:r>
            </m:den>
          </m:f>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w:rPr>
                          <w:rFonts w:ascii="Cambria Math" w:hAnsi="Cambria Math"/>
                        </w:rPr>
                        <m:t>x</m:t>
                      </m:r>
                    </m:num>
                    <m:den>
                      <m:r>
                        <w:rPr>
                          <w:rFonts w:ascii="Cambria Math" w:hAnsi="Cambria Math"/>
                        </w:rPr>
                        <m:t>λ</m:t>
                      </m:r>
                    </m:den>
                  </m:f>
                </m:e>
              </m:d>
            </m:e>
            <m:sup>
              <m:r>
                <w:rPr>
                  <w:rFonts w:ascii="Cambria Math" w:hAnsi="Cambria Math"/>
                </w:rPr>
                <m:t>k-1</m:t>
              </m:r>
            </m:sup>
          </m:sSup>
          <m:sSup>
            <m:sSupPr>
              <m:ctrlPr>
                <w:rPr>
                  <w:rFonts w:ascii="Cambria Math" w:hAnsi="Cambria Math"/>
                  <w:i/>
                  <w:iCs/>
                </w:rPr>
              </m:ctrlPr>
            </m:sSupPr>
            <m:e>
              <m:r>
                <w:rPr>
                  <w:rFonts w:ascii="Cambria Math" w:hAnsi="Cambria Math"/>
                </w:rPr>
                <m:t>e</m:t>
              </m:r>
            </m:e>
            <m:sup>
              <m:r>
                <w:rPr>
                  <w:rFonts w:ascii="Cambria Math" w:hAnsi="Cambria Math"/>
                </w:rPr>
                <m:t>-</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w:rPr>
                              <w:rFonts w:ascii="Cambria Math" w:hAnsi="Cambria Math"/>
                            </w:rPr>
                            <m:t>x</m:t>
                          </m:r>
                        </m:num>
                        <m:den>
                          <m:r>
                            <w:rPr>
                              <w:rFonts w:ascii="Cambria Math" w:hAnsi="Cambria Math"/>
                            </w:rPr>
                            <m:t>λ</m:t>
                          </m:r>
                        </m:den>
                      </m:f>
                    </m:e>
                  </m:d>
                </m:e>
                <m:sup>
                  <m:r>
                    <w:rPr>
                      <w:rFonts w:ascii="Cambria Math" w:hAnsi="Cambria Math"/>
                    </w:rPr>
                    <m:t>k</m:t>
                  </m:r>
                </m:sup>
              </m:sSup>
            </m:sup>
          </m:sSup>
          <m:r>
            <w:rPr>
              <w:rFonts w:ascii="Cambria Math" w:hAnsi="Cambria Math"/>
            </w:rPr>
            <m:t>,         [1]</m:t>
          </m:r>
        </m:oMath>
      </m:oMathPara>
    </w:p>
    <w:p w14:paraId="5124847E" w14:textId="77777777" w:rsidR="00D3665E" w:rsidRPr="00B02E99" w:rsidRDefault="00D3665E" w:rsidP="00D3665E"/>
    <w:p w14:paraId="00FBADE5" w14:textId="1F333A89" w:rsidR="00D3665E" w:rsidRPr="00B02E99" w:rsidRDefault="00D3665E" w:rsidP="00D3665E">
      <w:r w:rsidRPr="00B02E99">
        <w:t xml:space="preserve">where the </w:t>
      </w:r>
      <w:r w:rsidRPr="00B02E99">
        <w:rPr>
          <w:iCs/>
        </w:rPr>
        <w:t xml:space="preserve">shape parameter </w:t>
      </w:r>
      <m:oMath>
        <m:r>
          <w:rPr>
            <w:rFonts w:ascii="Cambria Math" w:hAnsi="Cambria Math"/>
          </w:rPr>
          <m:t>k=1.58</m:t>
        </m:r>
      </m:oMath>
      <w:r w:rsidRPr="00B02E99">
        <w:rPr>
          <w:iCs/>
        </w:rPr>
        <w:t xml:space="preserve"> and the scale parameter </w:t>
      </w:r>
      <m:oMath>
        <m:r>
          <w:rPr>
            <w:rFonts w:ascii="Cambria Math" w:hAnsi="Cambria Math"/>
          </w:rPr>
          <m:t>λ=7.11</m:t>
        </m:r>
      </m:oMath>
      <w:r w:rsidRPr="00B02E99">
        <w:t>. To estimate infection time, we randomly drew incubation periods (in days) for symptomatic cases from this PDF [1]. We also tested a log-normal incubation distribution estimated using contact tracing data from Shenzhen, China</w:t>
      </w:r>
      <w:r w:rsidR="0041697C">
        <w:fldChar w:fldCharType="begin"/>
      </w:r>
      <w:r w:rsidR="0041697C">
        <w:instrText xml:space="preserve"> ADDIN ZOTERO_ITEM CSL_CITATION {"citationID":"gjmBValM","properties":{"formattedCitation":"\\super 3\\nosupersub{}","plainCitation":"3","noteIndex":0},"citationItems":[{"id":268,"uris":["http://zotero.org/users/6798153/items/95BILF3A"],"itemData":{"id":268,"type":"article-journal","abstract":"Background\nRapid spread of severe acute respiratory syndrome coronavirus 2 (SARS-CoV-2) in Wuhan, China, prompted heightened surveillance in Shenzhen, China. The resulting data provide a rare opportunity to measure key metrics of disease course, transmission, and the impact of control measures.\nMethods\nFrom Jan 14 to Feb 12, 2020, the Shenzhen Center for Disease Control and Prevention identified 391 SARS-CoV-2 cases and 1286 close contacts. We compared cases identified through symptomatic surveillance and contact tracing, and estimated the time from symptom onset to confirmation, isolation, and admission to hospital. We estimated metrics of disease transmission and analysed factors influencing transmission risk.\nFindings\nCases were older than the general population (mean age 45 years) and balanced between males (n=187) and females (n=204). 356 (91%) of 391 cases had mild or moderate clinical severity at initial assessment. As of Feb 22, 2020, three cases had died and 225 had recovered (median time to recovery 21 days; 95% CI 20–22). Cases were isolated on average 4·6 days (95% CI 4·1–5·0) after developing symptoms; contact tracing reduced this by 1·9 days (95% CI 1·1–2·7). Household contacts and those travelling with a case were at higher risk of infection (odds ratio 6·27 [95% CI 1·49–26·33] for household contacts and 7·06 [1·43–34·91] for those travelling with a case) than other close contacts. The household secondary attack rate was 11·2% (95% CI 9·1–13·8), and children were as likely to be infected as adults (infection rate 7·4% in children &lt;10 years vs population average of 6·6%). The observed reproductive number (R) was 0·4 (95% CI 0·3–0·5), with a mean serial interval of 6·3 days (95% CI 5·2–7·6).\nInterpretation\nOur data on cases as well as their infected and uninfected close contacts provide key insights into the epidemiology of SARS-CoV-2. This analysis shows that isolation and contact tracing reduce the time during which cases are infectious in the community, thereby reducing the R. The overall impact of isolation and contact tracing, however, is uncertain and highly dependent on the number of asymptomatic cases. Moreover, children are at a similar risk of infection to the general population, although less likely to have severe symptoms; hence they should be considered in analyses of transmission and control.\nFunding\nEmergency Response Program of Harbin Institute of Technology, Emergency Response Program of Peng Cheng Laboratory, US Centers for Disease Control and Prevention.","container-title":"The Lancet Infectious Diseases","DOI":"10.1016/S1473-3099(20)30287-5","ISSN":"1473-3099","issue":"8","journalAbbreviation":"The Lancet Infectious Diseases","language":"en","page":"911-919","source":"ScienceDirect","title":"Epidemiology and transmission of COVID-19 in 391 cases and 1286 of their close contacts in Shenzhen, China: a retrospective cohort study","title-short":"Epidemiology and transmission of COVID-19 in 391 cases and 1286 of their close contacts in Shenzhen, China","volume":"20","author":[{"family":"Bi","given":"Qifang"},{"family":"Wu","given":"Yongsheng"},{"family":"Mei","given":"Shujiang"},{"family":"Ye","given":"Chenfei"},{"family":"Zou","given":"Xuan"},{"family":"Zhang","given":"Zhen"},{"family":"Liu","given":"Xiaojian"},{"family":"Wei","given":"Lan"},{"family":"Truelove","given":"Shaun A"},{"family":"Zhang","given":"Tong"},{"family":"Gao","given":"Wei"},{"family":"Cheng","given":"Cong"},{"family":"Tang","given":"Xiujuan"},{"family":"Wu","given":"Xiaoliang"},{"family":"Wu","given":"Yu"},{"family":"Sun","given":"Binbin"},{"family":"Huang","given":"Suli"},{"family":"Sun","given":"Yu"},{"family":"Zhang","given":"Juncen"},{"family":"Ma","given":"Ting"},{"family":"Lessler","given":"Justin"},{"family":"Feng","given":"Tiejian"}],"issued":{"date-parts":[["2020",8,1]]}}}],"schema":"https://github.com/citation-style-language/schema/raw/master/csl-citation.json"} </w:instrText>
      </w:r>
      <w:r w:rsidR="0041697C">
        <w:fldChar w:fldCharType="separate"/>
      </w:r>
      <w:r w:rsidR="0041697C" w:rsidRPr="0041697C">
        <w:rPr>
          <w:vertAlign w:val="superscript"/>
        </w:rPr>
        <w:t>3</w:t>
      </w:r>
      <w:r w:rsidR="0041697C">
        <w:fldChar w:fldCharType="end"/>
      </w:r>
      <w:r w:rsidRPr="00B02E99">
        <w:t>. The transmission network remained similar.</w:t>
      </w:r>
    </w:p>
    <w:p w14:paraId="524ACEAE" w14:textId="77777777" w:rsidR="00D3665E" w:rsidRPr="00B02E99" w:rsidRDefault="00D3665E" w:rsidP="00D3665E"/>
    <w:p w14:paraId="1AE7D4A9" w14:textId="77777777" w:rsidR="00D3665E" w:rsidRPr="00B02E99" w:rsidRDefault="00D3665E" w:rsidP="00D3665E">
      <w:r w:rsidRPr="00B02E99">
        <w:t xml:space="preserve">For cases without symptoms, we used specimen collection date to estimate infection date. Denote </w:t>
      </w:r>
      <m:oMath>
        <m:sSub>
          <m:sSubPr>
            <m:ctrlPr>
              <w:rPr>
                <w:rFonts w:ascii="Cambria Math" w:hAnsi="Cambria Math"/>
                <w:i/>
              </w:rPr>
            </m:ctrlPr>
          </m:sSubPr>
          <m:e>
            <m:r>
              <w:rPr>
                <w:rFonts w:ascii="Cambria Math" w:hAnsi="Cambria Math"/>
              </w:rPr>
              <m:t>t</m:t>
            </m:r>
          </m:e>
          <m:sub>
            <m:r>
              <w:rPr>
                <w:rFonts w:ascii="Cambria Math" w:hAnsi="Cambria Math"/>
              </w:rPr>
              <m:t>inf→test</m:t>
            </m:r>
          </m:sub>
        </m:sSub>
      </m:oMath>
      <w:r w:rsidRPr="00B02E99">
        <w:t xml:space="preserve"> as the interval from infection to specimen collection date. We aim to estimate </w:t>
      </w:r>
      <m:oMath>
        <m:sSub>
          <m:sSubPr>
            <m:ctrlPr>
              <w:rPr>
                <w:rFonts w:ascii="Cambria Math" w:hAnsi="Cambria Math"/>
                <w:i/>
              </w:rPr>
            </m:ctrlPr>
          </m:sSubPr>
          <m:e>
            <m:r>
              <w:rPr>
                <w:rFonts w:ascii="Cambria Math" w:hAnsi="Cambria Math"/>
              </w:rPr>
              <m:t>t</m:t>
            </m:r>
          </m:e>
          <m:sub>
            <m:r>
              <w:rPr>
                <w:rFonts w:ascii="Cambria Math" w:hAnsi="Cambria Math"/>
              </w:rPr>
              <m:t>inf→test</m:t>
            </m:r>
          </m:sub>
        </m:sSub>
      </m:oMath>
      <w:r w:rsidRPr="00B02E99">
        <w:t xml:space="preserve"> given a person tested positive, i.e., </w:t>
      </w: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inf→test</m:t>
                </m:r>
              </m:sub>
            </m:sSub>
          </m:e>
          <m:e>
            <m:r>
              <w:rPr>
                <w:rFonts w:ascii="Cambria Math" w:hAnsi="Cambria Math"/>
              </w:rPr>
              <m:t>positive</m:t>
            </m:r>
          </m:e>
        </m:d>
      </m:oMath>
      <w:r w:rsidRPr="00B02E99">
        <w:t>. Using Bayes’ rule, we have the following relation:</w:t>
      </w:r>
    </w:p>
    <w:p w14:paraId="4AD62877" w14:textId="77777777" w:rsidR="00D3665E" w:rsidRPr="00B02E99" w:rsidRDefault="00D3665E" w:rsidP="00D3665E"/>
    <w:p w14:paraId="14DB4B9A" w14:textId="77777777" w:rsidR="00D3665E" w:rsidRPr="00B02E99" w:rsidRDefault="00D3665E" w:rsidP="00D3665E">
      <m:oMathPara>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inf→test</m:t>
                  </m:r>
                </m:sub>
              </m:sSub>
            </m:e>
            <m:e>
              <m:r>
                <w:rPr>
                  <w:rFonts w:ascii="Cambria Math" w:hAnsi="Cambria Math"/>
                </w:rPr>
                <m:t>positive</m:t>
              </m:r>
            </m:e>
          </m:d>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inf→test</m:t>
                  </m:r>
                </m:sub>
              </m:sSub>
            </m:e>
          </m:d>
          <m:r>
            <w:rPr>
              <w:rFonts w:ascii="Cambria Math" w:hAnsi="Cambria Math"/>
            </w:rPr>
            <m:t>P</m:t>
          </m:r>
          <m:d>
            <m:dPr>
              <m:ctrlPr>
                <w:rPr>
                  <w:rFonts w:ascii="Cambria Math" w:hAnsi="Cambria Math"/>
                  <w:i/>
                </w:rPr>
              </m:ctrlPr>
            </m:dPr>
            <m:e>
              <m:r>
                <w:rPr>
                  <w:rFonts w:ascii="Cambria Math" w:hAnsi="Cambria Math"/>
                </w:rPr>
                <m:t>positive</m:t>
              </m:r>
            </m:e>
            <m:e>
              <m:sSub>
                <m:sSubPr>
                  <m:ctrlPr>
                    <w:rPr>
                      <w:rFonts w:ascii="Cambria Math" w:hAnsi="Cambria Math"/>
                      <w:i/>
                    </w:rPr>
                  </m:ctrlPr>
                </m:sSubPr>
                <m:e>
                  <m:r>
                    <w:rPr>
                      <w:rFonts w:ascii="Cambria Math" w:hAnsi="Cambria Math"/>
                    </w:rPr>
                    <m:t>t</m:t>
                  </m:r>
                </m:e>
                <m:sub>
                  <m:r>
                    <w:rPr>
                      <w:rFonts w:ascii="Cambria Math" w:hAnsi="Cambria Math"/>
                    </w:rPr>
                    <m:t>inf→test</m:t>
                  </m:r>
                </m:sub>
              </m:sSub>
            </m:e>
          </m:d>
          <m:r>
            <w:rPr>
              <w:rFonts w:ascii="Cambria Math" w:hAnsi="Cambria Math"/>
            </w:rPr>
            <m:t>.        [2]</m:t>
          </m:r>
        </m:oMath>
      </m:oMathPara>
    </w:p>
    <w:p w14:paraId="3BF01BC7" w14:textId="77777777" w:rsidR="00D3665E" w:rsidRPr="00B02E99" w:rsidRDefault="00D3665E" w:rsidP="00D3665E"/>
    <w:p w14:paraId="05666A0D" w14:textId="77777777" w:rsidR="00D3665E" w:rsidRPr="00B02E99" w:rsidRDefault="00D3665E" w:rsidP="00D3665E">
      <w:r w:rsidRPr="00B02E99">
        <w:t xml:space="preserve">Here </w:t>
      </w: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inf→test</m:t>
                </m:r>
              </m:sub>
            </m:sSub>
          </m:e>
        </m:d>
      </m:oMath>
      <w:r w:rsidRPr="00B02E99">
        <w:t xml:space="preserve"> is the prior and </w:t>
      </w:r>
      <m:oMath>
        <m:r>
          <w:rPr>
            <w:rFonts w:ascii="Cambria Math" w:hAnsi="Cambria Math"/>
          </w:rPr>
          <m:t>P</m:t>
        </m:r>
        <m:d>
          <m:dPr>
            <m:ctrlPr>
              <w:rPr>
                <w:rFonts w:ascii="Cambria Math" w:hAnsi="Cambria Math"/>
                <w:i/>
              </w:rPr>
            </m:ctrlPr>
          </m:dPr>
          <m:e>
            <m:r>
              <w:rPr>
                <w:rFonts w:ascii="Cambria Math" w:hAnsi="Cambria Math"/>
              </w:rPr>
              <m:t>positive</m:t>
            </m:r>
          </m:e>
          <m:e>
            <m:sSub>
              <m:sSubPr>
                <m:ctrlPr>
                  <w:rPr>
                    <w:rFonts w:ascii="Cambria Math" w:hAnsi="Cambria Math"/>
                    <w:i/>
                  </w:rPr>
                </m:ctrlPr>
              </m:sSubPr>
              <m:e>
                <m:r>
                  <w:rPr>
                    <w:rFonts w:ascii="Cambria Math" w:hAnsi="Cambria Math"/>
                  </w:rPr>
                  <m:t>t</m:t>
                </m:r>
              </m:e>
              <m:sub>
                <m:r>
                  <w:rPr>
                    <w:rFonts w:ascii="Cambria Math" w:hAnsi="Cambria Math"/>
                  </w:rPr>
                  <m:t>inf→test</m:t>
                </m:r>
              </m:sub>
            </m:sSub>
          </m:e>
        </m:d>
      </m:oMath>
      <w:r w:rsidRPr="00B02E99">
        <w:t xml:space="preserve"> is the likelihood of testing positive given that specimens were collected </w:t>
      </w:r>
      <m:oMath>
        <m:sSub>
          <m:sSubPr>
            <m:ctrlPr>
              <w:rPr>
                <w:rFonts w:ascii="Cambria Math" w:hAnsi="Cambria Math"/>
                <w:i/>
              </w:rPr>
            </m:ctrlPr>
          </m:sSubPr>
          <m:e>
            <m:r>
              <w:rPr>
                <w:rFonts w:ascii="Cambria Math" w:hAnsi="Cambria Math"/>
              </w:rPr>
              <m:t>t</m:t>
            </m:r>
          </m:e>
          <m:sub>
            <m:r>
              <w:rPr>
                <w:rFonts w:ascii="Cambria Math" w:hAnsi="Cambria Math"/>
              </w:rPr>
              <m:t>inf→test</m:t>
            </m:r>
          </m:sub>
        </m:sSub>
      </m:oMath>
      <w:r w:rsidRPr="00B02E99">
        <w:t xml:space="preserve"> days after infection.</w:t>
      </w:r>
    </w:p>
    <w:p w14:paraId="44FF3682" w14:textId="77777777" w:rsidR="00D3665E" w:rsidRPr="00B02E99" w:rsidRDefault="00D3665E" w:rsidP="00D3665E"/>
    <w:p w14:paraId="0DDB0580" w14:textId="5ABD8030" w:rsidR="00D3665E" w:rsidRPr="00B02E99" w:rsidRDefault="00D3665E" w:rsidP="00D3665E">
      <w:r w:rsidRPr="00B02E99">
        <w:t xml:space="preserve">The prior </w:t>
      </w: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inf→test</m:t>
                </m:r>
              </m:sub>
            </m:sSub>
          </m:e>
        </m:d>
      </m:oMath>
      <w:r w:rsidRPr="00B02E99">
        <w:t xml:space="preserve"> can be approximated using the interval from infection to specimen collection date for symptomatic cases, which provides a roughly plausible range of </w:t>
      </w:r>
      <m:oMath>
        <m:sSub>
          <m:sSubPr>
            <m:ctrlPr>
              <w:rPr>
                <w:rFonts w:ascii="Cambria Math" w:hAnsi="Cambria Math"/>
                <w:i/>
              </w:rPr>
            </m:ctrlPr>
          </m:sSubPr>
          <m:e>
            <m:r>
              <w:rPr>
                <w:rFonts w:ascii="Cambria Math" w:hAnsi="Cambria Math"/>
              </w:rPr>
              <m:t>t</m:t>
            </m:r>
          </m:e>
          <m:sub>
            <m:r>
              <w:rPr>
                <w:rFonts w:ascii="Cambria Math" w:hAnsi="Cambria Math"/>
              </w:rPr>
              <m:t>inf→test</m:t>
            </m:r>
          </m:sub>
        </m:sSub>
      </m:oMath>
      <w:r w:rsidRPr="00B02E99">
        <w:t xml:space="preserve">. For each tested symptomatic case, </w:t>
      </w:r>
      <m:oMath>
        <m:sSub>
          <m:sSubPr>
            <m:ctrlPr>
              <w:rPr>
                <w:rFonts w:ascii="Cambria Math" w:hAnsi="Cambria Math"/>
                <w:i/>
              </w:rPr>
            </m:ctrlPr>
          </m:sSubPr>
          <m:e>
            <m:r>
              <w:rPr>
                <w:rFonts w:ascii="Cambria Math" w:hAnsi="Cambria Math"/>
              </w:rPr>
              <m:t>t</m:t>
            </m:r>
          </m:e>
          <m:sub>
            <m:r>
              <w:rPr>
                <w:rFonts w:ascii="Cambria Math" w:hAnsi="Cambria Math"/>
              </w:rPr>
              <m:t>inf→test</m:t>
            </m:r>
          </m:sub>
        </m:sSub>
      </m:oMath>
      <w:r w:rsidRPr="00B02E99">
        <w:t xml:space="preserve"> is the sum of the sampled incubation period (from infection to symptom onset) and the time from symptom onset to specimen collection date, available in the dataset. The distribution of the prior </w:t>
      </w: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inf→test</m:t>
                </m:r>
              </m:sub>
            </m:sSub>
          </m:e>
        </m:d>
      </m:oMath>
      <w:r w:rsidRPr="00B02E99">
        <w:t xml:space="preserve"> is shown in </w:t>
      </w:r>
      <w:r w:rsidR="0041697C">
        <w:t xml:space="preserve">Extended Data </w:t>
      </w:r>
      <w:r w:rsidRPr="00B02E99">
        <w:t>Fig. 2</w:t>
      </w:r>
      <w:r w:rsidR="0041697C">
        <w:t>a</w:t>
      </w:r>
      <w:r w:rsidRPr="00B02E99">
        <w:t>.</w:t>
      </w:r>
    </w:p>
    <w:p w14:paraId="266EC509" w14:textId="77777777" w:rsidR="00D3665E" w:rsidRPr="00B02E99" w:rsidRDefault="00D3665E" w:rsidP="00D3665E"/>
    <w:p w14:paraId="0289B354" w14:textId="14890987" w:rsidR="00D3665E" w:rsidRPr="00B02E99" w:rsidRDefault="00D3665E" w:rsidP="00D3665E">
      <w:r w:rsidRPr="00B02E99">
        <w:t xml:space="preserve">The likelihood </w:t>
      </w:r>
      <m:oMath>
        <m:r>
          <w:rPr>
            <w:rFonts w:ascii="Cambria Math" w:hAnsi="Cambria Math"/>
          </w:rPr>
          <m:t>P</m:t>
        </m:r>
        <m:d>
          <m:dPr>
            <m:ctrlPr>
              <w:rPr>
                <w:rFonts w:ascii="Cambria Math" w:hAnsi="Cambria Math"/>
                <w:i/>
              </w:rPr>
            </m:ctrlPr>
          </m:dPr>
          <m:e>
            <m:r>
              <w:rPr>
                <w:rFonts w:ascii="Cambria Math" w:hAnsi="Cambria Math"/>
              </w:rPr>
              <m:t>positive</m:t>
            </m:r>
          </m:e>
          <m:e>
            <m:sSub>
              <m:sSubPr>
                <m:ctrlPr>
                  <w:rPr>
                    <w:rFonts w:ascii="Cambria Math" w:hAnsi="Cambria Math"/>
                    <w:i/>
                  </w:rPr>
                </m:ctrlPr>
              </m:sSubPr>
              <m:e>
                <m:r>
                  <w:rPr>
                    <w:rFonts w:ascii="Cambria Math" w:hAnsi="Cambria Math"/>
                  </w:rPr>
                  <m:t>t</m:t>
                </m:r>
              </m:e>
              <m:sub>
                <m:r>
                  <w:rPr>
                    <w:rFonts w:ascii="Cambria Math" w:hAnsi="Cambria Math"/>
                  </w:rPr>
                  <m:t>inf→test</m:t>
                </m:r>
              </m:sub>
            </m:sSub>
          </m:e>
        </m:d>
      </m:oMath>
      <w:r w:rsidRPr="00B02E99">
        <w:t xml:space="preserve"> was estimated using viral dynamics and limits of detection (LOD) for PCR tests. Following </w:t>
      </w:r>
      <w:proofErr w:type="spellStart"/>
      <w:r w:rsidRPr="00B02E99">
        <w:t>Larremore</w:t>
      </w:r>
      <w:proofErr w:type="spellEnd"/>
      <w:r w:rsidRPr="00B02E99">
        <w:t xml:space="preserve"> et al.</w:t>
      </w:r>
      <w:r w:rsidR="0041697C">
        <w:fldChar w:fldCharType="begin"/>
      </w:r>
      <w:r w:rsidR="0041697C">
        <w:instrText xml:space="preserve"> ADDIN ZOTERO_ITEM CSL_CITATION {"citationID":"CT1Ulig0","properties":{"formattedCitation":"\\super 4\\nosupersub{}","plainCitation":"4","noteIndex":0},"citationItems":[{"id":241,"uris":["http://zotero.org/users/6798153/items/728URXRD"],"itemData":{"id":241,"type":"article-journal","abstract":"&lt;p&gt;The COVID-19 pandemic has created a public health crisis. Because SARS-CoV-2 can spread from individuals with pre-symptomatic, symptomatic, and asymptomatic infections, the re-opening of societies and the control of virus spread will be facilitated by robust population screening, for which virus testing will often be central. After infection, individuals undergo a period of incubation during which viral titers are usually too low to detect, followed by an exponential viral growth, leading to a peak viral load and infectiousness, and ending with declining viral levels and clearance. Given the pattern of viral load kinetics, we model the effectiveness of repeated population screening considering test sensitivities, frequency, and sample-to-answer reporting time. These results demonstrate that effective screening depends largely on frequency of testing and the speed of reporting, and is only marginally improved by high test sensitivity. We therefore conclude that screening should prioritize accessibility, frequency, and sample-to-answer time; analytical limits of detection should be secondary.&lt;/p&gt;","container-title":"Science Advances","DOI":"10.1126/sciadv.abd5393","ISSN":"2375-2548","language":"en","note":"publisher: American Association for the Advancement of Science\nsection: Research Article","page":"eabd5393","source":"advances.sciencemag.org","title":"Test sensitivity is secondary to frequency and turnaround time for COVID-19 screening","author":[{"family":"Larremore","given":"Daniel B."},{"family":"Wilder","given":"Bryan"},{"family":"Lester","given":"Evan"},{"family":"Shehata","given":"Soraya"},{"family":"Burke","given":"James M."},{"family":"Hay","given":"James A."},{"family":"Tambe","given":"Milind"},{"family":"Mina","given":"Michael J."},{"family":"Parker","given":"Roy"}],"issued":{"date-parts":[["2020",11,20]]}}}],"schema":"https://github.com/citation-style-language/schema/raw/master/csl-citation.json"} </w:instrText>
      </w:r>
      <w:r w:rsidR="0041697C">
        <w:fldChar w:fldCharType="separate"/>
      </w:r>
      <w:r w:rsidR="0041697C" w:rsidRPr="0041697C">
        <w:rPr>
          <w:vertAlign w:val="superscript"/>
        </w:rPr>
        <w:t>4</w:t>
      </w:r>
      <w:r w:rsidR="0041697C">
        <w:fldChar w:fldCharType="end"/>
      </w:r>
      <w:r w:rsidRPr="00B02E99">
        <w:t xml:space="preserve">, we generated synthetic viral dynamics in infected persons. The log-transformed viral load (copies/mL), </w:t>
      </w:r>
      <m:oMath>
        <m:r>
          <w:rPr>
            <w:rFonts w:ascii="Cambria Math" w:hAnsi="Cambria Math"/>
          </w:rPr>
          <m:t>V</m:t>
        </m:r>
      </m:oMath>
      <w:r w:rsidRPr="00B02E99">
        <w:t xml:space="preserve">, is a piece-wise linear function of the number of days after infection, </w:t>
      </w:r>
      <m:oMath>
        <m:r>
          <w:rPr>
            <w:rFonts w:ascii="Cambria Math" w:hAnsi="Cambria Math"/>
          </w:rPr>
          <m:t>t</m:t>
        </m:r>
      </m:oMath>
      <w:r w:rsidRPr="00B02E99">
        <w:t xml:space="preserve">. Specifically, the viral dynamics is determined by three control points: </w:t>
      </w:r>
      <m:oMath>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 3)</m:t>
        </m:r>
      </m:oMath>
      <w:r w:rsidRPr="00B02E99">
        <w:t xml:space="preserve">, </w:t>
      </w:r>
      <m:oMath>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peak</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peak</m:t>
            </m:r>
          </m:sub>
        </m:sSub>
        <m:r>
          <w:rPr>
            <w:rFonts w:ascii="Cambria Math" w:hAnsi="Cambria Math"/>
          </w:rPr>
          <m:t>)</m:t>
        </m:r>
      </m:oMath>
      <w:r w:rsidRPr="00B02E99">
        <w:t xml:space="preserve">, and </w:t>
      </w:r>
      <m:oMath>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 6)</m:t>
        </m:r>
      </m:oMath>
      <w:r w:rsidRPr="00B02E99">
        <w:t xml:space="preserve">. Here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sidRPr="00B02E99">
        <w:t xml:space="preserve"> is the time when log viral load reaches 3; </w:t>
      </w:r>
      <m:oMath>
        <m:sSub>
          <m:sSubPr>
            <m:ctrlPr>
              <w:rPr>
                <w:rFonts w:ascii="Cambria Math" w:hAnsi="Cambria Math"/>
                <w:i/>
              </w:rPr>
            </m:ctrlPr>
          </m:sSubPr>
          <m:e>
            <m:r>
              <w:rPr>
                <w:rFonts w:ascii="Cambria Math" w:hAnsi="Cambria Math"/>
              </w:rPr>
              <m:t>t</m:t>
            </m:r>
          </m:e>
          <m:sub>
            <m:r>
              <w:rPr>
                <w:rFonts w:ascii="Cambria Math" w:hAnsi="Cambria Math"/>
              </w:rPr>
              <m:t>peak</m:t>
            </m:r>
          </m:sub>
        </m:sSub>
      </m:oMath>
      <w:r w:rsidRPr="00B02E99">
        <w:t xml:space="preserve"> is the peak timing of log viral load; </w:t>
      </w:r>
      <m:oMath>
        <m:sSub>
          <m:sSubPr>
            <m:ctrlPr>
              <w:rPr>
                <w:rFonts w:ascii="Cambria Math" w:hAnsi="Cambria Math"/>
                <w:i/>
              </w:rPr>
            </m:ctrlPr>
          </m:sSubPr>
          <m:e>
            <m:r>
              <w:rPr>
                <w:rFonts w:ascii="Cambria Math" w:hAnsi="Cambria Math"/>
              </w:rPr>
              <m:t>V</m:t>
            </m:r>
          </m:e>
          <m:sub>
            <m:r>
              <w:rPr>
                <w:rFonts w:ascii="Cambria Math" w:hAnsi="Cambria Math"/>
              </w:rPr>
              <m:t>peak</m:t>
            </m:r>
          </m:sub>
        </m:sSub>
      </m:oMath>
      <w:r w:rsidRPr="00B02E99">
        <w:t xml:space="preserve"> is the peak magnitude of log viral load; and </w:t>
      </w:r>
      <m:oMath>
        <m:sSub>
          <m:sSubPr>
            <m:ctrlPr>
              <w:rPr>
                <w:rFonts w:ascii="Cambria Math" w:hAnsi="Cambria Math"/>
                <w:i/>
              </w:rPr>
            </m:ctrlPr>
          </m:sSubPr>
          <m:e>
            <m:r>
              <w:rPr>
                <w:rFonts w:ascii="Cambria Math" w:hAnsi="Cambria Math"/>
              </w:rPr>
              <m:t>t</m:t>
            </m:r>
          </m:e>
          <m:sub>
            <m:r>
              <w:rPr>
                <w:rFonts w:ascii="Cambria Math" w:hAnsi="Cambria Math"/>
              </w:rPr>
              <m:t>f</m:t>
            </m:r>
          </m:sub>
        </m:sSub>
      </m:oMath>
      <w:r w:rsidRPr="00B02E99">
        <w:t xml:space="preserve"> is the time when log viral load falls to 6. The mean log viral load was computed using the following function:</w:t>
      </w:r>
    </w:p>
    <w:p w14:paraId="77B154CF" w14:textId="77777777" w:rsidR="00D3665E" w:rsidRPr="00B02E99" w:rsidRDefault="00D3665E" w:rsidP="00D3665E"/>
    <w:p w14:paraId="690F8B5A" w14:textId="77777777" w:rsidR="00D3665E" w:rsidRPr="00B02E99" w:rsidRDefault="00000000" w:rsidP="00D3665E">
      <m:oMathPara>
        <m:oMath>
          <m:acc>
            <m:accPr>
              <m:chr m:val="̅"/>
              <m:ctrlPr>
                <w:rPr>
                  <w:rFonts w:ascii="Cambria Math" w:hAnsi="Cambria Math"/>
                  <w:i/>
                </w:rPr>
              </m:ctrlPr>
            </m:accPr>
            <m:e>
              <m:r>
                <w:rPr>
                  <w:rFonts w:ascii="Cambria Math" w:hAnsi="Cambria Math"/>
                </w:rPr>
                <m:t>V</m:t>
              </m:r>
            </m:e>
          </m:acc>
          <m:r>
            <w:rPr>
              <w:rFonts w:ascii="Cambria Math" w:hAnsi="Cambria Math"/>
            </w:rPr>
            <m:t>(t)=</m:t>
          </m:r>
          <m:d>
            <m:dPr>
              <m:begChr m:val="{"/>
              <m:endChr m:val=""/>
              <m:ctrlPr>
                <w:rPr>
                  <w:rFonts w:ascii="Cambria Math" w:hAnsi="Cambria Math"/>
                  <w:i/>
                </w:rPr>
              </m:ctrlPr>
            </m:dPr>
            <m:e>
              <m:eqArr>
                <m:eqArrPr>
                  <m:ctrlPr>
                    <w:rPr>
                      <w:rFonts w:ascii="Cambria Math" w:hAnsi="Cambria Math"/>
                      <w:i/>
                    </w:rPr>
                  </m:ctrlPr>
                </m:eqArrPr>
                <m:e>
                  <m:f>
                    <m:fPr>
                      <m:ctrlPr>
                        <w:rPr>
                          <w:rFonts w:ascii="Cambria Math" w:hAnsi="Cambria Math"/>
                          <w:i/>
                        </w:rPr>
                      </m:ctrlPr>
                    </m:fPr>
                    <m:num>
                      <m:r>
                        <w:rPr>
                          <w:rFonts w:ascii="Cambria Math" w:hAnsi="Cambria Math"/>
                        </w:rPr>
                        <m:t>3t</m:t>
                      </m:r>
                    </m:num>
                    <m:den>
                      <m:sSub>
                        <m:sSubPr>
                          <m:ctrlPr>
                            <w:rPr>
                              <w:rFonts w:ascii="Cambria Math" w:hAnsi="Cambria Math"/>
                              <w:i/>
                            </w:rPr>
                          </m:ctrlPr>
                        </m:sSubPr>
                        <m:e>
                          <m:r>
                            <w:rPr>
                              <w:rFonts w:ascii="Cambria Math" w:hAnsi="Cambria Math"/>
                            </w:rPr>
                            <m:t>t</m:t>
                          </m:r>
                        </m:e>
                        <m:sub>
                          <m:r>
                            <w:rPr>
                              <w:rFonts w:ascii="Cambria Math" w:hAnsi="Cambria Math"/>
                            </w:rPr>
                            <m:t>0</m:t>
                          </m:r>
                        </m:sub>
                      </m:sSub>
                    </m:den>
                  </m:f>
                  <m:r>
                    <w:rPr>
                      <w:rFonts w:ascii="Cambria Math" w:hAnsi="Cambria Math"/>
                    </w:rPr>
                    <m:t>, t≤</m:t>
                  </m:r>
                  <m:sSub>
                    <m:sSubPr>
                      <m:ctrlPr>
                        <w:rPr>
                          <w:rFonts w:ascii="Cambria Math" w:hAnsi="Cambria Math"/>
                          <w:i/>
                        </w:rPr>
                      </m:ctrlPr>
                    </m:sSubPr>
                    <m:e>
                      <m:r>
                        <w:rPr>
                          <w:rFonts w:ascii="Cambria Math" w:hAnsi="Cambria Math"/>
                        </w:rPr>
                        <m:t>t</m:t>
                      </m:r>
                    </m:e>
                    <m:sub>
                      <m:r>
                        <w:rPr>
                          <w:rFonts w:ascii="Cambria Math" w:hAnsi="Cambria Math"/>
                        </w:rPr>
                        <m:t>0</m:t>
                      </m:r>
                    </m:sub>
                  </m:sSub>
                </m:e>
                <m:e>
                  <m:r>
                    <w:rPr>
                      <w:rFonts w:ascii="Cambria Math" w:hAnsi="Cambria Math"/>
                    </w:rPr>
                    <m:t>3+</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peak</m:t>
                              </m:r>
                            </m:sub>
                          </m:sSub>
                          <m:r>
                            <w:rPr>
                              <w:rFonts w:ascii="Cambria Math" w:hAnsi="Cambria Math"/>
                            </w:rPr>
                            <m:t>-3</m:t>
                          </m:r>
                        </m:e>
                      </m:d>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0</m:t>
                              </m:r>
                            </m:sub>
                          </m:sSub>
                        </m:e>
                      </m:d>
                    </m:num>
                    <m:den>
                      <m:sSub>
                        <m:sSubPr>
                          <m:ctrlPr>
                            <w:rPr>
                              <w:rFonts w:ascii="Cambria Math" w:hAnsi="Cambria Math"/>
                              <w:i/>
                            </w:rPr>
                          </m:ctrlPr>
                        </m:sSubPr>
                        <m:e>
                          <m:r>
                            <w:rPr>
                              <w:rFonts w:ascii="Cambria Math" w:hAnsi="Cambria Math"/>
                            </w:rPr>
                            <m:t>t</m:t>
                          </m:r>
                        </m:e>
                        <m:sub>
                          <m:r>
                            <w:rPr>
                              <w:rFonts w:ascii="Cambria Math" w:hAnsi="Cambria Math"/>
                            </w:rPr>
                            <m:t>peak</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den>
                  </m:f>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&lt;t≤</m:t>
                  </m:r>
                  <m:sSub>
                    <m:sSubPr>
                      <m:ctrlPr>
                        <w:rPr>
                          <w:rFonts w:ascii="Cambria Math" w:hAnsi="Cambria Math"/>
                          <w:i/>
                        </w:rPr>
                      </m:ctrlPr>
                    </m:sSubPr>
                    <m:e>
                      <m:r>
                        <w:rPr>
                          <w:rFonts w:ascii="Cambria Math" w:hAnsi="Cambria Math"/>
                        </w:rPr>
                        <m:t>t</m:t>
                      </m:r>
                    </m:e>
                    <m:sub>
                      <m:r>
                        <w:rPr>
                          <w:rFonts w:ascii="Cambria Math" w:hAnsi="Cambria Math"/>
                        </w:rPr>
                        <m:t>peak</m:t>
                      </m:r>
                    </m:sub>
                  </m:sSub>
                </m:e>
                <m:e>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peak</m:t>
                              </m:r>
                            </m:sub>
                          </m:sSub>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peak</m:t>
                                      </m:r>
                                    </m:sub>
                                  </m:sSub>
                                  <m:r>
                                    <w:rPr>
                                      <w:rFonts w:ascii="Cambria Math" w:hAnsi="Cambria Math"/>
                                    </w:rPr>
                                    <m:t>-6</m:t>
                                  </m:r>
                                </m:e>
                              </m:d>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peak</m:t>
                                      </m:r>
                                    </m:sub>
                                  </m:sSub>
                                </m:e>
                              </m:d>
                            </m:num>
                            <m:den>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peak</m:t>
                                  </m:r>
                                </m:sub>
                              </m:sSub>
                            </m:den>
                          </m:f>
                          <m:r>
                            <w:rPr>
                              <w:rFonts w:ascii="Cambria Math" w:hAnsi="Cambria Math"/>
                            </w:rPr>
                            <m:t>,0</m:t>
                          </m:r>
                        </m:e>
                      </m:d>
                    </m:e>
                  </m:func>
                  <m:r>
                    <w:rPr>
                      <w:rFonts w:ascii="Cambria Math" w:hAnsi="Cambria Math"/>
                    </w:rPr>
                    <m:t>, t&gt;</m:t>
                  </m:r>
                  <m:sSub>
                    <m:sSubPr>
                      <m:ctrlPr>
                        <w:rPr>
                          <w:rFonts w:ascii="Cambria Math" w:hAnsi="Cambria Math"/>
                          <w:i/>
                        </w:rPr>
                      </m:ctrlPr>
                    </m:sSubPr>
                    <m:e>
                      <m:r>
                        <w:rPr>
                          <w:rFonts w:ascii="Cambria Math" w:hAnsi="Cambria Math"/>
                        </w:rPr>
                        <m:t>t</m:t>
                      </m:r>
                    </m:e>
                    <m:sub>
                      <m:r>
                        <w:rPr>
                          <w:rFonts w:ascii="Cambria Math" w:hAnsi="Cambria Math"/>
                        </w:rPr>
                        <m:t>peak</m:t>
                      </m:r>
                    </m:sub>
                  </m:sSub>
                </m:e>
              </m:eqArr>
            </m:e>
          </m:d>
          <m:r>
            <w:rPr>
              <w:rFonts w:ascii="Cambria Math" w:hAnsi="Cambria Math"/>
            </w:rPr>
            <m:t xml:space="preserve">        [3]</m:t>
          </m:r>
        </m:oMath>
      </m:oMathPara>
    </w:p>
    <w:p w14:paraId="1461D9BC" w14:textId="77777777" w:rsidR="00D3665E" w:rsidRPr="00B02E99" w:rsidRDefault="00D3665E" w:rsidP="00D3665E"/>
    <w:p w14:paraId="08EAB334" w14:textId="3256F23A" w:rsidR="00D3665E" w:rsidRDefault="00D3665E" w:rsidP="00D3665E">
      <w:r w:rsidRPr="00B02E99">
        <w:t xml:space="preserve">In simulations, the following parameter distributions were used: </w:t>
      </w:r>
      <m:oMath>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∼U(2.5, 3.5)</m:t>
        </m:r>
      </m:oMath>
      <w:r w:rsidRPr="00B02E99">
        <w:t xml:space="preserve">, </w:t>
      </w:r>
      <m:oMath>
        <m:sSub>
          <m:sSubPr>
            <m:ctrlPr>
              <w:rPr>
                <w:rFonts w:ascii="Cambria Math" w:hAnsi="Cambria Math"/>
                <w:i/>
              </w:rPr>
            </m:ctrlPr>
          </m:sSubPr>
          <m:e>
            <m:r>
              <w:rPr>
                <w:rFonts w:ascii="Cambria Math" w:hAnsi="Cambria Math"/>
              </w:rPr>
              <m:t>V</m:t>
            </m:r>
          </m:e>
          <m:sub>
            <m:r>
              <w:rPr>
                <w:rFonts w:ascii="Cambria Math" w:hAnsi="Cambria Math"/>
              </w:rPr>
              <m:t>peak</m:t>
            </m:r>
          </m:sub>
        </m:sSub>
        <m:r>
          <w:rPr>
            <w:rFonts w:ascii="Cambria Math" w:hAnsi="Cambria Math"/>
          </w:rPr>
          <m:t>∼U[7,11]</m:t>
        </m:r>
      </m:oMath>
      <w:r w:rsidRPr="00B02E99">
        <w:t xml:space="preserve">, </w:t>
      </w:r>
      <m:oMath>
        <m:sSub>
          <m:sSubPr>
            <m:ctrlPr>
              <w:rPr>
                <w:rFonts w:ascii="Cambria Math" w:hAnsi="Cambria Math"/>
                <w:i/>
              </w:rPr>
            </m:ctrlPr>
          </m:sSubPr>
          <m:e>
            <m:r>
              <w:rPr>
                <w:rFonts w:ascii="Cambria Math" w:hAnsi="Cambria Math"/>
              </w:rPr>
              <m:t>t</m:t>
            </m:r>
          </m:e>
          <m:sub>
            <m:r>
              <w:rPr>
                <w:rFonts w:ascii="Cambria Math" w:hAnsi="Cambria Math"/>
              </w:rPr>
              <m:t>peak</m:t>
            </m:r>
          </m:sub>
        </m:sSub>
        <m:r>
          <w:rPr>
            <w:rFonts w:ascii="Cambria Math" w:hAnsi="Cambria Math"/>
          </w:rPr>
          <m:t>~</m:t>
        </m:r>
        <m:func>
          <m:funcPr>
            <m:ctrlPr>
              <w:rPr>
                <w:rFonts w:ascii="Cambria Math" w:hAnsi="Cambria Math"/>
                <w:i/>
              </w:rPr>
            </m:ctrlPr>
          </m:funcPr>
          <m:fName>
            <m:r>
              <m:rPr>
                <m:sty m:val="p"/>
              </m:rPr>
              <w:rPr>
                <w:rFonts w:ascii="Cambria Math" w:hAnsi="Cambria Math"/>
              </w:rPr>
              <m:t>min</m:t>
            </m:r>
          </m:fName>
          <m:e>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+0.5+Γ</m:t>
                </m:r>
                <m:d>
                  <m:dPr>
                    <m:ctrlPr>
                      <w:rPr>
                        <w:rFonts w:ascii="Cambria Math" w:hAnsi="Cambria Math"/>
                        <w:i/>
                      </w:rPr>
                    </m:ctrlPr>
                  </m:dPr>
                  <m:e>
                    <m:r>
                      <w:rPr>
                        <w:rFonts w:ascii="Cambria Math" w:hAnsi="Cambria Math"/>
                      </w:rPr>
                      <m:t>1.5,1</m:t>
                    </m:r>
                  </m:e>
                </m:d>
                <m:r>
                  <w:rPr>
                    <w:rFonts w:ascii="Cambria Math" w:hAnsi="Cambria Math"/>
                  </w:rPr>
                  <m:t>, 3</m:t>
                </m:r>
              </m:e>
            </m:d>
          </m:e>
        </m:func>
      </m:oMath>
      <w:r w:rsidRPr="00B02E99">
        <w:t xml:space="preserve">, and </w:t>
      </w:r>
      <m:oMath>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peak</m:t>
            </m:r>
          </m:sub>
        </m:sSub>
        <m:r>
          <w:rPr>
            <w:rFonts w:ascii="Cambria Math" w:hAnsi="Cambria Math"/>
          </w:rPr>
          <m:t>+U(2,6)</m:t>
        </m:r>
      </m:oMath>
      <w:r w:rsidRPr="00B02E99">
        <w:t xml:space="preserve">. Here </w:t>
      </w:r>
      <m:oMath>
        <m:r>
          <w:rPr>
            <w:rFonts w:ascii="Cambria Math" w:hAnsi="Cambria Math"/>
          </w:rPr>
          <m:t>U(a,b)</m:t>
        </m:r>
      </m:oMath>
      <w:r w:rsidRPr="00B02E99">
        <w:t xml:space="preserve"> is a uniform distribution between </w:t>
      </w:r>
      <m:oMath>
        <m:r>
          <w:rPr>
            <w:rFonts w:ascii="Cambria Math" w:hAnsi="Cambria Math"/>
          </w:rPr>
          <m:t>a</m:t>
        </m:r>
      </m:oMath>
      <w:r w:rsidRPr="00B02E99">
        <w:t xml:space="preserve"> and </w:t>
      </w:r>
      <m:oMath>
        <m:r>
          <w:rPr>
            <w:rFonts w:ascii="Cambria Math" w:hAnsi="Cambria Math"/>
          </w:rPr>
          <m:t>b</m:t>
        </m:r>
      </m:oMath>
      <w:r w:rsidRPr="00B02E99">
        <w:t>; and</w:t>
      </w:r>
      <m:oMath>
        <m:r>
          <w:rPr>
            <w:rFonts w:ascii="Cambria Math" w:hAnsi="Cambria Math"/>
          </w:rPr>
          <m:t xml:space="preserve"> </m:t>
        </m:r>
        <m:r>
          <m:rPr>
            <m:sty m:val="p"/>
          </m:rPr>
          <w:rPr>
            <w:rFonts w:ascii="Cambria Math" w:hAnsi="Cambria Math"/>
          </w:rPr>
          <m:t>Γ</m:t>
        </m:r>
        <m:r>
          <w:rPr>
            <w:rFonts w:ascii="Cambria Math" w:hAnsi="Cambria Math"/>
          </w:rPr>
          <m:t>(a,b)</m:t>
        </m:r>
      </m:oMath>
      <w:r w:rsidRPr="00B02E99">
        <w:t xml:space="preserve"> is a Gamma distribution with a shape parameter </w:t>
      </w:r>
      <m:oMath>
        <m:r>
          <w:rPr>
            <w:rFonts w:ascii="Cambria Math" w:hAnsi="Cambria Math"/>
          </w:rPr>
          <m:t>a</m:t>
        </m:r>
      </m:oMath>
      <w:r w:rsidRPr="00B02E99">
        <w:t xml:space="preserve"> and a scale parameter </w:t>
      </w:r>
      <m:oMath>
        <m:r>
          <w:rPr>
            <w:rFonts w:ascii="Cambria Math" w:hAnsi="Cambria Math"/>
          </w:rPr>
          <m:t>b</m:t>
        </m:r>
      </m:oMath>
      <w:r w:rsidRPr="00B02E99">
        <w:t xml:space="preserve">. The simulated log viral load on each day </w:t>
      </w:r>
      <m:oMath>
        <m:r>
          <w:rPr>
            <w:rFonts w:ascii="Cambria Math" w:hAnsi="Cambria Math"/>
          </w:rPr>
          <m:t>t</m:t>
        </m:r>
      </m:oMath>
      <w:r w:rsidRPr="00B02E99">
        <w:t xml:space="preserve"> was drawn from a Gaussian distribution:</w:t>
      </w:r>
    </w:p>
    <w:p w14:paraId="4C9759B6" w14:textId="77777777" w:rsidR="00377EBF" w:rsidRPr="00B02E99" w:rsidRDefault="00377EBF" w:rsidP="00D3665E"/>
    <w:p w14:paraId="2EE98452" w14:textId="65596F42" w:rsidR="00D3665E" w:rsidRPr="00377EBF" w:rsidRDefault="00D3665E" w:rsidP="00D3665E">
      <m:oMathPara>
        <m:oMath>
          <m:r>
            <w:rPr>
              <w:rFonts w:ascii="Cambria Math" w:hAnsi="Cambria Math"/>
            </w:rPr>
            <m:t>V</m:t>
          </m:r>
          <m:d>
            <m:dPr>
              <m:ctrlPr>
                <w:rPr>
                  <w:rFonts w:ascii="Cambria Math" w:hAnsi="Cambria Math"/>
                  <w:i/>
                </w:rPr>
              </m:ctrlPr>
            </m:dPr>
            <m:e>
              <m:r>
                <w:rPr>
                  <w:rFonts w:ascii="Cambria Math" w:hAnsi="Cambria Math"/>
                </w:rPr>
                <m:t>t</m:t>
              </m:r>
            </m:e>
          </m:d>
          <m:r>
            <w:rPr>
              <w:rFonts w:ascii="Cambria Math" w:hAnsi="Cambria Math"/>
            </w:rPr>
            <m:t>∼N</m:t>
          </m:r>
          <m:d>
            <m:dPr>
              <m:ctrlPr>
                <w:rPr>
                  <w:rFonts w:ascii="Cambria Math" w:hAnsi="Cambria Math"/>
                  <w:i/>
                </w:rPr>
              </m:ctrlPr>
            </m:dPr>
            <m:e>
              <m:r>
                <w:rPr>
                  <w:rFonts w:ascii="Cambria Math" w:hAnsi="Cambria Math"/>
                </w:rPr>
                <m:t>μ=</m:t>
              </m:r>
              <m:acc>
                <m:accPr>
                  <m:chr m:val="̅"/>
                  <m:ctrlPr>
                    <w:rPr>
                      <w:rFonts w:ascii="Cambria Math" w:hAnsi="Cambria Math"/>
                      <w:i/>
                    </w:rPr>
                  </m:ctrlPr>
                </m:accPr>
                <m:e>
                  <m:r>
                    <w:rPr>
                      <w:rFonts w:ascii="Cambria Math" w:hAnsi="Cambria Math"/>
                    </w:rPr>
                    <m:t>V</m:t>
                  </m:r>
                </m:e>
              </m:acc>
              <m:d>
                <m:dPr>
                  <m:ctrlPr>
                    <w:rPr>
                      <w:rFonts w:ascii="Cambria Math" w:hAnsi="Cambria Math"/>
                      <w:i/>
                    </w:rPr>
                  </m:ctrlPr>
                </m:dPr>
                <m:e>
                  <m:r>
                    <w:rPr>
                      <w:rFonts w:ascii="Cambria Math" w:hAnsi="Cambria Math"/>
                    </w:rPr>
                    <m:t>t</m:t>
                  </m:r>
                </m:e>
              </m:d>
              <m:r>
                <w:rPr>
                  <w:rFonts w:ascii="Cambria Math" w:hAnsi="Cambria Math"/>
                </w:rPr>
                <m:t xml:space="preserve">,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=0.04</m:t>
              </m:r>
              <m:acc>
                <m:accPr>
                  <m:chr m:val="̅"/>
                  <m:ctrlPr>
                    <w:rPr>
                      <w:rFonts w:ascii="Cambria Math" w:hAnsi="Cambria Math"/>
                      <w:i/>
                    </w:rPr>
                  </m:ctrlPr>
                </m:accPr>
                <m:e>
                  <m:r>
                    <w:rPr>
                      <w:rFonts w:ascii="Cambria Math" w:hAnsi="Cambria Math"/>
                    </w:rPr>
                    <m:t>V</m:t>
                  </m:r>
                </m:e>
              </m:acc>
              <m:sSup>
                <m:sSupPr>
                  <m:ctrlPr>
                    <w:rPr>
                      <w:rFonts w:ascii="Cambria Math" w:hAnsi="Cambria Math"/>
                      <w:i/>
                    </w:rPr>
                  </m:ctrlPr>
                </m:sSupPr>
                <m:e>
                  <m:d>
                    <m:dPr>
                      <m:ctrlPr>
                        <w:rPr>
                          <w:rFonts w:ascii="Cambria Math" w:hAnsi="Cambria Math"/>
                          <w:i/>
                        </w:rPr>
                      </m:ctrlPr>
                    </m:dPr>
                    <m:e>
                      <m:r>
                        <w:rPr>
                          <w:rFonts w:ascii="Cambria Math" w:hAnsi="Cambria Math"/>
                        </w:rPr>
                        <m:t>t</m:t>
                      </m:r>
                    </m:e>
                  </m:d>
                </m:e>
                <m:sup>
                  <m:r>
                    <w:rPr>
                      <w:rFonts w:ascii="Cambria Math" w:hAnsi="Cambria Math"/>
                    </w:rPr>
                    <m:t>2</m:t>
                  </m:r>
                </m:sup>
              </m:sSup>
            </m:e>
          </m:d>
          <m:r>
            <w:rPr>
              <w:rFonts w:ascii="Cambria Math" w:hAnsi="Cambria Math"/>
            </w:rPr>
            <m:t>.        [4]</m:t>
          </m:r>
        </m:oMath>
      </m:oMathPara>
    </w:p>
    <w:p w14:paraId="330E3681" w14:textId="77777777" w:rsidR="00377EBF" w:rsidRPr="00B02E99" w:rsidRDefault="00377EBF" w:rsidP="00D3665E"/>
    <w:p w14:paraId="4F85FAA1" w14:textId="45BFF494" w:rsidR="00D3665E" w:rsidRPr="00B02E99" w:rsidRDefault="00D3665E" w:rsidP="00D3665E">
      <w:r w:rsidRPr="00B02E99">
        <w:t xml:space="preserve">Sample trajectories of viral load are shown in </w:t>
      </w:r>
      <w:r w:rsidR="0041697C">
        <w:t xml:space="preserve">Extended Data </w:t>
      </w:r>
      <w:r w:rsidRPr="00B02E99">
        <w:t>Fig. 2</w:t>
      </w:r>
      <w:r w:rsidR="0041697C">
        <w:t>b</w:t>
      </w:r>
      <w:r w:rsidRPr="00B02E99">
        <w:t>.</w:t>
      </w:r>
    </w:p>
    <w:p w14:paraId="61ECDF35" w14:textId="77777777" w:rsidR="00D3665E" w:rsidRPr="00B02E99" w:rsidRDefault="00D3665E" w:rsidP="00D3665E"/>
    <w:p w14:paraId="573BE399" w14:textId="72B1FE50" w:rsidR="00D3665E" w:rsidRPr="00B02E99" w:rsidRDefault="00D3665E" w:rsidP="00D3665E">
      <w:pPr>
        <w:rPr>
          <w:iCs/>
        </w:rPr>
      </w:pPr>
      <w:r w:rsidRPr="00B02E99">
        <w:t>We simulated 10</w:t>
      </w:r>
      <w:r w:rsidRPr="00B02E99">
        <w:rPr>
          <w:vertAlign w:val="superscript"/>
        </w:rPr>
        <w:t>5</w:t>
      </w:r>
      <w:r w:rsidRPr="00B02E99">
        <w:t xml:space="preserve"> viral load trajectories. For each trajectory, we randomly drew a LOD from </w:t>
      </w:r>
      <m:oMath>
        <m:r>
          <w:rPr>
            <w:rFonts w:ascii="Cambria Math" w:hAnsi="Cambria Math"/>
          </w:rPr>
          <m:t>U[2,3.5]</m:t>
        </m:r>
      </m:oMath>
      <w:r w:rsidRPr="00B02E99">
        <w:t xml:space="preserve">, defined as the threshold for positive results – the test result is positive if </w:t>
      </w:r>
      <m:oMath>
        <m:r>
          <w:rPr>
            <w:rFonts w:ascii="Cambria Math" w:hAnsi="Cambria Math"/>
          </w:rPr>
          <m:t>V(t)</m:t>
        </m:r>
      </m:oMath>
      <w:r w:rsidRPr="00B02E99">
        <w:t xml:space="preserve"> is above the LOD and negative otherwise. Using simulated viral dynamics and LOD, we obtained the likelihood</w:t>
      </w:r>
      <w:r w:rsidRPr="00B02E99">
        <w:rPr>
          <w:i/>
        </w:rPr>
        <w:t xml:space="preserve"> </w:t>
      </w:r>
      <m:oMath>
        <m:r>
          <w:rPr>
            <w:rFonts w:ascii="Cambria Math" w:hAnsi="Cambria Math"/>
          </w:rPr>
          <m:t>P</m:t>
        </m:r>
        <m:d>
          <m:dPr>
            <m:ctrlPr>
              <w:rPr>
                <w:rFonts w:ascii="Cambria Math" w:hAnsi="Cambria Math"/>
                <w:i/>
              </w:rPr>
            </m:ctrlPr>
          </m:dPr>
          <m:e>
            <m:r>
              <w:rPr>
                <w:rFonts w:ascii="Cambria Math" w:hAnsi="Cambria Math"/>
              </w:rPr>
              <m:t>positive</m:t>
            </m:r>
          </m:e>
          <m:e>
            <m:sSub>
              <m:sSubPr>
                <m:ctrlPr>
                  <w:rPr>
                    <w:rFonts w:ascii="Cambria Math" w:hAnsi="Cambria Math"/>
                    <w:i/>
                  </w:rPr>
                </m:ctrlPr>
              </m:sSubPr>
              <m:e>
                <m:r>
                  <w:rPr>
                    <w:rFonts w:ascii="Cambria Math" w:hAnsi="Cambria Math"/>
                  </w:rPr>
                  <m:t>t</m:t>
                </m:r>
              </m:e>
              <m:sub>
                <m:r>
                  <w:rPr>
                    <w:rFonts w:ascii="Cambria Math" w:hAnsi="Cambria Math"/>
                  </w:rPr>
                  <m:t>inf→test</m:t>
                </m:r>
              </m:sub>
            </m:sSub>
          </m:e>
        </m:d>
      </m:oMath>
      <w:r w:rsidRPr="00B02E99">
        <w:t xml:space="preserve"> as shown in </w:t>
      </w:r>
      <w:r w:rsidR="00CB6605">
        <w:t xml:space="preserve">Extended Data </w:t>
      </w:r>
      <w:r w:rsidR="00CB6605" w:rsidRPr="00B02E99">
        <w:t>Fig. 2</w:t>
      </w:r>
      <w:r w:rsidR="00CB6605">
        <w:t>c</w:t>
      </w:r>
      <w:r w:rsidRPr="00B02E99">
        <w:t>.</w:t>
      </w:r>
    </w:p>
    <w:p w14:paraId="2F973B47" w14:textId="77777777" w:rsidR="00D3665E" w:rsidRPr="00B02E99" w:rsidRDefault="00D3665E" w:rsidP="00D3665E"/>
    <w:p w14:paraId="57C9CC56" w14:textId="68EFD840" w:rsidR="00D3665E" w:rsidRDefault="00D3665E" w:rsidP="00D3665E">
      <w:r w:rsidRPr="00B02E99">
        <w:t xml:space="preserve">We computed the posterior distribution </w:t>
      </w: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inf→test</m:t>
                </m:r>
              </m:sub>
            </m:sSub>
          </m:e>
          <m:e>
            <m:r>
              <w:rPr>
                <w:rFonts w:ascii="Cambria Math" w:hAnsi="Cambria Math"/>
              </w:rPr>
              <m:t>positive</m:t>
            </m:r>
          </m:e>
        </m:d>
      </m:oMath>
      <w:r w:rsidRPr="00B02E99">
        <w:t xml:space="preserve"> using Eq. [2] (</w:t>
      </w:r>
      <w:r w:rsidR="00CB6605">
        <w:t xml:space="preserve">Extended Data </w:t>
      </w:r>
      <w:r w:rsidR="00CB6605" w:rsidRPr="00B02E99">
        <w:t>Fig. 2</w:t>
      </w:r>
      <w:r w:rsidR="00CB6605">
        <w:t>d</w:t>
      </w:r>
      <w:r w:rsidRPr="00B02E99">
        <w:t xml:space="preserve">). The infection time for cases without symptoms was estimated using the distribution </w:t>
      </w: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inf→test</m:t>
                </m:r>
              </m:sub>
            </m:sSub>
          </m:e>
          <m:e>
            <m:r>
              <w:rPr>
                <w:rFonts w:ascii="Cambria Math" w:hAnsi="Cambria Math"/>
              </w:rPr>
              <m:t>positive</m:t>
            </m:r>
          </m:e>
        </m:d>
      </m:oMath>
      <w:r w:rsidRPr="00B02E99">
        <w:t>.  Once the infection time of index case - contact pairs had been sampled, using either symptom onset date or specimen collection date, the direction of exposure could be determined by the chronological order of infection.</w:t>
      </w:r>
    </w:p>
    <w:p w14:paraId="73B0EC43" w14:textId="77777777" w:rsidR="00D3665E" w:rsidRDefault="00D3665E" w:rsidP="00D3665E"/>
    <w:p w14:paraId="6564AB31" w14:textId="723BD4B4" w:rsidR="00D3665E" w:rsidRPr="00CA2103" w:rsidRDefault="00D3665E" w:rsidP="00D3665E">
      <w:pPr>
        <w:pStyle w:val="SMSubheading"/>
        <w:rPr>
          <w:b/>
          <w:bCs/>
          <w:u w:val="none"/>
        </w:rPr>
      </w:pPr>
      <w:r w:rsidRPr="00CA2103">
        <w:rPr>
          <w:b/>
          <w:bCs/>
          <w:u w:val="none"/>
        </w:rPr>
        <w:t>2.2 Estimation of transmission probability across age groups</w:t>
      </w:r>
    </w:p>
    <w:p w14:paraId="7C5BFE44" w14:textId="77777777" w:rsidR="00CA2103" w:rsidRPr="00B02E99" w:rsidRDefault="00CA2103" w:rsidP="00D3665E">
      <w:pPr>
        <w:pStyle w:val="SMSubheading"/>
        <w:rPr>
          <w:u w:val="single"/>
        </w:rPr>
      </w:pPr>
    </w:p>
    <w:p w14:paraId="62086385" w14:textId="434DD28C" w:rsidR="00D3665E" w:rsidRDefault="00D3665E" w:rsidP="00D3665E">
      <w:r w:rsidRPr="00B02E99">
        <w:t xml:space="preserve">We further use the test and tracing date to estimate the transmission probability across age groups, which are used to reconstruct transmission chains. We classify the total population into four age groups: 0-9, 10-19, 20-64, and 65+. Denote </w:t>
      </w:r>
      <m:oMath>
        <m:sSub>
          <m:sSubPr>
            <m:ctrlPr>
              <w:rPr>
                <w:rFonts w:ascii="Cambria Math" w:hAnsi="Cambria Math"/>
                <w:i/>
              </w:rPr>
            </m:ctrlPr>
          </m:sSubPr>
          <m:e>
            <m:r>
              <w:rPr>
                <w:rFonts w:ascii="Cambria Math" w:hAnsi="Cambria Math"/>
              </w:rPr>
              <m:t>P</m:t>
            </m:r>
          </m:e>
          <m:sub>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sub>
        </m:sSub>
        <m:r>
          <w:rPr>
            <w:rFonts w:ascii="Cambria Math" w:hAnsi="Cambria Math"/>
          </w:rPr>
          <m:t>(positive)</m:t>
        </m:r>
      </m:oMath>
      <w:r w:rsidRPr="00B02E99">
        <w:t xml:space="preserve"> as the probability of successful transmission for an exposure from age group </w:t>
      </w:r>
      <m:oMath>
        <m:r>
          <w:rPr>
            <w:rFonts w:ascii="Cambria Math" w:hAnsi="Cambria Math"/>
          </w:rPr>
          <m:t>a</m:t>
        </m:r>
      </m:oMath>
      <w:r w:rsidRPr="00B02E99">
        <w:t xml:space="preserve"> to </w:t>
      </w:r>
      <m:oMath>
        <m:r>
          <w:rPr>
            <w:rFonts w:ascii="Cambria Math" w:hAnsi="Cambria Math"/>
          </w:rPr>
          <m:t>a'</m:t>
        </m:r>
      </m:oMath>
      <w:r w:rsidRPr="00B02E99">
        <w:t xml:space="preserve">. </w:t>
      </w:r>
      <w:proofErr w:type="gramStart"/>
      <w:r w:rsidRPr="00B02E99">
        <w:t>In actuality, we</w:t>
      </w:r>
      <w:proofErr w:type="gramEnd"/>
      <w:r w:rsidRPr="00B02E99">
        <w:t xml:space="preserve"> only observe </w:t>
      </w:r>
      <m:oMath>
        <m:sSub>
          <m:sSubPr>
            <m:ctrlPr>
              <w:rPr>
                <w:rFonts w:ascii="Cambria Math" w:hAnsi="Cambria Math"/>
                <w:i/>
              </w:rPr>
            </m:ctrlPr>
          </m:sSubPr>
          <m:e>
            <m:r>
              <w:rPr>
                <w:rFonts w:ascii="Cambria Math" w:hAnsi="Cambria Math"/>
              </w:rPr>
              <m:t>P</m:t>
            </m:r>
          </m:e>
          <m:sub>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sub>
        </m:sSub>
        <m:r>
          <w:rPr>
            <w:rFonts w:ascii="Cambria Math" w:hAnsi="Cambria Math"/>
          </w:rPr>
          <m:t>(positive|test)</m:t>
        </m:r>
      </m:oMath>
      <w:r w:rsidRPr="00B02E99">
        <w:t xml:space="preserve"> among tested exposures. Bayes’ rule gives</w:t>
      </w:r>
    </w:p>
    <w:p w14:paraId="1B931CFA" w14:textId="77777777" w:rsidR="00377EBF" w:rsidRPr="00B02E99" w:rsidRDefault="00377EBF" w:rsidP="00D3665E"/>
    <w:p w14:paraId="76DED4A8" w14:textId="77777777" w:rsidR="00D3665E" w:rsidRPr="00B02E99" w:rsidRDefault="00000000" w:rsidP="00D3665E">
      <m:oMathPara>
        <m:oMath>
          <m:sSub>
            <m:sSubPr>
              <m:ctrlPr>
                <w:rPr>
                  <w:rFonts w:ascii="Cambria Math" w:hAnsi="Cambria Math"/>
                  <w:i/>
                </w:rPr>
              </m:ctrlPr>
            </m:sSubPr>
            <m:e>
              <m:r>
                <w:rPr>
                  <w:rFonts w:ascii="Cambria Math" w:hAnsi="Cambria Math"/>
                </w:rPr>
                <m:t>P</m:t>
              </m:r>
            </m:e>
            <m:sub>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sub>
          </m:sSub>
          <m:d>
            <m:dPr>
              <m:ctrlPr>
                <w:rPr>
                  <w:rFonts w:ascii="Cambria Math" w:hAnsi="Cambria Math"/>
                  <w:i/>
                </w:rPr>
              </m:ctrlPr>
            </m:dPr>
            <m:e>
              <m:r>
                <w:rPr>
                  <w:rFonts w:ascii="Cambria Math" w:hAnsi="Cambria Math"/>
                </w:rPr>
                <m:t>positive</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sub>
          </m:sSub>
          <m:d>
            <m:dPr>
              <m:ctrlPr>
                <w:rPr>
                  <w:rFonts w:ascii="Cambria Math" w:hAnsi="Cambria Math"/>
                  <w:i/>
                </w:rPr>
              </m:ctrlPr>
            </m:dPr>
            <m:e>
              <m:r>
                <w:rPr>
                  <w:rFonts w:ascii="Cambria Math" w:hAnsi="Cambria Math"/>
                </w:rPr>
                <m:t>positive</m:t>
              </m:r>
            </m:e>
            <m:e>
              <m:r>
                <w:rPr>
                  <w:rFonts w:ascii="Cambria Math" w:hAnsi="Cambria Math"/>
                </w:rPr>
                <m:t>test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sub>
              </m:sSub>
              <m:d>
                <m:dPr>
                  <m:ctrlPr>
                    <w:rPr>
                      <w:rFonts w:ascii="Cambria Math" w:hAnsi="Cambria Math"/>
                      <w:i/>
                    </w:rPr>
                  </m:ctrlPr>
                </m:dPr>
                <m:e>
                  <m:r>
                    <w:rPr>
                      <w:rFonts w:ascii="Cambria Math" w:hAnsi="Cambria Math"/>
                    </w:rPr>
                    <m:t>test</m:t>
                  </m:r>
                </m:e>
              </m:d>
            </m:num>
            <m:den>
              <m:sSub>
                <m:sSubPr>
                  <m:ctrlPr>
                    <w:rPr>
                      <w:rFonts w:ascii="Cambria Math" w:hAnsi="Cambria Math"/>
                      <w:i/>
                    </w:rPr>
                  </m:ctrlPr>
                </m:sSubPr>
                <m:e>
                  <m:r>
                    <w:rPr>
                      <w:rFonts w:ascii="Cambria Math" w:hAnsi="Cambria Math"/>
                    </w:rPr>
                    <m:t>P</m:t>
                  </m:r>
                </m:e>
                <m:sub>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sub>
              </m:sSub>
              <m:d>
                <m:dPr>
                  <m:ctrlPr>
                    <w:rPr>
                      <w:rFonts w:ascii="Cambria Math" w:hAnsi="Cambria Math"/>
                      <w:i/>
                    </w:rPr>
                  </m:ctrlPr>
                </m:dPr>
                <m:e>
                  <m:r>
                    <w:rPr>
                      <w:rFonts w:ascii="Cambria Math" w:hAnsi="Cambria Math"/>
                    </w:rPr>
                    <m:t>test</m:t>
                  </m:r>
                </m:e>
                <m:e>
                  <m:r>
                    <w:rPr>
                      <w:rFonts w:ascii="Cambria Math" w:hAnsi="Cambria Math"/>
                    </w:rPr>
                    <m:t>positive</m:t>
                  </m:r>
                </m:e>
              </m:d>
            </m:den>
          </m:f>
          <m:r>
            <w:rPr>
              <w:rFonts w:ascii="Cambria Math" w:hAnsi="Cambria Math"/>
            </w:rPr>
            <m:t>,        [5]</m:t>
          </m:r>
        </m:oMath>
      </m:oMathPara>
    </w:p>
    <w:p w14:paraId="5D912E16" w14:textId="77777777" w:rsidR="00D3665E" w:rsidRPr="00B02E99" w:rsidRDefault="00D3665E" w:rsidP="00D3665E"/>
    <w:p w14:paraId="25A1E1FA" w14:textId="3D6B8C24" w:rsidR="00D3665E" w:rsidRPr="00B02E99" w:rsidRDefault="00D3665E" w:rsidP="00D3665E">
      <w:r w:rsidRPr="00B02E99">
        <w:t xml:space="preserve">where </w:t>
      </w:r>
      <m:oMath>
        <m:sSub>
          <m:sSubPr>
            <m:ctrlPr>
              <w:rPr>
                <w:rFonts w:ascii="Cambria Math" w:hAnsi="Cambria Math"/>
                <w:i/>
              </w:rPr>
            </m:ctrlPr>
          </m:sSubPr>
          <m:e>
            <m:r>
              <w:rPr>
                <w:rFonts w:ascii="Cambria Math" w:hAnsi="Cambria Math"/>
              </w:rPr>
              <m:t>P</m:t>
            </m:r>
          </m:e>
          <m:sub>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sub>
        </m:sSub>
        <m:d>
          <m:dPr>
            <m:ctrlPr>
              <w:rPr>
                <w:rFonts w:ascii="Cambria Math" w:hAnsi="Cambria Math"/>
                <w:i/>
              </w:rPr>
            </m:ctrlPr>
          </m:dPr>
          <m:e>
            <m:r>
              <w:rPr>
                <w:rFonts w:ascii="Cambria Math" w:hAnsi="Cambria Math"/>
              </w:rPr>
              <m:t>test</m:t>
            </m:r>
          </m:e>
        </m:d>
      </m:oMath>
      <w:r w:rsidRPr="00B02E99">
        <w:t xml:space="preserve"> is the probability that an exposure from age group </w:t>
      </w:r>
      <m:oMath>
        <m:r>
          <w:rPr>
            <w:rFonts w:ascii="Cambria Math" w:hAnsi="Cambria Math"/>
          </w:rPr>
          <m:t>a</m:t>
        </m:r>
      </m:oMath>
      <w:r w:rsidRPr="00B02E99">
        <w:t xml:space="preserve"> to </w:t>
      </w:r>
      <m:oMath>
        <m:r>
          <w:rPr>
            <w:rFonts w:ascii="Cambria Math" w:hAnsi="Cambria Math"/>
          </w:rPr>
          <m:t>a'</m:t>
        </m:r>
      </m:oMath>
      <w:r w:rsidRPr="00B02E99">
        <w:t xml:space="preserve"> is tested and </w:t>
      </w:r>
      <m:oMath>
        <m:sSub>
          <m:sSubPr>
            <m:ctrlPr>
              <w:rPr>
                <w:rFonts w:ascii="Cambria Math" w:hAnsi="Cambria Math"/>
                <w:i/>
              </w:rPr>
            </m:ctrlPr>
          </m:sSubPr>
          <m:e>
            <m:r>
              <w:rPr>
                <w:rFonts w:ascii="Cambria Math" w:hAnsi="Cambria Math"/>
              </w:rPr>
              <m:t>P</m:t>
            </m:r>
          </m:e>
          <m:sub>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sub>
        </m:sSub>
        <m:d>
          <m:dPr>
            <m:ctrlPr>
              <w:rPr>
                <w:rFonts w:ascii="Cambria Math" w:hAnsi="Cambria Math"/>
                <w:i/>
              </w:rPr>
            </m:ctrlPr>
          </m:dPr>
          <m:e>
            <m:r>
              <w:rPr>
                <w:rFonts w:ascii="Cambria Math" w:hAnsi="Cambria Math"/>
              </w:rPr>
              <m:t>test</m:t>
            </m:r>
          </m:e>
          <m:e>
            <m:r>
              <w:rPr>
                <w:rFonts w:ascii="Cambria Math" w:hAnsi="Cambria Math"/>
              </w:rPr>
              <m:t>positive</m:t>
            </m:r>
          </m:e>
        </m:d>
      </m:oMath>
      <w:r w:rsidRPr="00B02E99">
        <w:t xml:space="preserve"> is the probability of testing given a successful transmission from age group </w:t>
      </w:r>
      <m:oMath>
        <m:r>
          <w:rPr>
            <w:rFonts w:ascii="Cambria Math" w:hAnsi="Cambria Math"/>
          </w:rPr>
          <m:t>a</m:t>
        </m:r>
      </m:oMath>
      <w:r w:rsidRPr="00B02E99">
        <w:t xml:space="preserve"> to </w:t>
      </w:r>
      <m:oMath>
        <m:r>
          <w:rPr>
            <w:rFonts w:ascii="Cambria Math" w:hAnsi="Cambria Math"/>
          </w:rPr>
          <m:t>a'</m:t>
        </m:r>
      </m:oMath>
      <w:r w:rsidRPr="00B02E99">
        <w:t xml:space="preserve">, i.e. an infection. A diagram for Eq. [5] is provided in </w:t>
      </w:r>
      <w:r w:rsidR="00294F29">
        <w:t xml:space="preserve">Extended Data </w:t>
      </w:r>
      <w:r w:rsidR="00294F29" w:rsidRPr="00B02E99">
        <w:t xml:space="preserve">Fig. </w:t>
      </w:r>
      <w:r w:rsidR="00294F29">
        <w:t>3</w:t>
      </w:r>
      <w:r w:rsidRPr="00B02E99">
        <w:t>.</w:t>
      </w:r>
    </w:p>
    <w:p w14:paraId="4E670172" w14:textId="77777777" w:rsidR="00D3665E" w:rsidRPr="00B02E99" w:rsidRDefault="00D3665E" w:rsidP="00D3665E"/>
    <w:p w14:paraId="60AF5325" w14:textId="77777777" w:rsidR="00D3665E" w:rsidRPr="00B02E99" w:rsidRDefault="00D3665E" w:rsidP="00D3665E">
      <w:r w:rsidRPr="00B02E99">
        <w:t xml:space="preserve">If we assume the relative test-seeking probability between exposed and infected individuals is independent of age, then </w:t>
      </w:r>
      <w:bookmarkStart w:id="2" w:name="OLE_LINK1"/>
      <w:bookmarkStart w:id="3" w:name="OLE_LINK2"/>
      <m:oMath>
        <m:sSub>
          <m:sSubPr>
            <m:ctrlPr>
              <w:rPr>
                <w:rFonts w:ascii="Cambria Math" w:hAnsi="Cambria Math"/>
                <w:i/>
              </w:rPr>
            </m:ctrlPr>
          </m:sSubPr>
          <m:e>
            <m:r>
              <w:rPr>
                <w:rFonts w:ascii="Cambria Math" w:hAnsi="Cambria Math"/>
              </w:rPr>
              <m:t>P</m:t>
            </m:r>
          </m:e>
          <m:sub>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sub>
        </m:sSub>
        <m:d>
          <m:dPr>
            <m:ctrlPr>
              <w:rPr>
                <w:rFonts w:ascii="Cambria Math" w:hAnsi="Cambria Math"/>
                <w:i/>
              </w:rPr>
            </m:ctrlPr>
          </m:dPr>
          <m:e>
            <m:r>
              <w:rPr>
                <w:rFonts w:ascii="Cambria Math" w:hAnsi="Cambria Math"/>
              </w:rPr>
              <m:t>test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sub>
        </m:sSub>
        <m:d>
          <m:dPr>
            <m:ctrlPr>
              <w:rPr>
                <w:rFonts w:ascii="Cambria Math" w:hAnsi="Cambria Math"/>
                <w:i/>
              </w:rPr>
            </m:ctrlPr>
          </m:dPr>
          <m:e>
            <m:r>
              <w:rPr>
                <w:rFonts w:ascii="Cambria Math" w:hAnsi="Cambria Math"/>
              </w:rPr>
              <m:t>test</m:t>
            </m:r>
          </m:e>
          <m:e>
            <m:r>
              <w:rPr>
                <w:rFonts w:ascii="Cambria Math" w:hAnsi="Cambria Math"/>
              </w:rPr>
              <m:t>positive</m:t>
            </m:r>
          </m:e>
        </m:d>
      </m:oMath>
      <w:bookmarkEnd w:id="2"/>
      <w:bookmarkEnd w:id="3"/>
      <w:r w:rsidRPr="00B02E99">
        <w:t xml:space="preserve"> is constant across age groups. We then can use the test positivity rate for exposure from age group </w:t>
      </w:r>
      <m:oMath>
        <m:r>
          <w:rPr>
            <w:rFonts w:ascii="Cambria Math" w:hAnsi="Cambria Math"/>
          </w:rPr>
          <m:t>a</m:t>
        </m:r>
      </m:oMath>
      <w:r w:rsidRPr="00B02E99">
        <w:t xml:space="preserve"> to </w:t>
      </w:r>
      <m:oMath>
        <m:r>
          <w:rPr>
            <w:rFonts w:ascii="Cambria Math" w:hAnsi="Cambria Math"/>
          </w:rPr>
          <m:t>a'</m:t>
        </m:r>
      </m:oMath>
      <w:r w:rsidRPr="00B02E99">
        <w:t xml:space="preserve">, </w:t>
      </w:r>
      <m:oMath>
        <m:sSub>
          <m:sSubPr>
            <m:ctrlPr>
              <w:rPr>
                <w:rFonts w:ascii="Cambria Math" w:hAnsi="Cambria Math"/>
                <w:i/>
              </w:rPr>
            </m:ctrlPr>
          </m:sSubPr>
          <m:e>
            <m:r>
              <w:rPr>
                <w:rFonts w:ascii="Cambria Math" w:hAnsi="Cambria Math"/>
              </w:rPr>
              <m:t>P</m:t>
            </m:r>
          </m:e>
          <m:sub>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sub>
        </m:sSub>
        <m:d>
          <m:dPr>
            <m:ctrlPr>
              <w:rPr>
                <w:rFonts w:ascii="Cambria Math" w:hAnsi="Cambria Math"/>
                <w:i/>
              </w:rPr>
            </m:ctrlPr>
          </m:dPr>
          <m:e>
            <m:r>
              <w:rPr>
                <w:rFonts w:ascii="Cambria Math" w:hAnsi="Cambria Math"/>
              </w:rPr>
              <m:t>positive</m:t>
            </m:r>
          </m:e>
          <m:e>
            <m:r>
              <w:rPr>
                <w:rFonts w:ascii="Cambria Math" w:hAnsi="Cambria Math"/>
              </w:rPr>
              <m:t>test</m:t>
            </m:r>
          </m:e>
        </m:d>
      </m:oMath>
      <w:r w:rsidRPr="00B02E99">
        <w:t xml:space="preserve">, to represent the relative transmission probability across age groups: </w:t>
      </w:r>
      <m:oMath>
        <m:sSub>
          <m:sSubPr>
            <m:ctrlPr>
              <w:rPr>
                <w:rFonts w:ascii="Cambria Math" w:hAnsi="Cambria Math"/>
                <w:i/>
              </w:rPr>
            </m:ctrlPr>
          </m:sSubPr>
          <m:e>
            <m:r>
              <w:rPr>
                <w:rFonts w:ascii="Cambria Math" w:hAnsi="Cambria Math"/>
              </w:rPr>
              <m:t>P</m:t>
            </m:r>
          </m:e>
          <m:sub>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sub>
        </m:sSub>
        <m:d>
          <m:dPr>
            <m:ctrlPr>
              <w:rPr>
                <w:rFonts w:ascii="Cambria Math" w:hAnsi="Cambria Math"/>
                <w:i/>
              </w:rPr>
            </m:ctrlPr>
          </m:dPr>
          <m:e>
            <m:r>
              <w:rPr>
                <w:rFonts w:ascii="Cambria Math" w:hAnsi="Cambria Math"/>
              </w:rPr>
              <m:t>positive</m:t>
            </m:r>
          </m:e>
        </m:d>
        <m:r>
          <w:rPr>
            <w:rFonts w:ascii="Cambria Math" w:hAnsi="Cambria Math"/>
          </w:rPr>
          <m:t>=γ</m:t>
        </m:r>
        <m:sSub>
          <m:sSubPr>
            <m:ctrlPr>
              <w:rPr>
                <w:rFonts w:ascii="Cambria Math" w:hAnsi="Cambria Math"/>
                <w:i/>
              </w:rPr>
            </m:ctrlPr>
          </m:sSubPr>
          <m:e>
            <m:r>
              <w:rPr>
                <w:rFonts w:ascii="Cambria Math" w:hAnsi="Cambria Math"/>
              </w:rPr>
              <m:t>P</m:t>
            </m:r>
          </m:e>
          <m:sub>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sub>
        </m:sSub>
        <m:d>
          <m:dPr>
            <m:ctrlPr>
              <w:rPr>
                <w:rFonts w:ascii="Cambria Math" w:hAnsi="Cambria Math"/>
                <w:i/>
              </w:rPr>
            </m:ctrlPr>
          </m:dPr>
          <m:e>
            <m:r>
              <w:rPr>
                <w:rFonts w:ascii="Cambria Math" w:hAnsi="Cambria Math"/>
              </w:rPr>
              <m:t>positive</m:t>
            </m:r>
          </m:e>
          <m:e>
            <m:r>
              <w:rPr>
                <w:rFonts w:ascii="Cambria Math" w:hAnsi="Cambria Math"/>
              </w:rPr>
              <m:t>test</m:t>
            </m:r>
          </m:e>
        </m:d>
      </m:oMath>
      <w:r w:rsidRPr="00B02E99">
        <w:t xml:space="preserve">, where </w:t>
      </w:r>
      <m:oMath>
        <m:r>
          <w:rPr>
            <w:rFonts w:ascii="Cambria Math" w:hAnsi="Cambria Math"/>
          </w:rPr>
          <m:t>γ=</m:t>
        </m:r>
        <m:sSub>
          <m:sSubPr>
            <m:ctrlPr>
              <w:rPr>
                <w:rFonts w:ascii="Cambria Math" w:hAnsi="Cambria Math"/>
                <w:i/>
              </w:rPr>
            </m:ctrlPr>
          </m:sSubPr>
          <m:e>
            <m:r>
              <w:rPr>
                <w:rFonts w:ascii="Cambria Math" w:hAnsi="Cambria Math"/>
              </w:rPr>
              <m:t>P</m:t>
            </m:r>
          </m:e>
          <m:sub>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sub>
        </m:sSub>
        <m:d>
          <m:dPr>
            <m:ctrlPr>
              <w:rPr>
                <w:rFonts w:ascii="Cambria Math" w:hAnsi="Cambria Math"/>
                <w:i/>
              </w:rPr>
            </m:ctrlPr>
          </m:dPr>
          <m:e>
            <m:r>
              <w:rPr>
                <w:rFonts w:ascii="Cambria Math" w:hAnsi="Cambria Math"/>
              </w:rPr>
              <m:t>test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sub>
        </m:sSub>
        <m:d>
          <m:dPr>
            <m:ctrlPr>
              <w:rPr>
                <w:rFonts w:ascii="Cambria Math" w:hAnsi="Cambria Math"/>
                <w:i/>
              </w:rPr>
            </m:ctrlPr>
          </m:dPr>
          <m:e>
            <m:r>
              <w:rPr>
                <w:rFonts w:ascii="Cambria Math" w:hAnsi="Cambria Math"/>
              </w:rPr>
              <m:t>test</m:t>
            </m:r>
          </m:e>
          <m:e>
            <m:r>
              <w:rPr>
                <w:rFonts w:ascii="Cambria Math" w:hAnsi="Cambria Math"/>
              </w:rPr>
              <m:t>positive</m:t>
            </m:r>
          </m:e>
        </m:d>
      </m:oMath>
      <w:r w:rsidRPr="00B02E99">
        <w:t>. See Fig. S3 for more details.</w:t>
      </w:r>
    </w:p>
    <w:p w14:paraId="41159F63" w14:textId="77777777" w:rsidR="00D3665E" w:rsidRPr="00B02E99" w:rsidRDefault="00D3665E" w:rsidP="00D3665E"/>
    <w:p w14:paraId="759076D9" w14:textId="298E8F27" w:rsidR="00D3665E" w:rsidRPr="00B02E99" w:rsidRDefault="00D3665E" w:rsidP="00D3665E">
      <w:r w:rsidRPr="00B02E99">
        <w:t xml:space="preserve">To compute </w:t>
      </w:r>
      <m:oMath>
        <m:sSub>
          <m:sSubPr>
            <m:ctrlPr>
              <w:rPr>
                <w:rFonts w:ascii="Cambria Math" w:hAnsi="Cambria Math"/>
                <w:i/>
              </w:rPr>
            </m:ctrlPr>
          </m:sSubPr>
          <m:e>
            <m:r>
              <w:rPr>
                <w:rFonts w:ascii="Cambria Math" w:hAnsi="Cambria Math"/>
              </w:rPr>
              <m:t>P</m:t>
            </m:r>
          </m:e>
          <m:sub>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sub>
        </m:sSub>
        <m:r>
          <w:rPr>
            <w:rFonts w:ascii="Cambria Math" w:hAnsi="Cambria Math"/>
          </w:rPr>
          <m:t>(positive|test)</m:t>
        </m:r>
      </m:oMath>
      <w:r w:rsidRPr="00B02E99">
        <w:t xml:space="preserve">, we first used the method introduced in subsection 2.1 to determine the possible directions of exposure pairs for which both index case and contact were tested. Then we selected the pairs of exposures from age group </w:t>
      </w:r>
      <m:oMath>
        <m:r>
          <w:rPr>
            <w:rFonts w:ascii="Cambria Math" w:hAnsi="Cambria Math"/>
          </w:rPr>
          <m:t>a</m:t>
        </m:r>
      </m:oMath>
      <w:r w:rsidRPr="00B02E99">
        <w:t xml:space="preserve"> to </w:t>
      </w:r>
      <m:oMath>
        <m:r>
          <w:rPr>
            <w:rFonts w:ascii="Cambria Math" w:hAnsi="Cambria Math"/>
          </w:rPr>
          <m:t>a'</m:t>
        </m:r>
      </m:oMath>
      <w:r w:rsidRPr="00B02E99">
        <w:t xml:space="preserve"> and computed the probability of successful transmission for </w:t>
      </w:r>
      <m:oMath>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oMath>
      <w:r w:rsidRPr="00B02E99">
        <w:t xml:space="preserve"> exposures. We repeated this analysis 1,000 times and took the average transmission probability </w:t>
      </w:r>
      <m:oMath>
        <m:sSub>
          <m:sSubPr>
            <m:ctrlPr>
              <w:rPr>
                <w:rFonts w:ascii="Cambria Math" w:hAnsi="Cambria Math"/>
                <w:i/>
              </w:rPr>
            </m:ctrlPr>
          </m:sSubPr>
          <m:e>
            <m:r>
              <w:rPr>
                <w:rFonts w:ascii="Cambria Math" w:hAnsi="Cambria Math"/>
              </w:rPr>
              <m:t>P</m:t>
            </m:r>
          </m:e>
          <m:sub>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sub>
        </m:sSub>
        <m:r>
          <w:rPr>
            <w:rFonts w:ascii="Cambria Math" w:hAnsi="Cambria Math"/>
          </w:rPr>
          <m:t>(positive|test)</m:t>
        </m:r>
      </m:oMath>
      <w:r w:rsidRPr="00B02E99">
        <w:t xml:space="preserve">. Results are shown in </w:t>
      </w:r>
      <w:r w:rsidR="00B270E3">
        <w:t xml:space="preserve">Extended Data </w:t>
      </w:r>
      <w:r w:rsidRPr="00B02E99">
        <w:t>Table</w:t>
      </w:r>
      <w:r w:rsidR="00B270E3">
        <w:t xml:space="preserve"> </w:t>
      </w:r>
      <w:r w:rsidRPr="00B02E99">
        <w:t>1.</w:t>
      </w:r>
    </w:p>
    <w:p w14:paraId="422C5386" w14:textId="77777777" w:rsidR="00D3665E" w:rsidRDefault="00D3665E" w:rsidP="00D3665E">
      <w:pPr>
        <w:rPr>
          <w:rFonts w:ascii="Arial" w:hAnsi="Arial" w:cs="Arial"/>
        </w:rPr>
      </w:pPr>
    </w:p>
    <w:p w14:paraId="398D1CB6" w14:textId="703660B9" w:rsidR="00D3665E" w:rsidRPr="00CA2103" w:rsidRDefault="00D3665E" w:rsidP="00D3665E">
      <w:pPr>
        <w:pStyle w:val="SMSubheading"/>
        <w:rPr>
          <w:b/>
          <w:bCs/>
          <w:u w:val="none"/>
        </w:rPr>
      </w:pPr>
      <w:r w:rsidRPr="00CA2103">
        <w:rPr>
          <w:b/>
          <w:bCs/>
          <w:u w:val="none"/>
        </w:rPr>
        <w:t>2.3 Reconstruction of the maximum likelihood transmission network</w:t>
      </w:r>
    </w:p>
    <w:p w14:paraId="71299A4E" w14:textId="77777777" w:rsidR="00CA2103" w:rsidRPr="00B02E99" w:rsidRDefault="00CA2103" w:rsidP="00D3665E">
      <w:pPr>
        <w:pStyle w:val="SMSubheading"/>
        <w:rPr>
          <w:u w:val="single"/>
        </w:rPr>
      </w:pPr>
    </w:p>
    <w:p w14:paraId="75935492" w14:textId="500F8451" w:rsidR="00D3665E" w:rsidRPr="0075409A" w:rsidRDefault="00D3665E" w:rsidP="00D3665E">
      <w:r w:rsidRPr="0075409A">
        <w:t xml:space="preserve">We combined the methods described in subsections 2.1 and 2.2 to reconstruct transmission networks. Using the method developed in subsection 2.1, we first estimated the possible directions of transmission events (in which both index case and contact tested positive) and used these directed transmission links to form a putative transmission network. For each transmission link </w:t>
      </w:r>
      <m:oMath>
        <m:r>
          <m:rPr>
            <m:scr m:val="script"/>
          </m:rPr>
          <w:rPr>
            <w:rFonts w:ascii="Cambria Math" w:hAnsi="Cambria Math"/>
          </w:rPr>
          <m:t>l</m:t>
        </m:r>
      </m:oMath>
      <w:r w:rsidRPr="0075409A">
        <w:t xml:space="preserve">, we identified the age groups for both patients (e.g., an exposure from age group </w:t>
      </w:r>
      <m:oMath>
        <m:r>
          <w:rPr>
            <w:rFonts w:ascii="Cambria Math" w:hAnsi="Cambria Math"/>
          </w:rPr>
          <m:t>a</m:t>
        </m:r>
      </m:oMath>
      <w:r w:rsidRPr="0075409A">
        <w:t xml:space="preserve"> to </w:t>
      </w:r>
      <m:oMath>
        <m:r>
          <w:rPr>
            <w:rFonts w:ascii="Cambria Math" w:hAnsi="Cambria Math"/>
          </w:rPr>
          <m:t>a'</m:t>
        </m:r>
      </m:oMath>
      <w:r w:rsidRPr="0075409A">
        <w:t xml:space="preserve">) and recorded the transmission probability across age groups for this link </w:t>
      </w:r>
      <m:oMath>
        <m:r>
          <m:rPr>
            <m:scr m:val="script"/>
          </m:rPr>
          <w:rPr>
            <w:rFonts w:ascii="Cambria Math" w:hAnsi="Cambria Math"/>
          </w:rPr>
          <m:t>l</m:t>
        </m:r>
      </m:oMath>
      <w:r w:rsidRPr="0075409A">
        <w:t xml:space="preserve"> in </w:t>
      </w:r>
      <w:r w:rsidR="00BE6799">
        <w:t xml:space="preserve">Extended Data </w:t>
      </w:r>
      <w:r w:rsidR="00BE6799" w:rsidRPr="00B02E99">
        <w:t>Table</w:t>
      </w:r>
      <w:r w:rsidR="00BE6799">
        <w:t xml:space="preserve"> </w:t>
      </w:r>
      <w:r w:rsidR="00BE6799" w:rsidRPr="00B02E99">
        <w:t>1</w:t>
      </w:r>
      <w:r w:rsidRPr="0075409A">
        <w:t xml:space="preserve"> (estimated in subsection 2. 2) as </w:t>
      </w:r>
      <m:oMath>
        <m:sSub>
          <m:sSubPr>
            <m:ctrlPr>
              <w:rPr>
                <w:rFonts w:ascii="Cambria Math" w:hAnsi="Cambria Math"/>
                <w:i/>
              </w:rPr>
            </m:ctrlPr>
          </m:sSubPr>
          <m:e>
            <m:r>
              <w:rPr>
                <w:rFonts w:ascii="Cambria Math" w:hAnsi="Cambria Math"/>
              </w:rPr>
              <m:t>P</m:t>
            </m:r>
          </m:e>
          <m:sub>
            <m:r>
              <m:rPr>
                <m:scr m:val="script"/>
              </m:rPr>
              <w:rPr>
                <w:rFonts w:ascii="Cambria Math" w:hAnsi="Cambria Math"/>
              </w:rPr>
              <m:t>l</m:t>
            </m:r>
          </m:sub>
        </m:sSub>
        <m:d>
          <m:dPr>
            <m:ctrlPr>
              <w:rPr>
                <w:rFonts w:ascii="Cambria Math" w:hAnsi="Cambria Math"/>
                <w:i/>
              </w:rPr>
            </m:ctrlPr>
          </m:dPr>
          <m:e>
            <m:r>
              <w:rPr>
                <w:rFonts w:ascii="Cambria Math" w:hAnsi="Cambria Math"/>
              </w:rPr>
              <m:t>positive</m:t>
            </m:r>
          </m:e>
          <m:e>
            <m:r>
              <w:rPr>
                <w:rFonts w:ascii="Cambria Math" w:hAnsi="Cambria Math"/>
              </w:rPr>
              <m:t>test</m:t>
            </m:r>
          </m:e>
        </m:d>
      </m:oMath>
      <w:r w:rsidRPr="0075409A">
        <w:t xml:space="preserve">. We computed the likelihood </w:t>
      </w:r>
      <w:r w:rsidRPr="0075409A">
        <w:lastRenderedPageBreak/>
        <w:t xml:space="preserve">considering all transmission links: </w:t>
      </w:r>
      <m:oMath>
        <m:r>
          <w:rPr>
            <w:rFonts w:ascii="Cambria Math" w:hAnsi="Cambria Math"/>
          </w:rPr>
          <m:t>L=</m:t>
        </m:r>
        <m:rad>
          <m:radPr>
            <m:ctrlPr>
              <w:rPr>
                <w:rFonts w:ascii="Cambria Math" w:hAnsi="Cambria Math"/>
                <w:i/>
              </w:rPr>
            </m:ctrlPr>
          </m:radPr>
          <m:deg>
            <m:r>
              <w:rPr>
                <w:rFonts w:ascii="Cambria Math" w:hAnsi="Cambria Math"/>
              </w:rPr>
              <m:t>n</m:t>
            </m:r>
          </m:deg>
          <m:e>
            <m:nary>
              <m:naryPr>
                <m:chr m:val="∏"/>
                <m:limLoc m:val="subSup"/>
                <m:supHide m:val="1"/>
                <m:ctrlPr>
                  <w:rPr>
                    <w:rFonts w:ascii="Cambria Math" w:hAnsi="Cambria Math"/>
                    <w:i/>
                  </w:rPr>
                </m:ctrlPr>
              </m:naryPr>
              <m:sub>
                <m:r>
                  <m:rPr>
                    <m:scr m:val="script"/>
                  </m:rPr>
                  <w:rPr>
                    <w:rFonts w:ascii="Cambria Math" w:hAnsi="Cambria Math"/>
                  </w:rPr>
                  <m:t>l</m:t>
                </m:r>
              </m:sub>
              <m:sup/>
              <m:e>
                <m:sSub>
                  <m:sSubPr>
                    <m:ctrlPr>
                      <w:rPr>
                        <w:rFonts w:ascii="Cambria Math" w:hAnsi="Cambria Math"/>
                        <w:i/>
                      </w:rPr>
                    </m:ctrlPr>
                  </m:sSubPr>
                  <m:e>
                    <m:r>
                      <w:rPr>
                        <w:rFonts w:ascii="Cambria Math" w:hAnsi="Cambria Math"/>
                      </w:rPr>
                      <m:t>P</m:t>
                    </m:r>
                  </m:e>
                  <m:sub>
                    <m:r>
                      <m:rPr>
                        <m:scr m:val="script"/>
                      </m:rPr>
                      <w:rPr>
                        <w:rFonts w:ascii="Cambria Math" w:hAnsi="Cambria Math"/>
                      </w:rPr>
                      <m:t>l</m:t>
                    </m:r>
                  </m:sub>
                </m:sSub>
                <m:r>
                  <w:rPr>
                    <w:rFonts w:ascii="Cambria Math" w:hAnsi="Cambria Math"/>
                  </w:rPr>
                  <m:t>(positive|test)</m:t>
                </m:r>
              </m:e>
            </m:nary>
          </m:e>
        </m:rad>
      </m:oMath>
      <w:r w:rsidRPr="0075409A">
        <w:t xml:space="preserve"> where </w:t>
      </w:r>
      <m:oMath>
        <m:r>
          <m:rPr>
            <m:scr m:val="script"/>
          </m:rPr>
          <w:rPr>
            <w:rFonts w:ascii="Cambria Math" w:hAnsi="Cambria Math"/>
          </w:rPr>
          <m:t>l</m:t>
        </m:r>
      </m:oMath>
      <w:r w:rsidRPr="0075409A">
        <w:t xml:space="preserve"> runs over all </w:t>
      </w:r>
      <m:oMath>
        <m:r>
          <w:rPr>
            <w:rFonts w:ascii="Cambria Math" w:hAnsi="Cambria Math"/>
          </w:rPr>
          <m:t>n</m:t>
        </m:r>
      </m:oMath>
      <w:r w:rsidRPr="0075409A">
        <w:t xml:space="preserve"> transmission links in the network. We sampled 1,000 putative transmission networks and selected the network that maximizes the likelihood </w:t>
      </w:r>
      <m:oMath>
        <m:r>
          <w:rPr>
            <w:rFonts w:ascii="Cambria Math" w:hAnsi="Cambria Math"/>
          </w:rPr>
          <m:t>L</m:t>
        </m:r>
      </m:oMath>
      <w:r w:rsidRPr="0075409A">
        <w:t xml:space="preserve"> among the ensemble of possible transmission networks.</w:t>
      </w:r>
    </w:p>
    <w:p w14:paraId="302058CE" w14:textId="77777777" w:rsidR="00D3665E" w:rsidRDefault="00D3665E" w:rsidP="00D3665E">
      <w:pPr>
        <w:rPr>
          <w:rFonts w:ascii="Arial" w:hAnsi="Arial" w:cs="Arial"/>
        </w:rPr>
      </w:pPr>
    </w:p>
    <w:p w14:paraId="63FBA2BD" w14:textId="6411A156" w:rsidR="00D3665E" w:rsidRDefault="00D3665E" w:rsidP="00D3665E">
      <w:pPr>
        <w:rPr>
          <w:b/>
          <w:bCs/>
        </w:rPr>
      </w:pPr>
      <w:r w:rsidRPr="00CA2103">
        <w:rPr>
          <w:b/>
          <w:bCs/>
        </w:rPr>
        <w:t>3. Statistical analysis</w:t>
      </w:r>
    </w:p>
    <w:p w14:paraId="13675BF4" w14:textId="77777777" w:rsidR="00CA2103" w:rsidRPr="00CA2103" w:rsidRDefault="00CA2103" w:rsidP="00D3665E">
      <w:pPr>
        <w:rPr>
          <w:b/>
          <w:bCs/>
        </w:rPr>
      </w:pPr>
    </w:p>
    <w:p w14:paraId="479F0693" w14:textId="77777777" w:rsidR="00D3665E" w:rsidRPr="00B172AF" w:rsidRDefault="00D3665E" w:rsidP="00D3665E">
      <w:r w:rsidRPr="00B172AF">
        <w:t xml:space="preserve">We used conditional autoregressive (CAR) models to analyze non-household within- and cross-ZIP code transmission in two separate models. The CAR model was implemented in a Bayesian hierarchical framework. Specifically, we fitted a Poisson generalized linear mixed model (GLMM) where the random effect was modeled by CAR priors to account for the inherent spatial-temporal autocorrelation present in the disease transmission data. </w:t>
      </w:r>
    </w:p>
    <w:p w14:paraId="3ACC0E0B" w14:textId="77777777" w:rsidR="00D3665E" w:rsidRDefault="00D3665E" w:rsidP="00D3665E">
      <w:pPr>
        <w:rPr>
          <w:rFonts w:ascii="Arial" w:hAnsi="Arial" w:cs="Arial"/>
        </w:rPr>
      </w:pPr>
    </w:p>
    <w:p w14:paraId="41439144" w14:textId="7F3F4ED8" w:rsidR="00D3665E" w:rsidRDefault="00D3665E" w:rsidP="00D3665E">
      <w:pPr>
        <w:rPr>
          <w:b/>
          <w:bCs/>
        </w:rPr>
      </w:pPr>
      <w:r w:rsidRPr="00CA2103">
        <w:rPr>
          <w:b/>
          <w:bCs/>
        </w:rPr>
        <w:t>3.1 Statistical model</w:t>
      </w:r>
    </w:p>
    <w:p w14:paraId="3AC09EF1" w14:textId="77777777" w:rsidR="00CA2103" w:rsidRPr="00CA2103" w:rsidRDefault="00CA2103" w:rsidP="00D3665E">
      <w:pPr>
        <w:rPr>
          <w:b/>
          <w:bCs/>
        </w:rPr>
      </w:pPr>
    </w:p>
    <w:p w14:paraId="5828AC4D" w14:textId="77777777" w:rsidR="00D3665E" w:rsidRPr="00441A27" w:rsidRDefault="00D3665E" w:rsidP="00D3665E">
      <w:r w:rsidRPr="00441A27">
        <w:t xml:space="preserve">We modeled the numbers of non-household within- and cross-ZIP code transmission events using a modified Poisson generalized linear mixed model. Denote </w:t>
      </w:r>
      <m:oMath>
        <m:sSub>
          <m:sSubPr>
            <m:ctrlPr>
              <w:rPr>
                <w:rFonts w:ascii="Cambria Math" w:hAnsi="Cambria Math"/>
                <w:i/>
              </w:rPr>
            </m:ctrlPr>
          </m:sSubPr>
          <m:e>
            <m:r>
              <w:rPr>
                <w:rFonts w:ascii="Cambria Math" w:hAnsi="Cambria Math"/>
              </w:rPr>
              <m:t>y</m:t>
            </m:r>
          </m:e>
          <m:sub>
            <m:r>
              <w:rPr>
                <w:rFonts w:ascii="Cambria Math" w:hAnsi="Cambria Math"/>
              </w:rPr>
              <m:t>within</m:t>
            </m:r>
          </m:sub>
        </m:sSub>
        <m:r>
          <w:rPr>
            <w:rFonts w:ascii="Cambria Math" w:hAnsi="Cambria Math"/>
          </w:rPr>
          <m:t>(i,t)</m:t>
        </m:r>
      </m:oMath>
      <w:r w:rsidRPr="00441A27">
        <w:t xml:space="preserve"> and </w:t>
      </w:r>
      <m:oMath>
        <m:sSub>
          <m:sSubPr>
            <m:ctrlPr>
              <w:rPr>
                <w:rFonts w:ascii="Cambria Math" w:hAnsi="Cambria Math"/>
                <w:i/>
              </w:rPr>
            </m:ctrlPr>
          </m:sSubPr>
          <m:e>
            <m:r>
              <w:rPr>
                <w:rFonts w:ascii="Cambria Math" w:hAnsi="Cambria Math"/>
              </w:rPr>
              <m:t>y</m:t>
            </m:r>
          </m:e>
          <m:sub>
            <m:r>
              <w:rPr>
                <w:rFonts w:ascii="Cambria Math" w:hAnsi="Cambria Math"/>
              </w:rPr>
              <m:t>cross</m:t>
            </m:r>
          </m:sub>
        </m:sSub>
        <m:r>
          <w:rPr>
            <w:rFonts w:ascii="Cambria Math" w:hAnsi="Cambria Math"/>
          </w:rPr>
          <m:t>(i,t)</m:t>
        </m:r>
      </m:oMath>
      <w:r w:rsidRPr="00441A27">
        <w:t xml:space="preserve"> as the weekly numbers of non-household within-ZIP code and cross-ZIP code transmission events in ZIP code </w:t>
      </w:r>
      <m:oMath>
        <m:r>
          <w:rPr>
            <w:rFonts w:ascii="Cambria Math" w:hAnsi="Cambria Math"/>
          </w:rPr>
          <m:t>i</m:t>
        </m:r>
      </m:oMath>
      <w:r w:rsidRPr="00441A27">
        <w:t xml:space="preserve"> and week </w:t>
      </w:r>
      <m:oMath>
        <m:r>
          <w:rPr>
            <w:rFonts w:ascii="Cambria Math" w:hAnsi="Cambria Math"/>
          </w:rPr>
          <m:t>t</m:t>
        </m:r>
      </m:oMath>
      <w:r w:rsidRPr="00441A27">
        <w:t>. The week for transmission is determined by the self-reported contact time between index cases and contacts. Fixed effects include log-transformed population density, log-transformed weekly cases per capita, log-transformed weekly tests per capita, cumulative cases per capita, percentage of Black residents, percentage of Hispanic residents, percentage of population over 65 years old, median household income, percentage of residents with a bachelor’s degree, mean household size, percentage of fully vaccinated residents, and number of POI visitors per capita. All covariates were standardized to have mean zero and standard deviation one. We used log-transformed population as an offset.</w:t>
      </w:r>
    </w:p>
    <w:p w14:paraId="2B66F492" w14:textId="77777777" w:rsidR="00D3665E" w:rsidRPr="00441A27" w:rsidRDefault="00D3665E" w:rsidP="00D3665E"/>
    <w:p w14:paraId="27C13C6A" w14:textId="77777777" w:rsidR="00D3665E" w:rsidRPr="00441A27" w:rsidRDefault="00D3665E" w:rsidP="00D3665E">
      <w:r w:rsidRPr="00441A27">
        <w:t>Specifically, the model for non-household within-ZIP code transmission is described by the following equation:</w:t>
      </w:r>
    </w:p>
    <w:p w14:paraId="3B376AE7" w14:textId="77777777" w:rsidR="00D3665E" w:rsidRPr="00441A27" w:rsidRDefault="00D3665E" w:rsidP="00D3665E"/>
    <w:p w14:paraId="580CE2D4" w14:textId="77777777" w:rsidR="00D3665E" w:rsidRPr="00441A27" w:rsidRDefault="00000000" w:rsidP="00D3665E">
      <m:oMathPara>
        <m:oMath>
          <m:func>
            <m:funcPr>
              <m:ctrlPr>
                <w:rPr>
                  <w:rFonts w:ascii="Cambria Math" w:hAnsi="Cambria Math"/>
                  <w:i/>
                  <w:iCs/>
                </w:rPr>
              </m:ctrlPr>
            </m:funcPr>
            <m:fName>
              <m:r>
                <w:rPr>
                  <w:rFonts w:ascii="Cambria Math" w:hAnsi="Cambria Math"/>
                </w:rPr>
                <m:t>log</m:t>
              </m:r>
            </m:fName>
            <m:e>
              <m:d>
                <m:dPr>
                  <m:ctrlPr>
                    <w:rPr>
                      <w:rFonts w:ascii="Cambria Math" w:hAnsi="Cambria Math"/>
                      <w:i/>
                      <w:iCs/>
                    </w:rPr>
                  </m:ctrlPr>
                </m:dPr>
                <m:e>
                  <m:sSub>
                    <m:sSubPr>
                      <m:ctrlPr>
                        <w:rPr>
                          <w:rFonts w:ascii="Cambria Math" w:hAnsi="Cambria Math"/>
                          <w:i/>
                          <w:iCs/>
                        </w:rPr>
                      </m:ctrlPr>
                    </m:sSubPr>
                    <m:e>
                      <m:r>
                        <w:rPr>
                          <w:rFonts w:ascii="Cambria Math" w:hAnsi="Cambria Math"/>
                        </w:rPr>
                        <m:t>y</m:t>
                      </m:r>
                    </m:e>
                    <m:sub>
                      <m:r>
                        <w:rPr>
                          <w:rFonts w:ascii="Cambria Math" w:hAnsi="Cambria Math"/>
                        </w:rPr>
                        <m:t>within</m:t>
                      </m:r>
                    </m:sub>
                  </m:sSub>
                  <m:r>
                    <w:rPr>
                      <w:rFonts w:ascii="Cambria Math" w:hAnsi="Cambria Math"/>
                    </w:rPr>
                    <m:t>(i,t+d)</m:t>
                  </m:r>
                </m:e>
              </m:d>
            </m:e>
          </m:func>
          <m:r>
            <w:rPr>
              <w:rFonts w:ascii="Cambria Math" w:hAnsi="Cambria Math"/>
            </w:rPr>
            <m:t>=</m:t>
          </m:r>
          <m:func>
            <m:funcPr>
              <m:ctrlPr>
                <w:rPr>
                  <w:rFonts w:ascii="Cambria Math" w:hAnsi="Cambria Math"/>
                  <w:i/>
                  <w:iCs/>
                </w:rPr>
              </m:ctrlPr>
            </m:funcPr>
            <m:fName>
              <m:r>
                <w:rPr>
                  <w:rFonts w:ascii="Cambria Math" w:hAnsi="Cambria Math"/>
                </w:rPr>
                <m:t xml:space="preserve"> log</m:t>
              </m:r>
            </m:fName>
            <m:e>
              <m:d>
                <m:dPr>
                  <m:ctrlPr>
                    <w:rPr>
                      <w:rFonts w:ascii="Cambria Math" w:hAnsi="Cambria Math"/>
                      <w:i/>
                      <w:iCs/>
                    </w:rPr>
                  </m:ctrlPr>
                </m:dPr>
                <m:e>
                  <m:r>
                    <w:rPr>
                      <w:rFonts w:ascii="Cambria Math" w:hAnsi="Cambria Math"/>
                    </w:rPr>
                    <m:t>population(i)</m:t>
                  </m:r>
                </m:e>
              </m:d>
            </m:e>
          </m:func>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1</m:t>
              </m:r>
            </m:sub>
          </m:sSub>
          <m:r>
            <w:rPr>
              <w:rFonts w:ascii="Cambria Math" w:hAnsi="Cambria Math"/>
            </w:rPr>
            <m:t>×</m:t>
          </m:r>
          <m:func>
            <m:funcPr>
              <m:ctrlPr>
                <w:rPr>
                  <w:rFonts w:ascii="Cambria Math" w:hAnsi="Cambria Math"/>
                  <w:i/>
                  <w:iCs/>
                </w:rPr>
              </m:ctrlPr>
            </m:funcPr>
            <m:fName>
              <m:r>
                <w:rPr>
                  <w:rFonts w:ascii="Cambria Math" w:hAnsi="Cambria Math"/>
                </w:rPr>
                <m:t>log</m:t>
              </m:r>
            </m:fName>
            <m:e>
              <m:d>
                <m:dPr>
                  <m:ctrlPr>
                    <w:rPr>
                      <w:rFonts w:ascii="Cambria Math" w:hAnsi="Cambria Math"/>
                      <w:i/>
                      <w:iCs/>
                    </w:rPr>
                  </m:ctrlPr>
                </m:dPr>
                <m:e>
                  <m:r>
                    <w:rPr>
                      <w:rFonts w:ascii="Cambria Math" w:hAnsi="Cambria Math"/>
                    </w:rPr>
                    <m:t>population density(i)</m:t>
                  </m:r>
                </m:e>
              </m:d>
            </m:e>
          </m:func>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2</m:t>
              </m:r>
            </m:sub>
          </m:sSub>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weekly cases per capita</m:t>
                  </m:r>
                  <m:d>
                    <m:dPr>
                      <m:ctrlPr>
                        <w:rPr>
                          <w:rFonts w:ascii="Cambria Math" w:hAnsi="Cambria Math"/>
                          <w:i/>
                          <w:iCs/>
                        </w:rPr>
                      </m:ctrlPr>
                    </m:dPr>
                    <m:e>
                      <m:r>
                        <w:rPr>
                          <w:rFonts w:ascii="Cambria Math" w:hAnsi="Cambria Math"/>
                        </w:rPr>
                        <m:t>i,t</m:t>
                      </m:r>
                    </m:e>
                  </m:d>
                </m:e>
              </m:d>
            </m:e>
          </m:func>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3</m:t>
              </m:r>
            </m:sub>
          </m:sSub>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weekly tests per capita</m:t>
                  </m:r>
                  <m:d>
                    <m:dPr>
                      <m:ctrlPr>
                        <w:rPr>
                          <w:rFonts w:ascii="Cambria Math" w:hAnsi="Cambria Math"/>
                          <w:i/>
                          <w:iCs/>
                        </w:rPr>
                      </m:ctrlPr>
                    </m:dPr>
                    <m:e>
                      <m:r>
                        <w:rPr>
                          <w:rFonts w:ascii="Cambria Math" w:hAnsi="Cambria Math"/>
                        </w:rPr>
                        <m:t>i,t</m:t>
                      </m:r>
                    </m:e>
                  </m:d>
                  <m:ctrlPr>
                    <w:rPr>
                      <w:rFonts w:ascii="Cambria Math" w:hAnsi="Cambria Math"/>
                      <w:i/>
                      <w:iCs/>
                    </w:rPr>
                  </m:ctrlPr>
                </m:e>
              </m:d>
            </m:e>
          </m:func>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4</m:t>
              </m:r>
            </m:sub>
          </m:sSub>
          <m:r>
            <w:rPr>
              <w:rFonts w:ascii="Cambria Math" w:hAnsi="Cambria Math"/>
            </w:rPr>
            <m:t>×cumulative cases per capita</m:t>
          </m:r>
          <m:d>
            <m:dPr>
              <m:ctrlPr>
                <w:rPr>
                  <w:rFonts w:ascii="Cambria Math" w:hAnsi="Cambria Math"/>
                  <w:i/>
                  <w:iCs/>
                </w:rPr>
              </m:ctrlPr>
            </m:dPr>
            <m:e>
              <m:r>
                <w:rPr>
                  <w:rFonts w:ascii="Cambria Math" w:hAnsi="Cambria Math"/>
                </w:rPr>
                <m:t>i,t</m:t>
              </m:r>
            </m:e>
          </m:d>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5</m:t>
              </m:r>
            </m:sub>
          </m:sSub>
          <m:r>
            <w:rPr>
              <w:rFonts w:ascii="Cambria Math" w:hAnsi="Cambria Math"/>
            </w:rPr>
            <m:t>× % Black resident</m:t>
          </m:r>
          <m:d>
            <m:dPr>
              <m:ctrlPr>
                <w:rPr>
                  <w:rFonts w:ascii="Cambria Math" w:hAnsi="Cambria Math"/>
                  <w:i/>
                  <w:iCs/>
                </w:rPr>
              </m:ctrlPr>
            </m:dPr>
            <m:e>
              <m:r>
                <w:rPr>
                  <w:rFonts w:ascii="Cambria Math" w:hAnsi="Cambria Math"/>
                </w:rPr>
                <m:t>i</m:t>
              </m:r>
            </m:e>
          </m:d>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6</m:t>
              </m:r>
            </m:sub>
          </m:sSub>
          <m:r>
            <w:rPr>
              <w:rFonts w:ascii="Cambria Math" w:hAnsi="Cambria Math"/>
            </w:rPr>
            <m:t>× % Hispanic resident</m:t>
          </m:r>
          <m:d>
            <m:dPr>
              <m:ctrlPr>
                <w:rPr>
                  <w:rFonts w:ascii="Cambria Math" w:hAnsi="Cambria Math"/>
                  <w:i/>
                  <w:iCs/>
                </w:rPr>
              </m:ctrlPr>
            </m:dPr>
            <m:e>
              <m:r>
                <w:rPr>
                  <w:rFonts w:ascii="Cambria Math" w:hAnsi="Cambria Math"/>
                </w:rPr>
                <m:t>i</m:t>
              </m:r>
            </m:e>
          </m:d>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7</m:t>
              </m:r>
            </m:sub>
          </m:sSub>
          <m:r>
            <w:rPr>
              <w:rFonts w:ascii="Cambria Math" w:hAnsi="Cambria Math"/>
            </w:rPr>
            <m:t>× % resident over 65</m:t>
          </m:r>
          <m:d>
            <m:dPr>
              <m:ctrlPr>
                <w:rPr>
                  <w:rFonts w:ascii="Cambria Math" w:hAnsi="Cambria Math"/>
                  <w:i/>
                  <w:iCs/>
                </w:rPr>
              </m:ctrlPr>
            </m:dPr>
            <m:e>
              <m:r>
                <w:rPr>
                  <w:rFonts w:ascii="Cambria Math" w:hAnsi="Cambria Math"/>
                </w:rPr>
                <m:t>i</m:t>
              </m:r>
            </m:e>
          </m:d>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8</m:t>
              </m:r>
            </m:sub>
          </m:sSub>
          <m:r>
            <w:rPr>
              <w:rFonts w:ascii="Cambria Math" w:hAnsi="Cambria Math"/>
            </w:rPr>
            <m:t>× median household income</m:t>
          </m:r>
          <m:d>
            <m:dPr>
              <m:ctrlPr>
                <w:rPr>
                  <w:rFonts w:ascii="Cambria Math" w:hAnsi="Cambria Math"/>
                  <w:i/>
                  <w:iCs/>
                </w:rPr>
              </m:ctrlPr>
            </m:dPr>
            <m:e>
              <m:r>
                <w:rPr>
                  <w:rFonts w:ascii="Cambria Math" w:hAnsi="Cambria Math"/>
                </w:rPr>
                <m:t>i</m:t>
              </m:r>
            </m:e>
          </m:d>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9</m:t>
              </m:r>
            </m:sub>
          </m:sSub>
          <m:r>
            <w:rPr>
              <w:rFonts w:ascii="Cambria Math" w:hAnsi="Cambria Math"/>
            </w:rPr>
            <m:t>×% bachelo</m:t>
          </m:r>
          <m:sSup>
            <m:sSupPr>
              <m:ctrlPr>
                <w:rPr>
                  <w:rFonts w:ascii="Cambria Math" w:hAnsi="Cambria Math"/>
                  <w:i/>
                  <w:iCs/>
                </w:rPr>
              </m:ctrlPr>
            </m:sSupPr>
            <m:e>
              <m:r>
                <w:rPr>
                  <w:rFonts w:ascii="Cambria Math" w:hAnsi="Cambria Math"/>
                </w:rPr>
                <m:t>r</m:t>
              </m:r>
            </m:e>
            <m:sup>
              <m:r>
                <w:rPr>
                  <w:rFonts w:ascii="Cambria Math" w:hAnsi="Cambria Math"/>
                </w:rPr>
                <m:t>'</m:t>
              </m:r>
            </m:sup>
          </m:sSup>
          <m:r>
            <w:rPr>
              <w:rFonts w:ascii="Cambria Math" w:hAnsi="Cambria Math"/>
            </w:rPr>
            <m:t>s degree</m:t>
          </m:r>
          <m:d>
            <m:dPr>
              <m:ctrlPr>
                <w:rPr>
                  <w:rFonts w:ascii="Cambria Math" w:hAnsi="Cambria Math"/>
                  <w:i/>
                  <w:iCs/>
                </w:rPr>
              </m:ctrlPr>
            </m:dPr>
            <m:e>
              <m:r>
                <w:rPr>
                  <w:rFonts w:ascii="Cambria Math" w:hAnsi="Cambria Math"/>
                </w:rPr>
                <m:t>i</m:t>
              </m:r>
            </m:e>
          </m:d>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10</m:t>
              </m:r>
            </m:sub>
          </m:sSub>
          <m:r>
            <w:rPr>
              <w:rFonts w:ascii="Cambria Math" w:hAnsi="Cambria Math"/>
            </w:rPr>
            <m:t>×mean household size</m:t>
          </m:r>
          <m:d>
            <m:dPr>
              <m:ctrlPr>
                <w:rPr>
                  <w:rFonts w:ascii="Cambria Math" w:hAnsi="Cambria Math"/>
                  <w:i/>
                  <w:iCs/>
                </w:rPr>
              </m:ctrlPr>
            </m:dPr>
            <m:e>
              <m:r>
                <w:rPr>
                  <w:rFonts w:ascii="Cambria Math" w:hAnsi="Cambria Math"/>
                </w:rPr>
                <m:t>i</m:t>
              </m:r>
            </m:e>
          </m:d>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11</m:t>
              </m:r>
            </m:sub>
          </m:sSub>
          <m:r>
            <w:rPr>
              <w:rFonts w:ascii="Cambria Math" w:hAnsi="Cambria Math"/>
            </w:rPr>
            <m:t>×% fully vaccinated resident</m:t>
          </m:r>
          <m:d>
            <m:dPr>
              <m:ctrlPr>
                <w:rPr>
                  <w:rFonts w:ascii="Cambria Math" w:hAnsi="Cambria Math"/>
                  <w:i/>
                  <w:iCs/>
                </w:rPr>
              </m:ctrlPr>
            </m:dPr>
            <m:e>
              <m:r>
                <w:rPr>
                  <w:rFonts w:ascii="Cambria Math" w:hAnsi="Cambria Math"/>
                </w:rPr>
                <m:t>i, t</m:t>
              </m:r>
            </m:e>
          </m:d>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12</m:t>
              </m:r>
            </m:sub>
          </m:sSub>
          <m:r>
            <w:rPr>
              <w:rFonts w:ascii="Cambria Math" w:hAnsi="Cambria Math"/>
            </w:rPr>
            <m:t>×weekly POI visitors per capita</m:t>
          </m:r>
          <m:d>
            <m:dPr>
              <m:ctrlPr>
                <w:rPr>
                  <w:rFonts w:ascii="Cambria Math" w:hAnsi="Cambria Math"/>
                  <w:i/>
                  <w:iCs/>
                </w:rPr>
              </m:ctrlPr>
            </m:dPr>
            <m:e>
              <m:r>
                <w:rPr>
                  <w:rFonts w:ascii="Cambria Math" w:hAnsi="Cambria Math"/>
                </w:rPr>
                <m:t>i,t</m:t>
              </m:r>
            </m:e>
          </m:d>
          <m:r>
            <w:rPr>
              <w:rFonts w:ascii="Cambria Math" w:hAnsi="Cambria Math"/>
            </w:rPr>
            <m:t>+</m:t>
          </m:r>
          <m:sSub>
            <m:sSubPr>
              <m:ctrlPr>
                <w:rPr>
                  <w:rFonts w:ascii="Cambria Math" w:hAnsi="Cambria Math"/>
                  <w:i/>
                  <w:iCs/>
                </w:rPr>
              </m:ctrlPr>
            </m:sSubPr>
            <m:e>
              <m:r>
                <w:rPr>
                  <w:rFonts w:ascii="Cambria Math" w:hAnsi="Cambria Math"/>
                </w:rPr>
                <m:t>ψ</m:t>
              </m:r>
            </m:e>
            <m:sub>
              <m:r>
                <w:rPr>
                  <w:rFonts w:ascii="Cambria Math" w:hAnsi="Cambria Math"/>
                </w:rPr>
                <m:t>it</m:t>
              </m:r>
            </m:sub>
          </m:sSub>
          <m:r>
            <w:rPr>
              <w:rFonts w:ascii="Cambria Math" w:hAnsi="Cambria Math"/>
            </w:rPr>
            <m:t>+</m:t>
          </m:r>
          <m:sSub>
            <m:sSubPr>
              <m:ctrlPr>
                <w:rPr>
                  <w:rFonts w:ascii="Cambria Math" w:hAnsi="Cambria Math"/>
                  <w:i/>
                  <w:iCs/>
                </w:rPr>
              </m:ctrlPr>
            </m:sSubPr>
            <m:e>
              <m:r>
                <w:rPr>
                  <w:rFonts w:ascii="Cambria Math" w:hAnsi="Cambria Math"/>
                </w:rPr>
                <m:t>ε</m:t>
              </m:r>
            </m:e>
            <m:sub>
              <m:r>
                <w:rPr>
                  <w:rFonts w:ascii="Cambria Math" w:hAnsi="Cambria Math"/>
                </w:rPr>
                <m:t>it</m:t>
              </m:r>
            </m:sub>
          </m:sSub>
          <m:r>
            <w:rPr>
              <w:rFonts w:ascii="Cambria Math" w:hAnsi="Cambria Math"/>
            </w:rPr>
            <m:t>.        [6]</m:t>
          </m:r>
        </m:oMath>
      </m:oMathPara>
    </w:p>
    <w:p w14:paraId="0166C0BA" w14:textId="77777777" w:rsidR="00D3665E" w:rsidRPr="00441A27" w:rsidRDefault="00D3665E" w:rsidP="00D3665E"/>
    <w:p w14:paraId="5DFC4DA6" w14:textId="77777777" w:rsidR="00D3665E" w:rsidRPr="00441A27" w:rsidRDefault="00D3665E" w:rsidP="00D3665E">
      <w:pPr>
        <w:rPr>
          <w:iCs/>
        </w:rPr>
      </w:pPr>
      <w:r w:rsidRPr="00441A27">
        <w:t xml:space="preserve">Here </w:t>
      </w:r>
      <m:oMath>
        <m:r>
          <w:rPr>
            <w:rFonts w:ascii="Cambria Math" w:hAnsi="Cambria Math"/>
          </w:rPr>
          <m:t>d</m:t>
        </m:r>
      </m:oMath>
      <w:r w:rsidRPr="00441A27">
        <w:t xml:space="preserve"> is the lag (in weeks), </w:t>
      </w:r>
      <m:oMath>
        <m:func>
          <m:funcPr>
            <m:ctrlPr>
              <w:rPr>
                <w:rFonts w:ascii="Cambria Math" w:hAnsi="Cambria Math"/>
                <w:i/>
                <w:iCs/>
              </w:rPr>
            </m:ctrlPr>
          </m:funcPr>
          <m:fName>
            <m:r>
              <w:rPr>
                <w:rFonts w:ascii="Cambria Math" w:hAnsi="Cambria Math"/>
              </w:rPr>
              <m:t xml:space="preserve"> log</m:t>
            </m:r>
          </m:fName>
          <m:e>
            <m:d>
              <m:dPr>
                <m:ctrlPr>
                  <w:rPr>
                    <w:rFonts w:ascii="Cambria Math" w:hAnsi="Cambria Math"/>
                    <w:i/>
                    <w:iCs/>
                  </w:rPr>
                </m:ctrlPr>
              </m:dPr>
              <m:e>
                <m:r>
                  <w:rPr>
                    <w:rFonts w:ascii="Cambria Math" w:hAnsi="Cambria Math"/>
                  </w:rPr>
                  <m:t>population(i)</m:t>
                </m:r>
              </m:e>
            </m:d>
          </m:e>
        </m:func>
      </m:oMath>
      <w:r w:rsidRPr="00441A27">
        <w:rPr>
          <w:iCs/>
        </w:rPr>
        <w:t xml:space="preserve"> is the offset, </w:t>
      </w:r>
      <m:oMath>
        <m:sSub>
          <m:sSubPr>
            <m:ctrlPr>
              <w:rPr>
                <w:rFonts w:ascii="Cambria Math" w:hAnsi="Cambria Math"/>
                <w:i/>
                <w:iCs/>
              </w:rPr>
            </m:ctrlPr>
          </m:sSubPr>
          <m:e>
            <m:r>
              <w:rPr>
                <w:rFonts w:ascii="Cambria Math" w:hAnsi="Cambria Math"/>
              </w:rPr>
              <m:t>ψ</m:t>
            </m:r>
          </m:e>
          <m:sub>
            <m:r>
              <w:rPr>
                <w:rFonts w:ascii="Cambria Math" w:hAnsi="Cambria Math"/>
              </w:rPr>
              <m:t>it</m:t>
            </m:r>
          </m:sub>
        </m:sSub>
      </m:oMath>
      <w:r w:rsidRPr="00441A27">
        <w:rPr>
          <w:iCs/>
        </w:rPr>
        <w:t xml:space="preserve"> is the random effect for location </w:t>
      </w:r>
      <m:oMath>
        <m:r>
          <w:rPr>
            <w:rFonts w:ascii="Cambria Math" w:hAnsi="Cambria Math"/>
          </w:rPr>
          <m:t>i</m:t>
        </m:r>
      </m:oMath>
      <w:r w:rsidRPr="00441A27">
        <w:rPr>
          <w:iCs/>
        </w:rPr>
        <w:t xml:space="preserve"> and week </w:t>
      </w:r>
      <m:oMath>
        <m:r>
          <w:rPr>
            <w:rFonts w:ascii="Cambria Math" w:hAnsi="Cambria Math"/>
          </w:rPr>
          <m:t>t</m:t>
        </m:r>
      </m:oMath>
      <w:r w:rsidRPr="00441A27">
        <w:rPr>
          <w:iCs/>
        </w:rPr>
        <w:t xml:space="preserve">, and </w:t>
      </w:r>
      <m:oMath>
        <m:sSub>
          <m:sSubPr>
            <m:ctrlPr>
              <w:rPr>
                <w:rFonts w:ascii="Cambria Math" w:hAnsi="Cambria Math"/>
                <w:i/>
                <w:iCs/>
              </w:rPr>
            </m:ctrlPr>
          </m:sSubPr>
          <m:e>
            <m:r>
              <w:rPr>
                <w:rFonts w:ascii="Cambria Math" w:hAnsi="Cambria Math"/>
              </w:rPr>
              <m:t>ε</m:t>
            </m:r>
          </m:e>
          <m:sub>
            <m:r>
              <w:rPr>
                <w:rFonts w:ascii="Cambria Math" w:hAnsi="Cambria Math"/>
              </w:rPr>
              <m:t>it</m:t>
            </m:r>
          </m:sub>
        </m:sSub>
      </m:oMath>
      <w:r w:rsidRPr="00441A27">
        <w:rPr>
          <w:iCs/>
        </w:rPr>
        <w:t xml:space="preserve"> is the error term. In the main model, we used </w:t>
      </w:r>
      <m:oMath>
        <m:r>
          <w:rPr>
            <w:rFonts w:ascii="Cambria Math" w:hAnsi="Cambria Math"/>
          </w:rPr>
          <m:t>d=0</m:t>
        </m:r>
      </m:oMath>
      <w:r w:rsidRPr="00441A27">
        <w:rPr>
          <w:iCs/>
        </w:rPr>
        <w:t xml:space="preserve"> (no lag). We additionally tested </w:t>
      </w:r>
      <m:oMath>
        <m:r>
          <w:rPr>
            <w:rFonts w:ascii="Cambria Math" w:hAnsi="Cambria Math"/>
          </w:rPr>
          <m:t>d=1</m:t>
        </m:r>
      </m:oMath>
      <w:r w:rsidRPr="00441A27">
        <w:rPr>
          <w:iCs/>
        </w:rPr>
        <w:t xml:space="preserve"> and </w:t>
      </w:r>
      <m:oMath>
        <m:r>
          <w:rPr>
            <w:rFonts w:ascii="Cambria Math" w:hAnsi="Cambria Math"/>
          </w:rPr>
          <m:t>d=2</m:t>
        </m:r>
      </m:oMath>
      <w:r w:rsidRPr="00441A27">
        <w:rPr>
          <w:iCs/>
        </w:rPr>
        <w:t xml:space="preserve"> as a sensitivity analysis.</w:t>
      </w:r>
    </w:p>
    <w:p w14:paraId="333BCE58" w14:textId="77777777" w:rsidR="00D3665E" w:rsidRPr="00441A27" w:rsidRDefault="00D3665E" w:rsidP="00D3665E">
      <w:pPr>
        <w:rPr>
          <w:iCs/>
        </w:rPr>
      </w:pPr>
    </w:p>
    <w:p w14:paraId="1867E0A2" w14:textId="77777777" w:rsidR="00D3665E" w:rsidRPr="00441A27" w:rsidRDefault="00D3665E" w:rsidP="00D3665E">
      <w:pPr>
        <w:rPr>
          <w:iCs/>
        </w:rPr>
      </w:pPr>
      <w:r w:rsidRPr="00441A27">
        <w:rPr>
          <w:iCs/>
        </w:rPr>
        <w:t>The model for cross-zip code transmission is defined similarly:</w:t>
      </w:r>
    </w:p>
    <w:p w14:paraId="64217872" w14:textId="77777777" w:rsidR="00D3665E" w:rsidRPr="00441A27" w:rsidRDefault="00D3665E" w:rsidP="00D3665E">
      <w:pPr>
        <w:rPr>
          <w:iCs/>
        </w:rPr>
      </w:pPr>
    </w:p>
    <w:p w14:paraId="7316A632" w14:textId="77777777" w:rsidR="00D3665E" w:rsidRPr="00441A27" w:rsidRDefault="00000000" w:rsidP="00D3665E">
      <m:oMathPara>
        <m:oMath>
          <m:func>
            <m:funcPr>
              <m:ctrlPr>
                <w:rPr>
                  <w:rFonts w:ascii="Cambria Math" w:hAnsi="Cambria Math"/>
                  <w:i/>
                  <w:iCs/>
                </w:rPr>
              </m:ctrlPr>
            </m:funcPr>
            <m:fName>
              <m:r>
                <w:rPr>
                  <w:rFonts w:ascii="Cambria Math" w:hAnsi="Cambria Math"/>
                </w:rPr>
                <m:t>log</m:t>
              </m:r>
            </m:fName>
            <m:e>
              <m:d>
                <m:dPr>
                  <m:ctrlPr>
                    <w:rPr>
                      <w:rFonts w:ascii="Cambria Math" w:hAnsi="Cambria Math"/>
                      <w:i/>
                      <w:iCs/>
                    </w:rPr>
                  </m:ctrlPr>
                </m:dPr>
                <m:e>
                  <m:sSub>
                    <m:sSubPr>
                      <m:ctrlPr>
                        <w:rPr>
                          <w:rFonts w:ascii="Cambria Math" w:hAnsi="Cambria Math"/>
                          <w:i/>
                          <w:iCs/>
                        </w:rPr>
                      </m:ctrlPr>
                    </m:sSubPr>
                    <m:e>
                      <m:r>
                        <w:rPr>
                          <w:rFonts w:ascii="Cambria Math" w:hAnsi="Cambria Math"/>
                        </w:rPr>
                        <m:t>y</m:t>
                      </m:r>
                    </m:e>
                    <m:sub>
                      <m:r>
                        <w:rPr>
                          <w:rFonts w:ascii="Cambria Math" w:hAnsi="Cambria Math"/>
                        </w:rPr>
                        <m:t>cross</m:t>
                      </m:r>
                    </m:sub>
                  </m:sSub>
                  <m:r>
                    <w:rPr>
                      <w:rFonts w:ascii="Cambria Math" w:hAnsi="Cambria Math"/>
                    </w:rPr>
                    <m:t>(i,t+d)</m:t>
                  </m:r>
                </m:e>
              </m:d>
            </m:e>
          </m:func>
          <m:r>
            <w:rPr>
              <w:rFonts w:ascii="Cambria Math" w:hAnsi="Cambria Math"/>
            </w:rPr>
            <m:t>=</m:t>
          </m:r>
          <m:func>
            <m:funcPr>
              <m:ctrlPr>
                <w:rPr>
                  <w:rFonts w:ascii="Cambria Math" w:hAnsi="Cambria Math"/>
                  <w:i/>
                  <w:iCs/>
                </w:rPr>
              </m:ctrlPr>
            </m:funcPr>
            <m:fName>
              <m:r>
                <w:rPr>
                  <w:rFonts w:ascii="Cambria Math" w:hAnsi="Cambria Math"/>
                </w:rPr>
                <m:t xml:space="preserve"> log</m:t>
              </m:r>
            </m:fName>
            <m:e>
              <m:d>
                <m:dPr>
                  <m:ctrlPr>
                    <w:rPr>
                      <w:rFonts w:ascii="Cambria Math" w:hAnsi="Cambria Math"/>
                      <w:i/>
                      <w:iCs/>
                    </w:rPr>
                  </m:ctrlPr>
                </m:dPr>
                <m:e>
                  <m:r>
                    <w:rPr>
                      <w:rFonts w:ascii="Cambria Math" w:hAnsi="Cambria Math"/>
                    </w:rPr>
                    <m:t>population(i)</m:t>
                  </m:r>
                </m:e>
              </m:d>
            </m:e>
          </m:func>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1</m:t>
              </m:r>
            </m:sub>
          </m:sSub>
          <m:r>
            <w:rPr>
              <w:rFonts w:ascii="Cambria Math" w:hAnsi="Cambria Math"/>
            </w:rPr>
            <m:t>×</m:t>
          </m:r>
          <m:func>
            <m:funcPr>
              <m:ctrlPr>
                <w:rPr>
                  <w:rFonts w:ascii="Cambria Math" w:hAnsi="Cambria Math"/>
                  <w:i/>
                  <w:iCs/>
                </w:rPr>
              </m:ctrlPr>
            </m:funcPr>
            <m:fName>
              <m:r>
                <w:rPr>
                  <w:rFonts w:ascii="Cambria Math" w:hAnsi="Cambria Math"/>
                </w:rPr>
                <m:t>log</m:t>
              </m:r>
            </m:fName>
            <m:e>
              <m:d>
                <m:dPr>
                  <m:ctrlPr>
                    <w:rPr>
                      <w:rFonts w:ascii="Cambria Math" w:hAnsi="Cambria Math"/>
                      <w:i/>
                      <w:iCs/>
                    </w:rPr>
                  </m:ctrlPr>
                </m:dPr>
                <m:e>
                  <m:r>
                    <w:rPr>
                      <w:rFonts w:ascii="Cambria Math" w:hAnsi="Cambria Math"/>
                    </w:rPr>
                    <m:t>population density(i)</m:t>
                  </m:r>
                </m:e>
              </m:d>
            </m:e>
          </m:func>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2</m:t>
              </m:r>
            </m:sub>
          </m:sSub>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weekly cases per capita</m:t>
                  </m:r>
                  <m:d>
                    <m:dPr>
                      <m:ctrlPr>
                        <w:rPr>
                          <w:rFonts w:ascii="Cambria Math" w:hAnsi="Cambria Math"/>
                          <w:i/>
                          <w:iCs/>
                        </w:rPr>
                      </m:ctrlPr>
                    </m:dPr>
                    <m:e>
                      <m:r>
                        <w:rPr>
                          <w:rFonts w:ascii="Cambria Math" w:hAnsi="Cambria Math"/>
                        </w:rPr>
                        <m:t>i,t</m:t>
                      </m:r>
                    </m:e>
                  </m:d>
                </m:e>
              </m:d>
            </m:e>
          </m:func>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3</m:t>
              </m:r>
            </m:sub>
          </m:sSub>
          <m:r>
            <w:rPr>
              <w:rFonts w:ascii="Cambria Math" w:hAnsi="Cambria Math"/>
            </w:rPr>
            <m:t>×</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weekly tests per capita</m:t>
                  </m:r>
                  <m:d>
                    <m:dPr>
                      <m:ctrlPr>
                        <w:rPr>
                          <w:rFonts w:ascii="Cambria Math" w:hAnsi="Cambria Math"/>
                          <w:i/>
                          <w:iCs/>
                        </w:rPr>
                      </m:ctrlPr>
                    </m:dPr>
                    <m:e>
                      <m:r>
                        <w:rPr>
                          <w:rFonts w:ascii="Cambria Math" w:hAnsi="Cambria Math"/>
                        </w:rPr>
                        <m:t>i,t</m:t>
                      </m:r>
                    </m:e>
                  </m:d>
                  <m:ctrlPr>
                    <w:rPr>
                      <w:rFonts w:ascii="Cambria Math" w:hAnsi="Cambria Math"/>
                      <w:i/>
                      <w:iCs/>
                    </w:rPr>
                  </m:ctrlPr>
                </m:e>
              </m:d>
            </m:e>
          </m:func>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4</m:t>
              </m:r>
            </m:sub>
          </m:sSub>
          <m:r>
            <w:rPr>
              <w:rFonts w:ascii="Cambria Math" w:hAnsi="Cambria Math"/>
            </w:rPr>
            <m:t>×cumulative cases per capita</m:t>
          </m:r>
          <m:d>
            <m:dPr>
              <m:ctrlPr>
                <w:rPr>
                  <w:rFonts w:ascii="Cambria Math" w:hAnsi="Cambria Math"/>
                  <w:i/>
                  <w:iCs/>
                </w:rPr>
              </m:ctrlPr>
            </m:dPr>
            <m:e>
              <m:r>
                <w:rPr>
                  <w:rFonts w:ascii="Cambria Math" w:hAnsi="Cambria Math"/>
                </w:rPr>
                <m:t>i,t</m:t>
              </m:r>
            </m:e>
          </m:d>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5</m:t>
              </m:r>
            </m:sub>
          </m:sSub>
          <m:r>
            <w:rPr>
              <w:rFonts w:ascii="Cambria Math" w:hAnsi="Cambria Math"/>
            </w:rPr>
            <m:t>× % Black resident</m:t>
          </m:r>
          <m:d>
            <m:dPr>
              <m:ctrlPr>
                <w:rPr>
                  <w:rFonts w:ascii="Cambria Math" w:hAnsi="Cambria Math"/>
                  <w:i/>
                  <w:iCs/>
                </w:rPr>
              </m:ctrlPr>
            </m:dPr>
            <m:e>
              <m:r>
                <w:rPr>
                  <w:rFonts w:ascii="Cambria Math" w:hAnsi="Cambria Math"/>
                </w:rPr>
                <m:t>i</m:t>
              </m:r>
            </m:e>
          </m:d>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6</m:t>
              </m:r>
            </m:sub>
          </m:sSub>
          <m:r>
            <w:rPr>
              <w:rFonts w:ascii="Cambria Math" w:hAnsi="Cambria Math"/>
            </w:rPr>
            <m:t>× % Hispanic resident</m:t>
          </m:r>
          <m:d>
            <m:dPr>
              <m:ctrlPr>
                <w:rPr>
                  <w:rFonts w:ascii="Cambria Math" w:hAnsi="Cambria Math"/>
                  <w:i/>
                  <w:iCs/>
                </w:rPr>
              </m:ctrlPr>
            </m:dPr>
            <m:e>
              <m:r>
                <w:rPr>
                  <w:rFonts w:ascii="Cambria Math" w:hAnsi="Cambria Math"/>
                </w:rPr>
                <m:t>i</m:t>
              </m:r>
            </m:e>
          </m:d>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7</m:t>
              </m:r>
            </m:sub>
          </m:sSub>
          <m:r>
            <w:rPr>
              <w:rFonts w:ascii="Cambria Math" w:hAnsi="Cambria Math"/>
            </w:rPr>
            <m:t>× % resident over 65</m:t>
          </m:r>
          <m:d>
            <m:dPr>
              <m:ctrlPr>
                <w:rPr>
                  <w:rFonts w:ascii="Cambria Math" w:hAnsi="Cambria Math"/>
                  <w:i/>
                  <w:iCs/>
                </w:rPr>
              </m:ctrlPr>
            </m:dPr>
            <m:e>
              <m:r>
                <w:rPr>
                  <w:rFonts w:ascii="Cambria Math" w:hAnsi="Cambria Math"/>
                </w:rPr>
                <m:t>i</m:t>
              </m:r>
            </m:e>
          </m:d>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8</m:t>
              </m:r>
            </m:sub>
          </m:sSub>
          <m:r>
            <w:rPr>
              <w:rFonts w:ascii="Cambria Math" w:hAnsi="Cambria Math"/>
            </w:rPr>
            <m:t>× median household income</m:t>
          </m:r>
          <m:d>
            <m:dPr>
              <m:ctrlPr>
                <w:rPr>
                  <w:rFonts w:ascii="Cambria Math" w:hAnsi="Cambria Math"/>
                  <w:i/>
                  <w:iCs/>
                </w:rPr>
              </m:ctrlPr>
            </m:dPr>
            <m:e>
              <m:r>
                <w:rPr>
                  <w:rFonts w:ascii="Cambria Math" w:hAnsi="Cambria Math"/>
                </w:rPr>
                <m:t>i</m:t>
              </m:r>
            </m:e>
          </m:d>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9</m:t>
              </m:r>
            </m:sub>
          </m:sSub>
          <m:r>
            <w:rPr>
              <w:rFonts w:ascii="Cambria Math" w:hAnsi="Cambria Math"/>
            </w:rPr>
            <m:t>×% bachelo</m:t>
          </m:r>
          <m:sSup>
            <m:sSupPr>
              <m:ctrlPr>
                <w:rPr>
                  <w:rFonts w:ascii="Cambria Math" w:hAnsi="Cambria Math"/>
                  <w:i/>
                  <w:iCs/>
                </w:rPr>
              </m:ctrlPr>
            </m:sSupPr>
            <m:e>
              <m:r>
                <w:rPr>
                  <w:rFonts w:ascii="Cambria Math" w:hAnsi="Cambria Math"/>
                </w:rPr>
                <m:t>r</m:t>
              </m:r>
            </m:e>
            <m:sup>
              <m:r>
                <w:rPr>
                  <w:rFonts w:ascii="Cambria Math" w:hAnsi="Cambria Math"/>
                </w:rPr>
                <m:t>'</m:t>
              </m:r>
            </m:sup>
          </m:sSup>
          <m:r>
            <w:rPr>
              <w:rFonts w:ascii="Cambria Math" w:hAnsi="Cambria Math"/>
            </w:rPr>
            <m:t>s degree</m:t>
          </m:r>
          <m:d>
            <m:dPr>
              <m:ctrlPr>
                <w:rPr>
                  <w:rFonts w:ascii="Cambria Math" w:hAnsi="Cambria Math"/>
                  <w:i/>
                  <w:iCs/>
                </w:rPr>
              </m:ctrlPr>
            </m:dPr>
            <m:e>
              <m:r>
                <w:rPr>
                  <w:rFonts w:ascii="Cambria Math" w:hAnsi="Cambria Math"/>
                </w:rPr>
                <m:t>i</m:t>
              </m:r>
            </m:e>
          </m:d>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10</m:t>
              </m:r>
            </m:sub>
          </m:sSub>
          <m:r>
            <w:rPr>
              <w:rFonts w:ascii="Cambria Math" w:hAnsi="Cambria Math"/>
            </w:rPr>
            <m:t>×mean household size</m:t>
          </m:r>
          <m:d>
            <m:dPr>
              <m:ctrlPr>
                <w:rPr>
                  <w:rFonts w:ascii="Cambria Math" w:hAnsi="Cambria Math"/>
                  <w:i/>
                  <w:iCs/>
                </w:rPr>
              </m:ctrlPr>
            </m:dPr>
            <m:e>
              <m:r>
                <w:rPr>
                  <w:rFonts w:ascii="Cambria Math" w:hAnsi="Cambria Math"/>
                </w:rPr>
                <m:t>i</m:t>
              </m:r>
            </m:e>
          </m:d>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11</m:t>
              </m:r>
            </m:sub>
          </m:sSub>
          <m:r>
            <w:rPr>
              <w:rFonts w:ascii="Cambria Math" w:hAnsi="Cambria Math"/>
            </w:rPr>
            <m:t>×% fully vaccinated resident</m:t>
          </m:r>
          <m:d>
            <m:dPr>
              <m:ctrlPr>
                <w:rPr>
                  <w:rFonts w:ascii="Cambria Math" w:hAnsi="Cambria Math"/>
                  <w:i/>
                  <w:iCs/>
                </w:rPr>
              </m:ctrlPr>
            </m:dPr>
            <m:e>
              <m:r>
                <w:rPr>
                  <w:rFonts w:ascii="Cambria Math" w:hAnsi="Cambria Math"/>
                </w:rPr>
                <m:t>i, t</m:t>
              </m:r>
            </m:e>
          </m:d>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12</m:t>
              </m:r>
            </m:sub>
          </m:sSub>
          <m:r>
            <w:rPr>
              <w:rFonts w:ascii="Cambria Math" w:hAnsi="Cambria Math"/>
            </w:rPr>
            <m:t>×weekly POI visitors per capita</m:t>
          </m:r>
          <m:d>
            <m:dPr>
              <m:ctrlPr>
                <w:rPr>
                  <w:rFonts w:ascii="Cambria Math" w:hAnsi="Cambria Math"/>
                  <w:i/>
                  <w:iCs/>
                </w:rPr>
              </m:ctrlPr>
            </m:dPr>
            <m:e>
              <m:r>
                <w:rPr>
                  <w:rFonts w:ascii="Cambria Math" w:hAnsi="Cambria Math"/>
                </w:rPr>
                <m:t>i,t</m:t>
              </m:r>
            </m:e>
          </m:d>
          <m:r>
            <w:rPr>
              <w:rFonts w:ascii="Cambria Math" w:hAnsi="Cambria Math"/>
            </w:rPr>
            <m:t>+</m:t>
          </m:r>
          <m:sSub>
            <m:sSubPr>
              <m:ctrlPr>
                <w:rPr>
                  <w:rFonts w:ascii="Cambria Math" w:hAnsi="Cambria Math"/>
                  <w:i/>
                  <w:iCs/>
                </w:rPr>
              </m:ctrlPr>
            </m:sSubPr>
            <m:e>
              <m:r>
                <w:rPr>
                  <w:rFonts w:ascii="Cambria Math" w:hAnsi="Cambria Math"/>
                </w:rPr>
                <m:t>ψ</m:t>
              </m:r>
            </m:e>
            <m:sub>
              <m:r>
                <w:rPr>
                  <w:rFonts w:ascii="Cambria Math" w:hAnsi="Cambria Math"/>
                </w:rPr>
                <m:t>it</m:t>
              </m:r>
            </m:sub>
          </m:sSub>
          <m:r>
            <w:rPr>
              <w:rFonts w:ascii="Cambria Math" w:hAnsi="Cambria Math"/>
            </w:rPr>
            <m:t>+</m:t>
          </m:r>
          <m:sSub>
            <m:sSubPr>
              <m:ctrlPr>
                <w:rPr>
                  <w:rFonts w:ascii="Cambria Math" w:hAnsi="Cambria Math"/>
                  <w:i/>
                  <w:iCs/>
                </w:rPr>
              </m:ctrlPr>
            </m:sSubPr>
            <m:e>
              <m:r>
                <w:rPr>
                  <w:rFonts w:ascii="Cambria Math" w:hAnsi="Cambria Math"/>
                </w:rPr>
                <m:t>ε</m:t>
              </m:r>
            </m:e>
            <m:sub>
              <m:r>
                <w:rPr>
                  <w:rFonts w:ascii="Cambria Math" w:hAnsi="Cambria Math"/>
                </w:rPr>
                <m:t>it</m:t>
              </m:r>
            </m:sub>
          </m:sSub>
          <m:r>
            <w:rPr>
              <w:rFonts w:ascii="Cambria Math" w:hAnsi="Cambria Math"/>
            </w:rPr>
            <m:t>.        [7]</m:t>
          </m:r>
        </m:oMath>
      </m:oMathPara>
    </w:p>
    <w:p w14:paraId="79184F7F" w14:textId="77777777" w:rsidR="00CA2103" w:rsidRDefault="00CA2103" w:rsidP="00D3665E">
      <w:pPr>
        <w:rPr>
          <w:u w:val="single"/>
        </w:rPr>
      </w:pPr>
    </w:p>
    <w:p w14:paraId="46F2C4E0" w14:textId="34AEB20D" w:rsidR="00D3665E" w:rsidRPr="00CA2103" w:rsidRDefault="00D3665E" w:rsidP="00D3665E">
      <w:pPr>
        <w:rPr>
          <w:b/>
          <w:bCs/>
        </w:rPr>
      </w:pPr>
      <w:r w:rsidRPr="00CA2103">
        <w:rPr>
          <w:b/>
          <w:bCs/>
        </w:rPr>
        <w:t>3.2 Controlling for spatial-temporal autocorrelation</w:t>
      </w:r>
    </w:p>
    <w:p w14:paraId="2CF15A64" w14:textId="77777777" w:rsidR="00CA2103" w:rsidRDefault="00CA2103" w:rsidP="00D3665E">
      <w:pPr>
        <w:rPr>
          <w:u w:val="single"/>
        </w:rPr>
      </w:pPr>
    </w:p>
    <w:p w14:paraId="6A7790D3" w14:textId="10716218" w:rsidR="00D3665E" w:rsidRPr="00441A27" w:rsidRDefault="00D3665E" w:rsidP="00D3665E">
      <w:r w:rsidRPr="00441A27">
        <w:t xml:space="preserve">We first fitted a model without considering spatial-temporal autocorrelation in the random effect </w:t>
      </w:r>
      <m:oMath>
        <m:sSub>
          <m:sSubPr>
            <m:ctrlPr>
              <w:rPr>
                <w:rFonts w:ascii="Cambria Math" w:hAnsi="Cambria Math"/>
                <w:i/>
                <w:iCs/>
              </w:rPr>
            </m:ctrlPr>
          </m:sSubPr>
          <m:e>
            <m:r>
              <w:rPr>
                <w:rFonts w:ascii="Cambria Math" w:hAnsi="Cambria Math"/>
              </w:rPr>
              <m:t>ψ</m:t>
            </m:r>
          </m:e>
          <m:sub>
            <m:r>
              <w:rPr>
                <w:rFonts w:ascii="Cambria Math" w:hAnsi="Cambria Math"/>
              </w:rPr>
              <m:t>it</m:t>
            </m:r>
          </m:sub>
        </m:sSub>
      </m:oMath>
      <w:r w:rsidRPr="00441A27">
        <w:rPr>
          <w:iCs/>
        </w:rPr>
        <w:t>; however, we found signatures of spatial autocorrelation in the residuals using Moran’s I test for each week. The dependent variables are also temporally autocorrelated. Neglecting such spatial-temporal autocorrelation will lead to overconfidence in the estimated effect size, i.e., the standard errors will be biased too small</w:t>
      </w:r>
      <w:r w:rsidR="00BE6799">
        <w:rPr>
          <w:iCs/>
        </w:rPr>
        <w:fldChar w:fldCharType="begin"/>
      </w:r>
      <w:r w:rsidR="00BE6799">
        <w:rPr>
          <w:iCs/>
        </w:rPr>
        <w:instrText xml:space="preserve"> ADDIN ZOTERO_ITEM CSL_CITATION {"citationID":"2rIlNIXg","properties":{"formattedCitation":"\\super 5\\nosupersub{}","plainCitation":"5","noteIndex":0},"citationItems":[{"id":2461,"uris":["http://zotero.org/users/6798153/items/E6TX5L2X"],"itemData":{"id":2461,"type":"article-journal","container-title":"Ecography","DOI":"10.1111/j.2007.0906-7590.05171.x","ISSN":"09067590","issue":"5","journalAbbreviation":"Ecography","language":"en","page":"609-628","source":"DOI.org (Crossref)","title":"Methods to account for spatial autocorrelation in the analysis of species distributional data: a review","title-short":"Methods to account for spatial autocorrelation in the analysis of species distributional data","volume":"30","author":[{"family":"F. Dormann","given":"Carsten"},{"family":"M. McPherson","given":"Jana"},{"family":"B. Araújo","given":"Miguel"},{"family":"Bivand","given":"Roger"},{"family":"Bolliger","given":"Janine"},{"family":"Carl","given":"Gudrun"},{"family":"G. Davies","given":"Richard"},{"family":"Hirzel","given":"Alexandre"},{"family":"Jetz","given":"Walter"},{"family":"Daniel Kissling","given":"W."},{"family":"Kühn","given":"Ingolf"},{"family":"Ohlemüller","given":"Ralf"},{"family":"R. Peres-Neto","given":"Pedro"},{"family":"Reineking","given":"Björn"},{"family":"Schröder","given":"Boris"},{"family":"M. Schurr","given":"Frank"},{"family":"Wilson","given":"Robert"}],"issued":{"date-parts":[["2007",10]]}}}],"schema":"https://github.com/citation-style-language/schema/raw/master/csl-citation.json"} </w:instrText>
      </w:r>
      <w:r w:rsidR="00BE6799">
        <w:rPr>
          <w:iCs/>
        </w:rPr>
        <w:fldChar w:fldCharType="separate"/>
      </w:r>
      <w:r w:rsidR="00BE6799" w:rsidRPr="00BE6799">
        <w:rPr>
          <w:vertAlign w:val="superscript"/>
        </w:rPr>
        <w:t>5</w:t>
      </w:r>
      <w:r w:rsidR="00BE6799">
        <w:rPr>
          <w:iCs/>
        </w:rPr>
        <w:fldChar w:fldCharType="end"/>
      </w:r>
      <w:r w:rsidRPr="00441A27">
        <w:rPr>
          <w:iCs/>
        </w:rPr>
        <w:t>.</w:t>
      </w:r>
    </w:p>
    <w:p w14:paraId="07FBEB7D" w14:textId="77777777" w:rsidR="00D3665E" w:rsidRPr="00441A27" w:rsidRDefault="00D3665E" w:rsidP="00D3665E"/>
    <w:p w14:paraId="6685BF0C" w14:textId="34018601" w:rsidR="00D3665E" w:rsidRDefault="00D3665E" w:rsidP="00D3665E">
      <w:pPr>
        <w:rPr>
          <w:iCs/>
        </w:rPr>
      </w:pPr>
      <w:r w:rsidRPr="00441A27">
        <w:t xml:space="preserve">To account for this inherent spatial-temporal autocorrelation in the dependent variables </w:t>
      </w:r>
      <m:oMath>
        <m:sSub>
          <m:sSubPr>
            <m:ctrlPr>
              <w:rPr>
                <w:rFonts w:ascii="Cambria Math" w:hAnsi="Cambria Math"/>
                <w:i/>
              </w:rPr>
            </m:ctrlPr>
          </m:sSubPr>
          <m:e>
            <m:r>
              <w:rPr>
                <w:rFonts w:ascii="Cambria Math" w:hAnsi="Cambria Math"/>
              </w:rPr>
              <m:t>y</m:t>
            </m:r>
          </m:e>
          <m:sub>
            <m:r>
              <w:rPr>
                <w:rFonts w:ascii="Cambria Math" w:hAnsi="Cambria Math"/>
              </w:rPr>
              <m:t>within</m:t>
            </m:r>
          </m:sub>
        </m:sSub>
        <m:r>
          <w:rPr>
            <w:rFonts w:ascii="Cambria Math" w:hAnsi="Cambria Math"/>
          </w:rPr>
          <m:t>(i,t)</m:t>
        </m:r>
      </m:oMath>
      <w:r w:rsidRPr="00441A27">
        <w:t xml:space="preserve"> and </w:t>
      </w:r>
      <m:oMath>
        <m:sSub>
          <m:sSubPr>
            <m:ctrlPr>
              <w:rPr>
                <w:rFonts w:ascii="Cambria Math" w:hAnsi="Cambria Math"/>
                <w:i/>
              </w:rPr>
            </m:ctrlPr>
          </m:sSubPr>
          <m:e>
            <m:r>
              <w:rPr>
                <w:rFonts w:ascii="Cambria Math" w:hAnsi="Cambria Math"/>
              </w:rPr>
              <m:t>y</m:t>
            </m:r>
          </m:e>
          <m:sub>
            <m:r>
              <w:rPr>
                <w:rFonts w:ascii="Cambria Math" w:hAnsi="Cambria Math"/>
              </w:rPr>
              <m:t>cross</m:t>
            </m:r>
          </m:sub>
        </m:sSub>
        <m:r>
          <w:rPr>
            <w:rFonts w:ascii="Cambria Math" w:hAnsi="Cambria Math"/>
          </w:rPr>
          <m:t>(i,t)</m:t>
        </m:r>
      </m:oMath>
      <w:r w:rsidRPr="00441A27">
        <w:t xml:space="preserve">, we modeled the random effect </w:t>
      </w:r>
      <m:oMath>
        <m:sSub>
          <m:sSubPr>
            <m:ctrlPr>
              <w:rPr>
                <w:rFonts w:ascii="Cambria Math" w:hAnsi="Cambria Math"/>
                <w:i/>
                <w:iCs/>
              </w:rPr>
            </m:ctrlPr>
          </m:sSubPr>
          <m:e>
            <m:r>
              <w:rPr>
                <w:rFonts w:ascii="Cambria Math" w:hAnsi="Cambria Math"/>
              </w:rPr>
              <m:t>ψ</m:t>
            </m:r>
          </m:e>
          <m:sub>
            <m:r>
              <w:rPr>
                <w:rFonts w:ascii="Cambria Math" w:hAnsi="Cambria Math"/>
              </w:rPr>
              <m:t>it</m:t>
            </m:r>
          </m:sub>
        </m:sSub>
      </m:oMath>
      <w:r w:rsidRPr="00441A27">
        <w:rPr>
          <w:iCs/>
        </w:rPr>
        <w:t xml:space="preserve"> using conditional autoregressive (CAR) priors</w:t>
      </w:r>
      <w:r w:rsidR="00BE6799">
        <w:rPr>
          <w:iCs/>
        </w:rPr>
        <w:fldChar w:fldCharType="begin"/>
      </w:r>
      <w:r w:rsidR="00BE6799">
        <w:rPr>
          <w:iCs/>
        </w:rPr>
        <w:instrText xml:space="preserve"> ADDIN ZOTERO_ITEM CSL_CITATION {"citationID":"xZ24kHmo","properties":{"formattedCitation":"\\super 6,7\\nosupersub{}","plainCitation":"6,7","noteIndex":0},"citationItems":[{"id":2465,"uris":["http://zotero.org/users/6798153/items/D57CSSP7"],"itemData":{"id":2465,"type":"article-journal","abstract":"Spatial data relating to non-overlapping areal units are prevalent in fields such as economics, environmental science, epidemiology and social science, and a large suite of modeling tools have been developed for analysing these data. Many utilize conditional autoregressive (CAR) priors to capture the spatial autocorrelation inherent in these data, and software packages such as CARBayes and R-INLA have been developed to make these models easily accessible to others. Such spatial data are typically available for multiple time periods, and the development of methodology for capturing temporally changing spatial dynamics is the focus of much current research. A sizeable proportion of this literature has focused on extending CAR priors to the spatio-temporal domain, and this article presents the R package CARBayesST, which is the first dedicated software package for spatio-temporal areal unit modeling with conditional autoregressive priors. The software package allows to fit a range of models focused on different aspects of spacetime modeling, including estimation of overall space and time trends, and the identification of clusters of areal units that exhibit elevated values. This paper outlines the class of models that the software package implement, before applying them to simulated and two real examples from the fields of epidemiology and housing market analysis.","container-title":"Journal of Statistical Software","DOI":"10.18637/jss.v084.i09","ISSN":"1548-7660","language":"en","page":"1-39","source":"www.jstatsoft.org","title":"Spatio-Temporal Areal Unit Modeling in R with Conditional Autoregressive Priors Using the CARBayesST Package","volume":"84","author":[{"family":"Lee","given":"Duncan"},{"family":"Rushworth","given":"Alastair"},{"family":"Napier","given":"Gary"}],"issued":{"date-parts":[["2018",4,20]]}}},{"id":2669,"uris":["http://zotero.org/users/6798153/items/GS8NDF9Z"],"itemData":{"id":2669,"type":"article-journal","abstract":"Conditional autoregressive models are commonly used to represent spatial autocorrelation in data relating to a set of non-overlapping areal units, which arise in a wide variety of applications including agriculture, education, epidemiology and image analysis. Such models are typically specified in a hierarchical Bayesian framework, with inference based on Markov chain Monte Carlo (MCMC) simulation. The most widely used software to fit such models is WinBUGS or OpenBUGS, but in this paper we introduce the R package CARBayes. The main advantage of CARBayes compared with the BUGS software is its ease of use, because: (1) the spatial adjacency information is easy to specify as a binary neighbourhood matrix; and (2) given the neighbourhood matrix the models can be implemented by a single function call in R. This paper outlines the general class of Bayesian hierarchical models that can be implemented in the CARBayes software, describes their implementation via MCMC simulation techniques, and illustrates their use with two worked examples in the fields of house price analysis and disease mapping.","container-title":"Journal of Statistical Software","ISSN":"1548-7660","issue":"13","language":"en","note":"number: 13\npublisher: American Statistical Association","page":"1-24","source":"eprints.gla.ac.uk","title":"CARBayes: an R package for Bayesian spatial modeling with conditional autoregressive priors","title-short":"CARBayes","volume":"55","author":[{"family":"Lee","given":"Duncan"}],"issued":{"date-parts":[["2013",11]]}}}],"schema":"https://github.com/citation-style-language/schema/raw/master/csl-citation.json"} </w:instrText>
      </w:r>
      <w:r w:rsidR="00BE6799">
        <w:rPr>
          <w:iCs/>
        </w:rPr>
        <w:fldChar w:fldCharType="separate"/>
      </w:r>
      <w:r w:rsidR="00BE6799" w:rsidRPr="00BE6799">
        <w:rPr>
          <w:vertAlign w:val="superscript"/>
        </w:rPr>
        <w:t>6,7</w:t>
      </w:r>
      <w:r w:rsidR="00BE6799">
        <w:rPr>
          <w:iCs/>
        </w:rPr>
        <w:fldChar w:fldCharType="end"/>
      </w:r>
      <w:r w:rsidRPr="00441A27">
        <w:rPr>
          <w:iCs/>
        </w:rPr>
        <w:t>. Specifically, we used the CAR model proposed by Rushworth et al.</w:t>
      </w:r>
      <w:r w:rsidR="00BE6799">
        <w:rPr>
          <w:iCs/>
        </w:rPr>
        <w:fldChar w:fldCharType="begin"/>
      </w:r>
      <w:r w:rsidR="00BE6799">
        <w:rPr>
          <w:iCs/>
        </w:rPr>
        <w:instrText xml:space="preserve"> ADDIN ZOTERO_ITEM CSL_CITATION {"citationID":"zpIvpKTz","properties":{"formattedCitation":"\\super 8\\nosupersub{}","plainCitation":"8","noteIndex":0},"citationItems":[{"id":2672,"uris":["http://zotero.org/users/6798153/items/QG24B5CH"],"itemData":{"id":2672,"type":"article-journal","abstract":"It has long been known that air pollution is harmful to human health, as many epidemiological studies have been conducted into its effects. Collectively, these studies have investigated both the acute and chronic effects of pollution, with the latter typically based on individual level cohort designs that can be expensive to implement. As a result of the increasing availability of small-area statistics, ecological spatio-temporal study designs are also being used, with which a key statistical problem is allowing for residual spatio-temporal autocorrelation that remains after the covariate effects have been removed. We present a new model for estimating the effects of air pollution on human health, which allows for residual spatio-temporal autocorrelation, and a study into the long-term effects of air pollution on human health in Greater London, England. The individual and joint effects of different pollutants are explored, via the use of single pollutant models and multiple pollutant indices.","container-title":"Spatial and Spatio-temporal Epidemiology","DOI":"10.1016/j.sste.2014.05.001","ISSN":"1877-5845","journalAbbreviation":"Spatial and Spatio-temporal Epidemiology","language":"en","page":"29-38","source":"ScienceDirect","title":"A spatio-temporal model for estimating the long-term effects of air pollution on respiratory hospital admissions in Greater London","volume":"10","author":[{"family":"Rushworth","given":"Alastair"},{"family":"Lee","given":"Duncan"},{"family":"Mitchell","given":"Richard"}],"issued":{"date-parts":[["2014",7,1]]}}}],"schema":"https://github.com/citation-style-language/schema/raw/master/csl-citation.json"} </w:instrText>
      </w:r>
      <w:r w:rsidR="00BE6799">
        <w:rPr>
          <w:iCs/>
        </w:rPr>
        <w:fldChar w:fldCharType="separate"/>
      </w:r>
      <w:r w:rsidR="00BE6799" w:rsidRPr="00BE6799">
        <w:rPr>
          <w:vertAlign w:val="superscript"/>
        </w:rPr>
        <w:t>8</w:t>
      </w:r>
      <w:r w:rsidR="00BE6799">
        <w:rPr>
          <w:iCs/>
        </w:rPr>
        <w:fldChar w:fldCharType="end"/>
      </w:r>
      <w:r w:rsidRPr="00441A27">
        <w:rPr>
          <w:iCs/>
        </w:rPr>
        <w:t>, which represents the spatial-temporal structure as a multivariate autoregressive process with a spatially autocorrelated precision matrix. The model is specified by</w:t>
      </w:r>
      <w:r w:rsidR="00BE6799">
        <w:rPr>
          <w:iCs/>
        </w:rPr>
        <w:fldChar w:fldCharType="begin"/>
      </w:r>
      <w:r w:rsidR="00BE6799">
        <w:rPr>
          <w:iCs/>
        </w:rPr>
        <w:instrText xml:space="preserve"> ADDIN ZOTERO_ITEM CSL_CITATION {"citationID":"UPQojZ7B","properties":{"formattedCitation":"\\super 6\\nosupersub{}","plainCitation":"6","noteIndex":0},"citationItems":[{"id":2465,"uris":["http://zotero.org/users/6798153/items/D57CSSP7"],"itemData":{"id":2465,"type":"article-journal","abstract":"Spatial data relating to non-overlapping areal units are prevalent in fields such as economics, environmental science, epidemiology and social science, and a large suite of modeling tools have been developed for analysing these data. Many utilize conditional autoregressive (CAR) priors to capture the spatial autocorrelation inherent in these data, and software packages such as CARBayes and R-INLA have been developed to make these models easily accessible to others. Such spatial data are typically available for multiple time periods, and the development of methodology for capturing temporally changing spatial dynamics is the focus of much current research. A sizeable proportion of this literature has focused on extending CAR priors to the spatio-temporal domain, and this article presents the R package CARBayesST, which is the first dedicated software package for spatio-temporal areal unit modeling with conditional autoregressive priors. The software package allows to fit a range of models focused on different aspects of spacetime modeling, including estimation of overall space and time trends, and the identification of clusters of areal units that exhibit elevated values. This paper outlines the class of models that the software package implement, before applying them to simulated and two real examples from the fields of epidemiology and housing market analysis.","container-title":"Journal of Statistical Software","DOI":"10.18637/jss.v084.i09","ISSN":"1548-7660","language":"en","page":"1-39","source":"www.jstatsoft.org","title":"Spatio-Temporal Areal Unit Modeling in R with Conditional Autoregressive Priors Using the CARBayesST Package","volume":"84","author":[{"family":"Lee","given":"Duncan"},{"family":"Rushworth","given":"Alastair"},{"family":"Napier","given":"Gary"}],"issued":{"date-parts":[["2018",4,20]]}}}],"schema":"https://github.com/citation-style-language/schema/raw/master/csl-citation.json"} </w:instrText>
      </w:r>
      <w:r w:rsidR="00BE6799">
        <w:rPr>
          <w:iCs/>
        </w:rPr>
        <w:fldChar w:fldCharType="separate"/>
      </w:r>
      <w:r w:rsidR="00BE6799" w:rsidRPr="00BE6799">
        <w:rPr>
          <w:vertAlign w:val="superscript"/>
        </w:rPr>
        <w:t>6</w:t>
      </w:r>
      <w:r w:rsidR="00BE6799">
        <w:rPr>
          <w:iCs/>
        </w:rPr>
        <w:fldChar w:fldCharType="end"/>
      </w:r>
      <w:r w:rsidRPr="00441A27">
        <w:rPr>
          <w:iCs/>
        </w:rPr>
        <w:t>:</w:t>
      </w:r>
    </w:p>
    <w:p w14:paraId="397EA97C" w14:textId="77777777" w:rsidR="00BE6799" w:rsidRPr="00441A27" w:rsidRDefault="00BE6799" w:rsidP="00D3665E">
      <w:pPr>
        <w:rPr>
          <w:iCs/>
        </w:rPr>
      </w:pPr>
    </w:p>
    <w:p w14:paraId="33FF28BF" w14:textId="77777777" w:rsidR="00D3665E" w:rsidRPr="00441A27" w:rsidRDefault="00000000" w:rsidP="00D3665E">
      <m:oMathPara>
        <m:oMath>
          <m:sSub>
            <m:sSubPr>
              <m:ctrlPr>
                <w:rPr>
                  <w:rFonts w:ascii="Cambria Math" w:hAnsi="Cambria Math"/>
                  <w:i/>
                </w:rPr>
              </m:ctrlPr>
            </m:sSubPr>
            <m:e>
              <m:r>
                <w:rPr>
                  <w:rFonts w:ascii="Cambria Math" w:hAnsi="Cambria Math"/>
                </w:rPr>
                <m:t>ψ</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it</m:t>
              </m:r>
            </m:sub>
          </m:sSub>
          <m:r>
            <w:rPr>
              <w:rFonts w:ascii="Cambria Math" w:hAnsi="Cambria Math"/>
            </w:rPr>
            <m:t>,        [8]</m:t>
          </m:r>
        </m:oMath>
      </m:oMathPara>
    </w:p>
    <w:p w14:paraId="5ECAE4C0" w14:textId="77777777" w:rsidR="00D3665E" w:rsidRPr="00441A27" w:rsidRDefault="00000000" w:rsidP="00D3665E">
      <m:oMathPara>
        <m:oMath>
          <m:sSub>
            <m:sSubPr>
              <m:ctrlPr>
                <w:rPr>
                  <w:rFonts w:ascii="Cambria Math" w:hAnsi="Cambria Math"/>
                  <w:i/>
                </w:rPr>
              </m:ctrlPr>
            </m:sSubPr>
            <m:e>
              <m:r>
                <m:rPr>
                  <m:sty m:val="bi"/>
                </m:rPr>
                <w:rPr>
                  <w:rFonts w:ascii="Cambria Math" w:hAnsi="Cambria Math"/>
                </w:rPr>
                <m:t>ϕ</m:t>
              </m:r>
            </m:e>
            <m:sub>
              <m:r>
                <w:rPr>
                  <w:rFonts w:ascii="Cambria Math" w:hAnsi="Cambria Math"/>
                </w:rPr>
                <m:t>t</m:t>
              </m:r>
            </m:sub>
          </m:sSub>
          <m:r>
            <w:rPr>
              <w:rFonts w:ascii="Cambria Math" w:hAnsi="Cambria Math"/>
            </w:rPr>
            <m:t>|</m:t>
          </m:r>
          <m:sSub>
            <m:sSubPr>
              <m:ctrlPr>
                <w:rPr>
                  <w:rFonts w:ascii="Cambria Math" w:hAnsi="Cambria Math"/>
                  <w:i/>
                </w:rPr>
              </m:ctrlPr>
            </m:sSubPr>
            <m:e>
              <m:r>
                <m:rPr>
                  <m:sty m:val="bi"/>
                </m:rPr>
                <w:rPr>
                  <w:rFonts w:ascii="Cambria Math" w:hAnsi="Cambria Math"/>
                </w:rPr>
                <m:t>ϕ</m:t>
              </m:r>
            </m:e>
            <m:sub>
              <m:r>
                <w:rPr>
                  <w:rFonts w:ascii="Cambria Math" w:hAnsi="Cambria Math"/>
                </w:rPr>
                <m:t>t-1</m:t>
              </m:r>
            </m:sub>
          </m:sSub>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T</m:t>
                  </m:r>
                </m:sub>
              </m:sSub>
              <m:sSub>
                <m:sSubPr>
                  <m:ctrlPr>
                    <w:rPr>
                      <w:rFonts w:ascii="Cambria Math" w:hAnsi="Cambria Math"/>
                      <w:i/>
                    </w:rPr>
                  </m:ctrlPr>
                </m:sSubPr>
                <m:e>
                  <m:r>
                    <w:rPr>
                      <w:rFonts w:ascii="Cambria Math" w:hAnsi="Cambria Math"/>
                    </w:rPr>
                    <m:t>ϕ</m:t>
                  </m:r>
                </m:e>
                <m:sub>
                  <m:r>
                    <w:rPr>
                      <w:rFonts w:ascii="Cambria Math" w:hAnsi="Cambria Math"/>
                    </w:rPr>
                    <m:t>t-1</m:t>
                  </m:r>
                </m:sub>
              </m:sSub>
              <m:r>
                <w:rPr>
                  <w:rFonts w:ascii="Cambria Math" w:hAnsi="Cambria Math"/>
                </w:rPr>
                <m:t>,</m:t>
              </m:r>
              <m:sSup>
                <m:sSupPr>
                  <m:ctrlPr>
                    <w:rPr>
                      <w:rFonts w:ascii="Cambria Math" w:hAnsi="Cambria Math"/>
                      <w:i/>
                    </w:rPr>
                  </m:ctrlPr>
                </m:sSupPr>
                <m:e>
                  <m:r>
                    <w:rPr>
                      <w:rFonts w:ascii="Cambria Math" w:hAnsi="Cambria Math"/>
                    </w:rPr>
                    <m:t>τ</m:t>
                  </m:r>
                </m:e>
                <m:sup>
                  <m:r>
                    <w:rPr>
                      <w:rFonts w:ascii="Cambria Math" w:hAnsi="Cambria Math"/>
                    </w:rPr>
                    <m:t>2</m:t>
                  </m:r>
                </m:sup>
              </m:sSup>
              <m:r>
                <m:rPr>
                  <m:sty m:val="bi"/>
                </m:rPr>
                <w:rPr>
                  <w:rFonts w:ascii="Cambria Math" w:hAnsi="Cambria Math"/>
                </w:rPr>
                <m:t>Q</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W</m:t>
                      </m:r>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S</m:t>
                          </m:r>
                        </m:sub>
                      </m:sSub>
                    </m:e>
                  </m:d>
                </m:e>
                <m:sup>
                  <m:r>
                    <w:rPr>
                      <w:rFonts w:ascii="Cambria Math" w:hAnsi="Cambria Math"/>
                    </w:rPr>
                    <m:t>-1</m:t>
                  </m:r>
                </m:sup>
              </m:sSup>
            </m:e>
          </m:d>
          <m:r>
            <w:rPr>
              <w:rFonts w:ascii="Cambria Math" w:hAnsi="Cambria Math"/>
            </w:rPr>
            <m:t>,    t=2, …, T</m:t>
          </m:r>
        </m:oMath>
      </m:oMathPara>
    </w:p>
    <w:p w14:paraId="28B690E3" w14:textId="77777777" w:rsidR="00D3665E" w:rsidRPr="00441A27" w:rsidRDefault="00000000" w:rsidP="00D3665E">
      <m:oMathPara>
        <m:oMath>
          <m:sSub>
            <m:sSubPr>
              <m:ctrlPr>
                <w:rPr>
                  <w:rFonts w:ascii="Cambria Math" w:hAnsi="Cambria Math"/>
                  <w:i/>
                </w:rPr>
              </m:ctrlPr>
            </m:sSubPr>
            <m:e>
              <m:r>
                <m:rPr>
                  <m:sty m:val="bi"/>
                </m:rPr>
                <w:rPr>
                  <w:rFonts w:ascii="Cambria Math" w:hAnsi="Cambria Math"/>
                </w:rPr>
                <m:t>ϕ</m:t>
              </m:r>
            </m:e>
            <m:sub>
              <m:r>
                <w:rPr>
                  <w:rFonts w:ascii="Cambria Math" w:hAnsi="Cambria Math"/>
                </w:rPr>
                <m:t>1</m:t>
              </m:r>
            </m:sub>
          </m:sSub>
          <m:r>
            <w:rPr>
              <w:rFonts w:ascii="Cambria Math" w:hAnsi="Cambria Math"/>
            </w:rPr>
            <m:t>~N</m:t>
          </m:r>
          <m:d>
            <m:dPr>
              <m:ctrlPr>
                <w:rPr>
                  <w:rFonts w:ascii="Cambria Math" w:hAnsi="Cambria Math"/>
                  <w:i/>
                </w:rPr>
              </m:ctrlPr>
            </m:dPr>
            <m:e>
              <m:r>
                <m:rPr>
                  <m:sty m:val="bi"/>
                </m:rPr>
                <w:rPr>
                  <w:rFonts w:ascii="Cambria Math" w:hAnsi="Cambria Math"/>
                </w:rPr>
                <m:t>0</m:t>
              </m:r>
              <m:r>
                <w:rPr>
                  <w:rFonts w:ascii="Cambria Math" w:hAnsi="Cambria Math"/>
                </w:rPr>
                <m:t xml:space="preserve">, </m:t>
              </m:r>
              <m:sSup>
                <m:sSupPr>
                  <m:ctrlPr>
                    <w:rPr>
                      <w:rFonts w:ascii="Cambria Math" w:hAnsi="Cambria Math"/>
                      <w:i/>
                    </w:rPr>
                  </m:ctrlPr>
                </m:sSupPr>
                <m:e>
                  <m:r>
                    <w:rPr>
                      <w:rFonts w:ascii="Cambria Math" w:hAnsi="Cambria Math"/>
                    </w:rPr>
                    <m:t>τ</m:t>
                  </m:r>
                </m:e>
                <m:sup>
                  <m:r>
                    <w:rPr>
                      <w:rFonts w:ascii="Cambria Math" w:hAnsi="Cambria Math"/>
                    </w:rPr>
                    <m:t>2</m:t>
                  </m:r>
                </m:sup>
              </m:sSup>
              <m:r>
                <m:rPr>
                  <m:sty m:val="bi"/>
                </m:rPr>
                <w:rPr>
                  <w:rFonts w:ascii="Cambria Math" w:hAnsi="Cambria Math"/>
                </w:rPr>
                <m:t>Q</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W</m:t>
                      </m:r>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S</m:t>
                          </m:r>
                        </m:sub>
                      </m:sSub>
                    </m:e>
                  </m:d>
                </m:e>
                <m:sup>
                  <m:r>
                    <w:rPr>
                      <w:rFonts w:ascii="Cambria Math" w:hAnsi="Cambria Math"/>
                    </w:rPr>
                    <m:t>-1</m:t>
                  </m:r>
                </m:sup>
              </m:sSup>
            </m:e>
          </m:d>
          <m:r>
            <w:rPr>
              <w:rFonts w:ascii="Cambria Math" w:hAnsi="Cambria Math"/>
            </w:rPr>
            <m:t>,</m:t>
          </m:r>
        </m:oMath>
      </m:oMathPara>
    </w:p>
    <w:p w14:paraId="7EE126F5" w14:textId="77777777" w:rsidR="00D3665E" w:rsidRPr="00441A27" w:rsidRDefault="00000000" w:rsidP="00D3665E">
      <m:oMathPara>
        <m:oMath>
          <m:sSup>
            <m:sSupPr>
              <m:ctrlPr>
                <w:rPr>
                  <w:rFonts w:ascii="Cambria Math" w:hAnsi="Cambria Math"/>
                  <w:i/>
                </w:rPr>
              </m:ctrlPr>
            </m:sSupPr>
            <m:e>
              <m:r>
                <w:rPr>
                  <w:rFonts w:ascii="Cambria Math" w:hAnsi="Cambria Math"/>
                </w:rPr>
                <m:t>τ</m:t>
              </m:r>
            </m:e>
            <m:sup>
              <m:r>
                <w:rPr>
                  <w:rFonts w:ascii="Cambria Math" w:hAnsi="Cambria Math"/>
                </w:rPr>
                <m:t>2</m:t>
              </m:r>
            </m:sup>
          </m:sSup>
          <m:r>
            <w:rPr>
              <w:rFonts w:ascii="Cambria Math" w:hAnsi="Cambria Math"/>
            </w:rPr>
            <m:t>~Inverse-Gamma</m:t>
          </m:r>
          <m:d>
            <m:dPr>
              <m:ctrlPr>
                <w:rPr>
                  <w:rFonts w:ascii="Cambria Math" w:hAnsi="Cambria Math"/>
                  <w:i/>
                </w:rPr>
              </m:ctrlPr>
            </m:dPr>
            <m:e>
              <m:r>
                <w:rPr>
                  <w:rFonts w:ascii="Cambria Math" w:hAnsi="Cambria Math"/>
                </w:rPr>
                <m:t>a,b</m:t>
              </m:r>
            </m:e>
          </m:d>
          <m:r>
            <w:rPr>
              <w:rFonts w:ascii="Cambria Math" w:hAnsi="Cambria Math"/>
            </w:rPr>
            <m:t>,</m:t>
          </m:r>
        </m:oMath>
      </m:oMathPara>
    </w:p>
    <w:p w14:paraId="1EA084AF" w14:textId="77777777" w:rsidR="00D3665E" w:rsidRPr="00441A27" w:rsidRDefault="00000000" w:rsidP="00D3665E">
      <m:oMathPara>
        <m:oMath>
          <m:sSub>
            <m:sSubPr>
              <m:ctrlPr>
                <w:rPr>
                  <w:rFonts w:ascii="Cambria Math" w:hAnsi="Cambria Math"/>
                  <w:i/>
                </w:rPr>
              </m:ctrlPr>
            </m:sSubPr>
            <m:e>
              <m:r>
                <w:rPr>
                  <w:rFonts w:ascii="Cambria Math" w:hAnsi="Cambria Math"/>
                </w:rPr>
                <m:t>ρ</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T</m:t>
              </m:r>
            </m:sub>
          </m:sSub>
          <m:r>
            <w:rPr>
              <w:rFonts w:ascii="Cambria Math" w:hAnsi="Cambria Math"/>
            </w:rPr>
            <m:t>~Uniform</m:t>
          </m:r>
          <m:d>
            <m:dPr>
              <m:ctrlPr>
                <w:rPr>
                  <w:rFonts w:ascii="Cambria Math" w:hAnsi="Cambria Math"/>
                  <w:i/>
                </w:rPr>
              </m:ctrlPr>
            </m:dPr>
            <m:e>
              <m:r>
                <w:rPr>
                  <w:rFonts w:ascii="Cambria Math" w:hAnsi="Cambria Math"/>
                </w:rPr>
                <m:t>0,1</m:t>
              </m:r>
            </m:e>
          </m:d>
          <m:r>
            <w:rPr>
              <w:rFonts w:ascii="Cambria Math" w:hAnsi="Cambria Math"/>
            </w:rPr>
            <m:t>.</m:t>
          </m:r>
        </m:oMath>
      </m:oMathPara>
    </w:p>
    <w:p w14:paraId="0F0EF4D6" w14:textId="77777777" w:rsidR="00D3665E" w:rsidRPr="00441A27" w:rsidRDefault="00D3665E" w:rsidP="00D3665E"/>
    <w:p w14:paraId="4BD35F41" w14:textId="4B38BAB6" w:rsidR="00D3665E" w:rsidRDefault="00D3665E" w:rsidP="00D3665E">
      <w:r w:rsidRPr="00441A27">
        <w:t xml:space="preserve">In this model </w:t>
      </w:r>
      <m:oMath>
        <m:sSub>
          <m:sSubPr>
            <m:ctrlPr>
              <w:rPr>
                <w:rFonts w:ascii="Cambria Math" w:hAnsi="Cambria Math"/>
                <w:i/>
              </w:rPr>
            </m:ctrlPr>
          </m:sSubPr>
          <m:e>
            <m:r>
              <m:rPr>
                <m:sty m:val="bi"/>
              </m:rPr>
              <w:rPr>
                <w:rFonts w:ascii="Cambria Math" w:hAnsi="Cambria Math"/>
              </w:rPr>
              <m:t>ϕ</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1t</m:t>
            </m:r>
          </m:sub>
        </m:sSub>
        <m:r>
          <w:rPr>
            <w:rFonts w:ascii="Cambria Math" w:hAnsi="Cambria Math"/>
          </w:rPr>
          <m:t xml:space="preserve">, …, </m:t>
        </m:r>
        <m:sSub>
          <m:sSubPr>
            <m:ctrlPr>
              <w:rPr>
                <w:rFonts w:ascii="Cambria Math" w:hAnsi="Cambria Math"/>
                <w:i/>
              </w:rPr>
            </m:ctrlPr>
          </m:sSubPr>
          <m:e>
            <m:r>
              <w:rPr>
                <w:rFonts w:ascii="Cambria Math" w:hAnsi="Cambria Math"/>
              </w:rPr>
              <m:t>ϕ</m:t>
            </m:r>
          </m:e>
          <m:sub>
            <m:r>
              <w:rPr>
                <w:rFonts w:ascii="Cambria Math" w:hAnsi="Cambria Math"/>
              </w:rPr>
              <m:t>Kt</m:t>
            </m:r>
          </m:sub>
        </m:sSub>
        <m:r>
          <w:rPr>
            <w:rFonts w:ascii="Cambria Math" w:hAnsi="Cambria Math"/>
          </w:rPr>
          <m:t>)</m:t>
        </m:r>
      </m:oMath>
      <w:r w:rsidRPr="00441A27">
        <w:t xml:space="preserve"> is the vector of random effects for time </w:t>
      </w:r>
      <m:oMath>
        <m:r>
          <w:rPr>
            <w:rFonts w:ascii="Cambria Math" w:hAnsi="Cambria Math"/>
          </w:rPr>
          <m:t>t</m:t>
        </m:r>
      </m:oMath>
      <w:r w:rsidRPr="00441A27">
        <w:t xml:space="preserve">, which evolve over time via a multivariate first order autoregressive process with temporal autoregressive parameter </w:t>
      </w:r>
      <m:oMath>
        <m:sSub>
          <m:sSubPr>
            <m:ctrlPr>
              <w:rPr>
                <w:rFonts w:ascii="Cambria Math" w:hAnsi="Cambria Math"/>
                <w:i/>
              </w:rPr>
            </m:ctrlPr>
          </m:sSubPr>
          <m:e>
            <m:r>
              <w:rPr>
                <w:rFonts w:ascii="Cambria Math" w:hAnsi="Cambria Math"/>
              </w:rPr>
              <m:t>ρ</m:t>
            </m:r>
          </m:e>
          <m:sub>
            <m:r>
              <w:rPr>
                <w:rFonts w:ascii="Cambria Math" w:hAnsi="Cambria Math"/>
              </w:rPr>
              <m:t>T</m:t>
            </m:r>
          </m:sub>
        </m:sSub>
      </m:oMath>
      <w:r w:rsidRPr="00441A27">
        <w:t xml:space="preserve">. The spatial autocorrelation is induced by the variance </w:t>
      </w:r>
      <m:oMath>
        <m:sSup>
          <m:sSupPr>
            <m:ctrlPr>
              <w:rPr>
                <w:rFonts w:ascii="Cambria Math" w:hAnsi="Cambria Math"/>
                <w:i/>
              </w:rPr>
            </m:ctrlPr>
          </m:sSupPr>
          <m:e>
            <m:r>
              <w:rPr>
                <w:rFonts w:ascii="Cambria Math" w:hAnsi="Cambria Math"/>
              </w:rPr>
              <m:t>τ</m:t>
            </m:r>
          </m:e>
          <m:sup>
            <m:r>
              <w:rPr>
                <w:rFonts w:ascii="Cambria Math" w:hAnsi="Cambria Math"/>
              </w:rPr>
              <m:t>2</m:t>
            </m:r>
          </m:sup>
        </m:sSup>
        <m:r>
          <m:rPr>
            <m:sty m:val="bi"/>
          </m:rPr>
          <w:rPr>
            <w:rFonts w:ascii="Cambria Math" w:hAnsi="Cambria Math"/>
          </w:rPr>
          <m:t>Q</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W</m:t>
                </m:r>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S</m:t>
                    </m:r>
                  </m:sub>
                </m:sSub>
              </m:e>
            </m:d>
          </m:e>
          <m:sup>
            <m:r>
              <w:rPr>
                <w:rFonts w:ascii="Cambria Math" w:hAnsi="Cambria Math"/>
              </w:rPr>
              <m:t>-1</m:t>
            </m:r>
          </m:sup>
        </m:sSup>
      </m:oMath>
      <w:r w:rsidRPr="00441A27">
        <w:t xml:space="preserve">. The precision matrix </w:t>
      </w:r>
      <m:oMath>
        <m:r>
          <m:rPr>
            <m:sty m:val="bi"/>
          </m:rPr>
          <w:rPr>
            <w:rFonts w:ascii="Cambria Math" w:hAnsi="Cambria Math"/>
          </w:rPr>
          <m:t>Q</m:t>
        </m:r>
        <m:d>
          <m:dPr>
            <m:ctrlPr>
              <w:rPr>
                <w:rFonts w:ascii="Cambria Math" w:hAnsi="Cambria Math"/>
                <w:i/>
              </w:rPr>
            </m:ctrlPr>
          </m:dPr>
          <m:e>
            <m:r>
              <m:rPr>
                <m:sty m:val="bi"/>
              </m:rPr>
              <w:rPr>
                <w:rFonts w:ascii="Cambria Math" w:hAnsi="Cambria Math"/>
              </w:rPr>
              <m:t>W</m:t>
            </m:r>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S</m:t>
                </m:r>
              </m:sub>
            </m:sSub>
          </m:e>
        </m:d>
      </m:oMath>
      <w:r w:rsidRPr="00441A27">
        <w:t xml:space="preserve"> depends on the spatial adjacency matrix </w:t>
      </w:r>
      <m:oMath>
        <m:r>
          <m:rPr>
            <m:sty m:val="bi"/>
          </m:rPr>
          <w:rPr>
            <w:rFonts w:ascii="Cambria Math" w:hAnsi="Cambria Math"/>
          </w:rPr>
          <m:t>W</m:t>
        </m:r>
      </m:oMath>
      <w:r w:rsidRPr="00441A27">
        <w:rPr>
          <w:b/>
          <w:bCs/>
        </w:rPr>
        <w:t xml:space="preserve"> </w:t>
      </w:r>
      <w:r w:rsidRPr="00441A27">
        <w:t xml:space="preserve">and the spatial autoregressive parameter </w:t>
      </w:r>
      <m:oMath>
        <m:sSub>
          <m:sSubPr>
            <m:ctrlPr>
              <w:rPr>
                <w:rFonts w:ascii="Cambria Math" w:hAnsi="Cambria Math"/>
                <w:i/>
              </w:rPr>
            </m:ctrlPr>
          </m:sSubPr>
          <m:e>
            <m:r>
              <w:rPr>
                <w:rFonts w:ascii="Cambria Math" w:hAnsi="Cambria Math"/>
              </w:rPr>
              <m:t>ρ</m:t>
            </m:r>
          </m:e>
          <m:sub>
            <m:r>
              <w:rPr>
                <w:rFonts w:ascii="Cambria Math" w:hAnsi="Cambria Math"/>
              </w:rPr>
              <m:t>S</m:t>
            </m:r>
          </m:sub>
        </m:sSub>
      </m:oMath>
      <w:r w:rsidRPr="00441A27">
        <w:t xml:space="preserve">. We used a binary spatial adjacency matrix </w:t>
      </w:r>
      <m:oMath>
        <m:r>
          <m:rPr>
            <m:sty m:val="bi"/>
          </m:rPr>
          <w:rPr>
            <w:rFonts w:ascii="Cambria Math" w:hAnsi="Cambria Math"/>
          </w:rPr>
          <m:t>W</m:t>
        </m:r>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ij</m:t>
            </m:r>
          </m:sub>
        </m:sSub>
        <m:r>
          <w:rPr>
            <w:rFonts w:ascii="Cambria Math" w:hAnsi="Cambria Math"/>
          </w:rPr>
          <m:t>)</m:t>
        </m:r>
      </m:oMath>
      <w:r w:rsidRPr="00441A27">
        <w:t xml:space="preserve">, where the entry </w:t>
      </w:r>
      <m:oMath>
        <m:sSub>
          <m:sSubPr>
            <m:ctrlPr>
              <w:rPr>
                <w:rFonts w:ascii="Cambria Math" w:hAnsi="Cambria Math"/>
                <w:i/>
              </w:rPr>
            </m:ctrlPr>
          </m:sSubPr>
          <m:e>
            <m:r>
              <w:rPr>
                <w:rFonts w:ascii="Cambria Math" w:hAnsi="Cambria Math"/>
              </w:rPr>
              <m:t>w</m:t>
            </m:r>
          </m:e>
          <m:sub>
            <m:r>
              <w:rPr>
                <w:rFonts w:ascii="Cambria Math" w:hAnsi="Cambria Math"/>
              </w:rPr>
              <m:t>ij</m:t>
            </m:r>
          </m:sub>
        </m:sSub>
      </m:oMath>
      <w:r w:rsidRPr="00441A27">
        <w:t xml:space="preserve"> is one if location </w:t>
      </w:r>
      <m:oMath>
        <m:r>
          <w:rPr>
            <w:rFonts w:ascii="Cambria Math" w:hAnsi="Cambria Math"/>
          </w:rPr>
          <m:t>i</m:t>
        </m:r>
      </m:oMath>
      <w:r w:rsidRPr="00441A27">
        <w:t xml:space="preserve"> and location </w:t>
      </w:r>
      <m:oMath>
        <m:r>
          <w:rPr>
            <w:rFonts w:ascii="Cambria Math" w:hAnsi="Cambria Math"/>
          </w:rPr>
          <m:t>j</m:t>
        </m:r>
      </m:oMath>
      <w:r w:rsidRPr="00441A27">
        <w:t xml:space="preserve"> share a common border and is zero otherwise. Additionally, </w:t>
      </w:r>
      <m:oMath>
        <m:sSub>
          <m:sSubPr>
            <m:ctrlPr>
              <w:rPr>
                <w:rFonts w:ascii="Cambria Math" w:hAnsi="Cambria Math"/>
                <w:i/>
              </w:rPr>
            </m:ctrlPr>
          </m:sSubPr>
          <m:e>
            <m:r>
              <w:rPr>
                <w:rFonts w:ascii="Cambria Math" w:hAnsi="Cambria Math"/>
              </w:rPr>
              <m:t>w</m:t>
            </m:r>
          </m:e>
          <m:sub>
            <m:r>
              <w:rPr>
                <w:rFonts w:ascii="Cambria Math" w:hAnsi="Cambria Math"/>
              </w:rPr>
              <m:t>ii</m:t>
            </m:r>
          </m:sub>
        </m:sSub>
        <m:r>
          <w:rPr>
            <w:rFonts w:ascii="Cambria Math" w:hAnsi="Cambria Math"/>
          </w:rPr>
          <m:t>=0</m:t>
        </m:r>
      </m:oMath>
      <w:r w:rsidRPr="00441A27">
        <w:t xml:space="preserve">. The functional form of </w:t>
      </w:r>
      <m:oMath>
        <m:r>
          <m:rPr>
            <m:sty m:val="bi"/>
          </m:rPr>
          <w:rPr>
            <w:rFonts w:ascii="Cambria Math" w:hAnsi="Cambria Math"/>
          </w:rPr>
          <m:t>Q</m:t>
        </m:r>
        <m:d>
          <m:dPr>
            <m:ctrlPr>
              <w:rPr>
                <w:rFonts w:ascii="Cambria Math" w:hAnsi="Cambria Math"/>
                <w:i/>
              </w:rPr>
            </m:ctrlPr>
          </m:dPr>
          <m:e>
            <m:r>
              <m:rPr>
                <m:sty m:val="bi"/>
              </m:rPr>
              <w:rPr>
                <w:rFonts w:ascii="Cambria Math" w:hAnsi="Cambria Math"/>
              </w:rPr>
              <m:t>W</m:t>
            </m:r>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S</m:t>
                </m:r>
              </m:sub>
            </m:sSub>
          </m:e>
        </m:d>
      </m:oMath>
      <w:r w:rsidRPr="00441A27">
        <w:t xml:space="preserve"> is given by</w:t>
      </w:r>
      <w:r w:rsidR="00BE6799">
        <w:fldChar w:fldCharType="begin"/>
      </w:r>
      <w:r w:rsidR="00BE6799">
        <w:instrText xml:space="preserve"> ADDIN ZOTERO_ITEM CSL_CITATION {"citationID":"Kc8oIwse","properties":{"formattedCitation":"\\super 9\\nosupersub{}","plainCitation":"9","noteIndex":0},"citationItems":[{"id":2663,"uris":["http://zotero.org/users/6798153/items/HTK8UR3H"],"itemData":{"id":2663,"type":"paper-conference","abstract":"In this paper, a new model is proposed for spatial dependence that includes separate parameters for overdispersion and the strength of spatial dependence. The new dependence structure is incorporated into a generalized linear mixed model useful for the estimation of disease incidence rates in small geographic regions. The mixed model allows for log-linear covariate adjustment and local smoothing of rates through estimation of the spatially correlated random effects. Computer simulation studies compare the new model with the following sub-models: intrinsic autoregression, an independence model, and a model with no random effects. The major finding was that regression coefficient estimates based on fitting intrinsic autoregression to independent data can have very low precision compared with estimates based on the full model. Additional simulation studies demonstrate that penalized quasi-likelihood (PQL) estimation generally performs very well although the estimates are slightly biased for very small counts.","collection-title":"The IMA Volumes in Mathematics and its Applications","container-title":"Statistical Models in Epidemiology, the Environment, and Clinical Trials","DOI":"10.1007/978-1-4612-1284-3_4","event-place":"New York, NY","ISBN":"978-1-4612-1284-3","language":"en","page":"179-191","publisher":"Springer","publisher-place":"New York, NY","source":"Springer Link","title":"Estimation of Disease Rates in Small Areas: A new Mixed Model for Spatial Dependence","title-short":"Estimation of Disease Rates in Small Areas","author":[{"family":"Leroux","given":"Brian G."},{"family":"Lei","given":"Xingye"},{"family":"Breslow","given":"Norman"}],"editor":[{"family":"Halloran","given":"M. Elizabeth"},{"family":"Berry","given":"Donald"}],"issued":{"date-parts":[["2000"]]}}}],"schema":"https://github.com/citation-style-language/schema/raw/master/csl-citation.json"} </w:instrText>
      </w:r>
      <w:r w:rsidR="00BE6799">
        <w:fldChar w:fldCharType="separate"/>
      </w:r>
      <w:r w:rsidR="00BE6799" w:rsidRPr="00BE6799">
        <w:rPr>
          <w:vertAlign w:val="superscript"/>
        </w:rPr>
        <w:t>9</w:t>
      </w:r>
      <w:r w:rsidR="00BE6799">
        <w:fldChar w:fldCharType="end"/>
      </w:r>
    </w:p>
    <w:p w14:paraId="5A5FA897" w14:textId="77777777" w:rsidR="00BE6799" w:rsidRPr="00441A27" w:rsidRDefault="00BE6799" w:rsidP="00D3665E"/>
    <w:p w14:paraId="06FA0C38" w14:textId="77777777" w:rsidR="00D3665E" w:rsidRPr="00441A27" w:rsidRDefault="00D3665E" w:rsidP="00D3665E">
      <w:pPr>
        <w:rPr>
          <w:b/>
          <w:bCs/>
        </w:rPr>
      </w:pPr>
      <m:oMathPara>
        <m:oMath>
          <m:r>
            <m:rPr>
              <m:sty m:val="p"/>
            </m:rPr>
            <w:rPr>
              <w:rFonts w:ascii="Cambria Math" w:hAnsi="Cambria Math"/>
            </w:rPr>
            <m:t xml:space="preserve"> </m:t>
          </m:r>
          <m:r>
            <m:rPr>
              <m:sty m:val="bi"/>
            </m:rPr>
            <w:rPr>
              <w:rFonts w:ascii="Cambria Math" w:hAnsi="Cambria Math"/>
            </w:rPr>
            <m:t>Q</m:t>
          </m:r>
          <m:d>
            <m:dPr>
              <m:ctrlPr>
                <w:rPr>
                  <w:rFonts w:ascii="Cambria Math" w:hAnsi="Cambria Math"/>
                  <w:i/>
                </w:rPr>
              </m:ctrlPr>
            </m:dPr>
            <m:e>
              <m:r>
                <m:rPr>
                  <m:sty m:val="bi"/>
                </m:rPr>
                <w:rPr>
                  <w:rFonts w:ascii="Cambria Math" w:hAnsi="Cambria Math"/>
                </w:rPr>
                <m:t>W</m:t>
              </m:r>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S</m:t>
                  </m:r>
                </m:sub>
              </m:sSub>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S</m:t>
              </m:r>
            </m:sub>
          </m:sSub>
          <m:d>
            <m:dPr>
              <m:begChr m:val="["/>
              <m:endChr m:val="]"/>
              <m:ctrlPr>
                <w:rPr>
                  <w:rFonts w:ascii="Cambria Math" w:hAnsi="Cambria Math"/>
                  <w:i/>
                </w:rPr>
              </m:ctrlPr>
            </m:dPr>
            <m:e>
              <m:r>
                <w:rPr>
                  <w:rFonts w:ascii="Cambria Math" w:hAnsi="Cambria Math"/>
                </w:rPr>
                <m:t>diag</m:t>
              </m:r>
              <m:d>
                <m:dPr>
                  <m:ctrlPr>
                    <w:rPr>
                      <w:rFonts w:ascii="Cambria Math" w:hAnsi="Cambria Math"/>
                      <w:i/>
                    </w:rPr>
                  </m:ctrlPr>
                </m:dPr>
                <m:e>
                  <m:r>
                    <m:rPr>
                      <m:sty m:val="bi"/>
                    </m:rPr>
                    <w:rPr>
                      <w:rFonts w:ascii="Cambria Math" w:hAnsi="Cambria Math"/>
                    </w:rPr>
                    <m:t>W</m:t>
                  </m:r>
                  <m:r>
                    <m:rPr>
                      <m:sty m:val="bi"/>
                    </m:rPr>
                    <w:rPr>
                      <w:rFonts w:ascii="Cambria Math" w:hAnsi="Cambria Math"/>
                    </w:rPr>
                    <m:t>1</m:t>
                  </m:r>
                </m:e>
              </m:d>
              <m:r>
                <w:rPr>
                  <w:rFonts w:ascii="Cambria Math" w:hAnsi="Cambria Math"/>
                </w:rPr>
                <m:t>-</m:t>
              </m:r>
              <m:r>
                <m:rPr>
                  <m:sty m:val="bi"/>
                </m:rPr>
                <w:rPr>
                  <w:rFonts w:ascii="Cambria Math" w:hAnsi="Cambria Math"/>
                </w:rPr>
                <m:t>W</m:t>
              </m:r>
            </m:e>
          </m:d>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S</m:t>
                  </m:r>
                </m:sub>
              </m:sSub>
            </m:e>
          </m:d>
          <m:r>
            <m:rPr>
              <m:sty m:val="bi"/>
            </m:rPr>
            <w:rPr>
              <w:rFonts w:ascii="Cambria Math" w:hAnsi="Cambria Math"/>
            </w:rPr>
            <m:t>I,</m:t>
          </m:r>
        </m:oMath>
      </m:oMathPara>
    </w:p>
    <w:p w14:paraId="41B37E62" w14:textId="77777777" w:rsidR="00D3665E" w:rsidRPr="00441A27" w:rsidRDefault="00D3665E" w:rsidP="00D3665E"/>
    <w:p w14:paraId="1E045EBA" w14:textId="77777777" w:rsidR="00D3665E" w:rsidRPr="00441A27" w:rsidRDefault="00D3665E" w:rsidP="00D3665E">
      <w:r w:rsidRPr="00441A27">
        <w:t>where</w:t>
      </w:r>
      <w:r w:rsidRPr="00441A27">
        <w:rPr>
          <w:b/>
          <w:bCs/>
        </w:rPr>
        <w:t xml:space="preserve"> </w:t>
      </w:r>
      <m:oMath>
        <m:r>
          <m:rPr>
            <m:sty m:val="bi"/>
          </m:rPr>
          <w:rPr>
            <w:rFonts w:ascii="Cambria Math" w:hAnsi="Cambria Math"/>
          </w:rPr>
          <m:t>1</m:t>
        </m:r>
      </m:oMath>
      <w:r w:rsidRPr="00441A27">
        <w:t xml:space="preserve"> is the </w:t>
      </w:r>
      <m:oMath>
        <m:r>
          <w:rPr>
            <w:rFonts w:ascii="Cambria Math" w:hAnsi="Cambria Math"/>
          </w:rPr>
          <m:t>K×1</m:t>
        </m:r>
      </m:oMath>
      <w:r w:rsidRPr="00441A27">
        <w:t xml:space="preserve"> vector of ones and </w:t>
      </w:r>
      <m:oMath>
        <m:r>
          <m:rPr>
            <m:sty m:val="bi"/>
          </m:rPr>
          <w:rPr>
            <w:rFonts w:ascii="Cambria Math" w:hAnsi="Cambria Math"/>
          </w:rPr>
          <m:t>I</m:t>
        </m:r>
      </m:oMath>
      <w:r w:rsidRPr="00441A27">
        <w:t xml:space="preserve"> is the </w:t>
      </w:r>
      <m:oMath>
        <m:r>
          <w:rPr>
            <w:rFonts w:ascii="Cambria Math" w:hAnsi="Cambria Math"/>
          </w:rPr>
          <m:t>K×K</m:t>
        </m:r>
      </m:oMath>
      <w:r w:rsidRPr="00441A27">
        <w:t xml:space="preserve"> identity </w:t>
      </w:r>
      <w:proofErr w:type="gramStart"/>
      <w:r w:rsidRPr="00441A27">
        <w:t>matrix.</w:t>
      </w:r>
      <w:proofErr w:type="gramEnd"/>
    </w:p>
    <w:p w14:paraId="28B2D958" w14:textId="77777777" w:rsidR="00D3665E" w:rsidRPr="00441A27" w:rsidRDefault="00D3665E" w:rsidP="00D3665E"/>
    <w:p w14:paraId="7048BB4A" w14:textId="44943F9C" w:rsidR="00D3665E" w:rsidRPr="00441A27" w:rsidRDefault="00D3665E" w:rsidP="00D3665E">
      <w:r w:rsidRPr="00441A27">
        <w:t xml:space="preserve">We implemented the model using the function </w:t>
      </w:r>
      <w:proofErr w:type="spellStart"/>
      <w:r w:rsidRPr="00441A27">
        <w:t>ST.CARar</w:t>
      </w:r>
      <w:proofErr w:type="spellEnd"/>
      <w:r w:rsidRPr="00441A27">
        <w:t xml:space="preserve"> in the R package CARBayesST</w:t>
      </w:r>
      <w:r w:rsidR="00BE6799">
        <w:fldChar w:fldCharType="begin"/>
      </w:r>
      <w:r w:rsidR="00BE6799">
        <w:instrText xml:space="preserve"> ADDIN ZOTERO_ITEM CSL_CITATION {"citationID":"u36Ho4Dt","properties":{"formattedCitation":"\\super 10\\nosupersub{}","plainCitation":"10","noteIndex":0},"citationItems":[{"id":2665,"uris":["http://zotero.org/users/6798153/items/DIBRAQHL"],"itemData":{"id":2665,"type":"book","abstract":"Implements a class of univariate and multivariate spatio-temporal generalised linear mixed models for areal unit data, with inference in a Bayesian setting using Markov chain Monte Carlo (MCMC) simulation. The response variable can be binomial, Gaussian, or Poisson, but for some models only the binomial and Poisson data likelihoods are available. The spatio-temporal autocorrelation is modelled by random effects, which are assigned conditional autoregressive (CAR) style prior distributions. A number of different random effects structures are available, including models similar to Bernardinelli et al. (1995) &lt;doi:10.1002/sim.4780142112&gt; and Rushworth et al. (2014) &lt;doi:10.1016/j.sste.2014.05.001&gt;. Full details are given in the vignette accompanying this package. The creation and development of this package was supported by the Engineering and Physical Sciences Research Council (EPSRC) grants EP/J017442/1 and EP/T004878/1 and the Medical Research Council (MRC) grant MR/L022184/1.","source":"R-Packages","title":"CARBayesST: Spatio-Temporal Generalised Linear Mixed Models for Areal Unit Data","title-short":"CARBayesST","URL":"https://CRAN.R-project.org/package=CARBayesST","version":"3.2.1","author":[{"family":"Lee","given":"Duncan"},{"family":"Rushworth","given":"Alastair"},{"family":"Pettersson","given":"Gary Napier and William"}],"accessed":{"date-parts":[["2021",12,16]]},"issued":{"date-parts":[["2021",5,31]]}}}],"schema":"https://github.com/citation-style-language/schema/raw/master/csl-citation.json"} </w:instrText>
      </w:r>
      <w:r w:rsidR="00BE6799">
        <w:fldChar w:fldCharType="separate"/>
      </w:r>
      <w:r w:rsidR="00BE6799" w:rsidRPr="00BE6799">
        <w:rPr>
          <w:vertAlign w:val="superscript"/>
        </w:rPr>
        <w:t>10</w:t>
      </w:r>
      <w:r w:rsidR="00BE6799">
        <w:fldChar w:fldCharType="end"/>
      </w:r>
      <w:r w:rsidRPr="00441A27">
        <w:t xml:space="preserve">. Using a Bayesian hierarchical framework, model coefficients in </w:t>
      </w:r>
      <w:proofErr w:type="spellStart"/>
      <w:r w:rsidRPr="00441A27">
        <w:t>Eqs</w:t>
      </w:r>
      <w:proofErr w:type="spellEnd"/>
      <w:r w:rsidRPr="00441A27">
        <w:t>. [6-7] and parameters in Eq. [8] were estimated using a Markov chain Monte Carlo (MCMC) algorithm</w:t>
      </w:r>
      <w:r w:rsidR="00BE6799">
        <w:fldChar w:fldCharType="begin"/>
      </w:r>
      <w:r w:rsidR="00B1703F">
        <w:instrText xml:space="preserve"> ADDIN ZOTERO_ITEM CSL_CITATION {"citationID":"FAO8hhzy","properties":{"formattedCitation":"\\super 11\\nosupersub{}","plainCitation":"11","noteIndex":0},"citationItems":[{"id":2744,"uris":["http://zotero.org/users/6798153/items/ZHZFMIE8"],"itemData":{"id":2744,"type":"book","abstract":"Bayesian Data Analysis describes how to conceptualize, perform, and critique statistical analyses from a Bayesian perspective. Using examples largely from the authors' own experiences, the book focuses on modern computational tools and obtains inferences using computer simulations. Its unique features include thorough discussions of the methods for","event-place":"New York","ISBN":"978-0-429-25841-1","note":"DOI: 10.1201/9780429258411","number-of-pages":"552","publisher":"Chapman and Hall/CRC","publisher-place":"New York","title":"Bayesian Data Analysis","author":[{"family":"Gelman","given":"Andrew"},{"family":"Carlin","given":"John B."},{"family":"Stern","given":"Hal S."},{"family":"Rubin","given":"Donald B."}],"issued":{"date-parts":[["1995",6,1]]}}}],"schema":"https://github.com/citation-style-language/schema/raw/master/csl-citation.json"} </w:instrText>
      </w:r>
      <w:r w:rsidR="00BE6799">
        <w:fldChar w:fldCharType="separate"/>
      </w:r>
      <w:r w:rsidR="00B1703F" w:rsidRPr="00B1703F">
        <w:rPr>
          <w:vertAlign w:val="superscript"/>
        </w:rPr>
        <w:t>11</w:t>
      </w:r>
      <w:r w:rsidR="00BE6799">
        <w:fldChar w:fldCharType="end"/>
      </w:r>
      <w:r w:rsidRPr="00441A27">
        <w:t>. We fitted the model using data from 177 MOZCTAs and 31 weeks (</w:t>
      </w:r>
      <m:oMath>
        <m:r>
          <w:rPr>
            <w:rFonts w:ascii="Cambria Math" w:hAnsi="Cambria Math"/>
          </w:rPr>
          <m:t>K=177, T=31)</m:t>
        </m:r>
      </m:oMath>
      <w:r w:rsidRPr="00441A27">
        <w:t xml:space="preserve">. In the main model, we </w:t>
      </w:r>
      <w:r w:rsidRPr="00441A27">
        <w:lastRenderedPageBreak/>
        <w:t xml:space="preserve">used </w:t>
      </w:r>
      <m:oMath>
        <m:r>
          <w:rPr>
            <w:rFonts w:ascii="Cambria Math" w:hAnsi="Cambria Math"/>
          </w:rPr>
          <m:t>d=0</m:t>
        </m:r>
      </m:oMath>
      <w:r w:rsidRPr="00441A27">
        <w:t xml:space="preserve"> (no lag). We generated 420,000 MCMC samples for each coefficient/parameter and discarded the first 20,000 samples as the burn-in period. The remaining samples were subsequently thinned by 20 to reduce the autocorrelation of the Markov chain. In total, 20,000 MCMC samples were generated for each coefficient and parameter. The convergence of Markov chains was diagnosed using the convergence diagnostic proposed by Geweke</w:t>
      </w:r>
      <w:r w:rsidR="00B1703F">
        <w:fldChar w:fldCharType="begin"/>
      </w:r>
      <w:r w:rsidR="00B1703F">
        <w:instrText xml:space="preserve"> ADDIN ZOTERO_ITEM CSL_CITATION {"citationID":"4LlGptZU","properties":{"formattedCitation":"\\super 12\\nosupersub{}","plainCitation":"12","noteIndex":0},"citationItems":[{"id":2666,"uris":["http://zotero.org/users/6798153/items/K3VWYTFZ"],"itemData":{"id":2666,"type":"paper-conference","abstract":"Data augmentation and Gibbs sampling are two closely related, sampling-based approaches to the calculation of posterior moments. The fact that each produces a sample whose constituents are neither independent nor identically distributed complicates the assessment of convergence and numerical accuracy of the approximations to the expected value of functions of interest under the posterior. In this paper methods from spectral analysis are used to evaluate numerical accuracy formally and construct diagnostics for convergence. These methods are illustrated in the normal linear model with informative priors, and in the Tobit-censored regression model.","container-title":"In Bayesian Statistics","page":"169–193","publisher":"University Press","source":"CiteSeer","title":"Evaluating the Accuracy of Sampling-Based Approaches to the Calculation of Posterior Moments","author":[{"family":"Geweke","given":"John"}],"issued":{"date-parts":[["1992"]]}}}],"schema":"https://github.com/citation-style-language/schema/raw/master/csl-citation.json"} </w:instrText>
      </w:r>
      <w:r w:rsidR="00B1703F">
        <w:fldChar w:fldCharType="separate"/>
      </w:r>
      <w:r w:rsidR="00B1703F" w:rsidRPr="00B1703F">
        <w:rPr>
          <w:vertAlign w:val="superscript"/>
        </w:rPr>
        <w:t>12</w:t>
      </w:r>
      <w:r w:rsidR="00B1703F">
        <w:fldChar w:fldCharType="end"/>
      </w:r>
      <w:r w:rsidRPr="00441A27">
        <w:t>. The diagnostic statistics for all coefficients and hyperparameters were within the range (-1.96, 1.96), suggesting convergence of Markov chains.</w:t>
      </w:r>
    </w:p>
    <w:p w14:paraId="3145FA2C" w14:textId="77777777" w:rsidR="00D3665E" w:rsidRPr="00441A27" w:rsidRDefault="00D3665E" w:rsidP="00D3665E"/>
    <w:p w14:paraId="649B403A" w14:textId="55A566E3" w:rsidR="00D3665E" w:rsidRPr="00441A27" w:rsidRDefault="00D3665E" w:rsidP="00D3665E">
      <w:r w:rsidRPr="00441A27">
        <w:t>We further evaluated the spatial-temporal autocorrelation in the model residuals to confirm that spatial and temporal structures had been annihilated. Specifically, we examined the spatial autocorrelation in residuals from the 177 locations in each week using Moran’s I. The spatial autocorrelation of the residuals was absent for most weeks (</w:t>
      </w:r>
      <m:oMath>
        <m:r>
          <w:rPr>
            <w:rFonts w:ascii="Cambria Math" w:hAnsi="Cambria Math"/>
          </w:rPr>
          <m:t>p&gt;0.05</m:t>
        </m:r>
      </m:oMath>
      <w:r w:rsidRPr="00441A27">
        <w:t>) (</w:t>
      </w:r>
      <w:r w:rsidR="00B1703F">
        <w:t xml:space="preserve">Extended Data </w:t>
      </w:r>
      <w:r w:rsidRPr="00441A27">
        <w:t>Fig. 4). For each location, we evaluated the temporal autocorrelation in the residuals using the Durbin-Watson test. Results indicate that temporal autocorrelation was not significant for most locations (</w:t>
      </w:r>
      <m:oMath>
        <m:r>
          <w:rPr>
            <w:rFonts w:ascii="Cambria Math" w:hAnsi="Cambria Math"/>
          </w:rPr>
          <m:t>p&gt;0.05</m:t>
        </m:r>
      </m:oMath>
      <w:r w:rsidRPr="00441A27">
        <w:t>) (</w:t>
      </w:r>
      <w:r w:rsidR="0002299A">
        <w:t xml:space="preserve">Extended Data </w:t>
      </w:r>
      <w:r w:rsidRPr="00441A27">
        <w:t>Fig. 5).</w:t>
      </w:r>
    </w:p>
    <w:p w14:paraId="32FBCD88" w14:textId="77777777" w:rsidR="00D3665E" w:rsidRPr="00441A27" w:rsidRDefault="00D3665E" w:rsidP="00D3665E"/>
    <w:p w14:paraId="0108B9CB" w14:textId="77777777" w:rsidR="00D3665E" w:rsidRPr="00441A27" w:rsidRDefault="00D3665E" w:rsidP="00D3665E">
      <w:r w:rsidRPr="00441A27">
        <w:t xml:space="preserve">The effects of covariates are represented by the exponentiated coefficient, or the incidence rate ratio. The incidence rate ratio quantifies the multiplicative change in the number of transmission events if each covariate increases by one standard deviation, adjusting for all other covariates in the model. The distributions of incidence rate ratios were obtained from the 20,000 MCMC samples. The median, 95% CI, and p-values were derived from these empirical distributions. </w:t>
      </w:r>
    </w:p>
    <w:p w14:paraId="46CC5CFD" w14:textId="77777777" w:rsidR="00D3665E" w:rsidRPr="00441A27" w:rsidRDefault="00D3665E" w:rsidP="00D3665E"/>
    <w:p w14:paraId="29183140" w14:textId="01CC7816" w:rsidR="00D3665E" w:rsidRDefault="00D3665E" w:rsidP="00D3665E">
      <w:r w:rsidRPr="00441A27">
        <w:t>A few sensitivity analyses were performed to assess the robustness of the results. First, we additionally tested one-week and two-week lags. The qualitative results remained similar (</w:t>
      </w:r>
      <w:r w:rsidR="0065057D">
        <w:t xml:space="preserve">Extended Data </w:t>
      </w:r>
      <w:r w:rsidRPr="00441A27">
        <w:t>Figs. 6</w:t>
      </w:r>
      <w:r w:rsidR="0065057D">
        <w:t>-</w:t>
      </w:r>
      <w:r w:rsidRPr="00441A27">
        <w:t>7). Second, we used another form of the random effect model proposed by Knorr-Held et al.</w:t>
      </w:r>
      <w:r w:rsidR="0065057D">
        <w:fldChar w:fldCharType="begin"/>
      </w:r>
      <w:r w:rsidR="0065057D">
        <w:instrText xml:space="preserve"> ADDIN ZOTERO_ITEM CSL_CITATION {"citationID":"XPdVZ3O0","properties":{"formattedCitation":"\\super 13\\nosupersub{}","plainCitation":"13","noteIndex":0},"citationItems":[{"id":2660,"uris":["http://zotero.org/users/6798153/items/YQAMAACD"],"itemData":{"id":2660,"type":"article-journal","abstract":"This paper proposes a unified framework for a Bayesian analysis of incidence or mortality data in space and time. We introduce four different types of prior distributions for space×time interaction in extension of a model with only main effects. Each type implies a certain degree of prior dependence for the interaction parameters, and corresponds to the product of one of the two spatial with one of the two temporal main effects. The methodology is illustrated by an analysis of Ohio lung cancer data 1968–1988 via Markov chain Monte Carlo simulation. We compare the fit and the complexity of several models with different types of interaction by means of quantities related to the posterior deviance. Our results confirm an epidemiological hypothesis about the temporal development of the association between urbanization and risk factors for cancer. Copyright © 2000 John Wiley &amp; Sons, Ltd.","container-title":"Statistics in Medicine","DOI":"10.1002/1097-0258(20000915/30)19:17/18&lt;2555::AID-SIM587&gt;3.0.CO;2-#","ISSN":"1097-0258","issue":"17-18","language":"en","note":"_eprint: https://onlinelibrary.wiley.com/doi/pdf/10.1002/1097-0258%2820000915/30%2919%3A17/18%3C2555%3A%3AAID-SIM587%3E3.0.CO%3B2-%23","page":"2555-2567","source":"Wiley Online Library","title":"Bayesian modelling of inseparable space-time variation in disease risk","volume":"19","author":[{"family":"Knorr-Held","given":"Leonhard"}],"issued":{"date-parts":[["2000"]]}}}],"schema":"https://github.com/citation-style-language/schema/raw/master/csl-citation.json"} </w:instrText>
      </w:r>
      <w:r w:rsidR="0065057D">
        <w:fldChar w:fldCharType="separate"/>
      </w:r>
      <w:r w:rsidR="0065057D" w:rsidRPr="0065057D">
        <w:rPr>
          <w:vertAlign w:val="superscript"/>
        </w:rPr>
        <w:t>13</w:t>
      </w:r>
      <w:r w:rsidR="0065057D">
        <w:fldChar w:fldCharType="end"/>
      </w:r>
      <w:r w:rsidRPr="00441A27">
        <w:t>. In this model, the spatial-temporal variation in the data is decomposed into three components: an overall spatial effect common to all time periods, an overall temporal trend common to all spatial units, and a set of independent space-time interactions. See more details in Ref.</w:t>
      </w:r>
      <w:r w:rsidR="0065057D">
        <w:fldChar w:fldCharType="begin"/>
      </w:r>
      <w:r w:rsidR="0065057D">
        <w:instrText xml:space="preserve"> ADDIN ZOTERO_ITEM CSL_CITATION {"citationID":"YNToCDQm","properties":{"formattedCitation":"\\super 6\\nosupersub{}","plainCitation":"6","noteIndex":0},"citationItems":[{"id":2465,"uris":["http://zotero.org/users/6798153/items/D57CSSP7"],"itemData":{"id":2465,"type":"article-journal","abstract":"Spatial data relating to non-overlapping areal units are prevalent in fields such as economics, environmental science, epidemiology and social science, and a large suite of modeling tools have been developed for analysing these data. Many utilize conditional autoregressive (CAR) priors to capture the spatial autocorrelation inherent in these data, and software packages such as CARBayes and R-INLA have been developed to make these models easily accessible to others. Such spatial data are typically available for multiple time periods, and the development of methodology for capturing temporally changing spatial dynamics is the focus of much current research. A sizeable proportion of this literature has focused on extending CAR priors to the spatio-temporal domain, and this article presents the R package CARBayesST, which is the first dedicated software package for spatio-temporal areal unit modeling with conditional autoregressive priors. The software package allows to fit a range of models focused on different aspects of spacetime modeling, including estimation of overall space and time trends, and the identification of clusters of areal units that exhibit elevated values. This paper outlines the class of models that the software package implement, before applying them to simulated and two real examples from the fields of epidemiology and housing market analysis.","container-title":"Journal of Statistical Software","DOI":"10.18637/jss.v084.i09","ISSN":"1548-7660","language":"en","page":"1-39","source":"www.jstatsoft.org","title":"Spatio-Temporal Areal Unit Modeling in R with Conditional Autoregressive Priors Using the CARBayesST Package","volume":"84","author":[{"family":"Lee","given":"Duncan"},{"family":"Rushworth","given":"Alastair"},{"family":"Napier","given":"Gary"}],"issued":{"date-parts":[["2018",4,20]]}}}],"schema":"https://github.com/citation-style-language/schema/raw/master/csl-citation.json"} </w:instrText>
      </w:r>
      <w:r w:rsidR="0065057D">
        <w:fldChar w:fldCharType="separate"/>
      </w:r>
      <w:r w:rsidR="0065057D" w:rsidRPr="0065057D">
        <w:rPr>
          <w:vertAlign w:val="superscript"/>
        </w:rPr>
        <w:t>6</w:t>
      </w:r>
      <w:r w:rsidR="0065057D">
        <w:fldChar w:fldCharType="end"/>
      </w:r>
      <w:r w:rsidRPr="00441A27">
        <w:t xml:space="preserve">. The model was fitted using the function </w:t>
      </w:r>
      <w:proofErr w:type="spellStart"/>
      <w:proofErr w:type="gramStart"/>
      <w:r w:rsidRPr="00441A27">
        <w:t>ST.CARanova</w:t>
      </w:r>
      <w:proofErr w:type="spellEnd"/>
      <w:proofErr w:type="gramEnd"/>
      <w:r w:rsidRPr="00441A27">
        <w:t xml:space="preserve"> in the R package </w:t>
      </w:r>
      <w:proofErr w:type="spellStart"/>
      <w:r w:rsidRPr="00441A27">
        <w:t>CARBayesST</w:t>
      </w:r>
      <w:proofErr w:type="spellEnd"/>
      <w:r w:rsidRPr="00441A27">
        <w:t>. A zero-week effect lag was used and the MCMC setting was the same. Results hold as in the main model (</w:t>
      </w:r>
      <w:r w:rsidR="0065057D">
        <w:t xml:space="preserve">Extended Data </w:t>
      </w:r>
      <w:r w:rsidRPr="00441A27">
        <w:t>Fig. 8).</w:t>
      </w:r>
    </w:p>
    <w:p w14:paraId="704848BC" w14:textId="31F76D0C" w:rsidR="00CA2103" w:rsidRDefault="00CA2103" w:rsidP="009B5A5E">
      <w:r>
        <w:br w:type="page"/>
      </w:r>
    </w:p>
    <w:p w14:paraId="67A589BD" w14:textId="4879DC9D" w:rsidR="009B5A5E" w:rsidRDefault="009B5A5E" w:rsidP="001E26CA">
      <w:pPr>
        <w:pStyle w:val="Heading1"/>
      </w:pPr>
      <w:bookmarkStart w:id="4" w:name="_Toc79161447"/>
      <w:r w:rsidRPr="00331D88">
        <w:lastRenderedPageBreak/>
        <w:t>Reference</w:t>
      </w:r>
      <w:bookmarkEnd w:id="4"/>
    </w:p>
    <w:p w14:paraId="0611435D" w14:textId="77777777" w:rsidR="00377EBF" w:rsidRPr="00377EBF" w:rsidRDefault="00377EBF" w:rsidP="00377EBF"/>
    <w:p w14:paraId="796B8247" w14:textId="77777777" w:rsidR="00377EBF" w:rsidRPr="00377EBF" w:rsidRDefault="00377EBF" w:rsidP="00377EBF">
      <w:pPr>
        <w:pStyle w:val="Bibliography"/>
      </w:pPr>
      <w:r>
        <w:fldChar w:fldCharType="begin"/>
      </w:r>
      <w:r>
        <w:instrText xml:space="preserve"> ADDIN ZOTERO_BIBL {"uncited":[],"omitted":[],"custom":[]} CSL_BIBLIOGRAPHY </w:instrText>
      </w:r>
      <w:r>
        <w:fldChar w:fldCharType="separate"/>
      </w:r>
      <w:r w:rsidRPr="00377EBF">
        <w:t>1.</w:t>
      </w:r>
      <w:r w:rsidRPr="00377EBF">
        <w:tab/>
        <w:t xml:space="preserve">Walker, K., Herman, M. &amp; Eberwein, K. </w:t>
      </w:r>
      <w:r w:rsidRPr="00377EBF">
        <w:rPr>
          <w:i/>
          <w:iCs/>
        </w:rPr>
        <w:t>tidycensus: Load US Census Boundary and Attribute Data as ‘tidyverse’ and ’sf’-Ready Data Frames</w:t>
      </w:r>
      <w:r w:rsidRPr="00377EBF">
        <w:t>. (2021).</w:t>
      </w:r>
    </w:p>
    <w:p w14:paraId="2C71CE7D" w14:textId="77777777" w:rsidR="00377EBF" w:rsidRPr="00377EBF" w:rsidRDefault="00377EBF" w:rsidP="00377EBF">
      <w:pPr>
        <w:pStyle w:val="Bibliography"/>
      </w:pPr>
      <w:r w:rsidRPr="00377EBF">
        <w:t>2.</w:t>
      </w:r>
      <w:r w:rsidRPr="00377EBF">
        <w:tab/>
        <w:t xml:space="preserve">Hu, S. </w:t>
      </w:r>
      <w:r w:rsidRPr="00377EBF">
        <w:rPr>
          <w:i/>
          <w:iCs/>
        </w:rPr>
        <w:t>et al.</w:t>
      </w:r>
      <w:r w:rsidRPr="00377EBF">
        <w:t xml:space="preserve"> Infectivity, susceptibility, and risk factors associated with SARS-CoV-2 transmission under intensive contact tracing in Hunan, China. </w:t>
      </w:r>
      <w:r w:rsidRPr="00377EBF">
        <w:rPr>
          <w:i/>
          <w:iCs/>
        </w:rPr>
        <w:t>Nat. Commun.</w:t>
      </w:r>
      <w:r w:rsidRPr="00377EBF">
        <w:t xml:space="preserve"> </w:t>
      </w:r>
      <w:r w:rsidRPr="00377EBF">
        <w:rPr>
          <w:b/>
          <w:bCs/>
        </w:rPr>
        <w:t>12</w:t>
      </w:r>
      <w:r w:rsidRPr="00377EBF">
        <w:t>, 1533 (2021).</w:t>
      </w:r>
    </w:p>
    <w:p w14:paraId="250B4C15" w14:textId="77777777" w:rsidR="00377EBF" w:rsidRPr="00377EBF" w:rsidRDefault="00377EBF" w:rsidP="00377EBF">
      <w:pPr>
        <w:pStyle w:val="Bibliography"/>
      </w:pPr>
      <w:r w:rsidRPr="00377EBF">
        <w:t>3.</w:t>
      </w:r>
      <w:r w:rsidRPr="00377EBF">
        <w:tab/>
        <w:t xml:space="preserve">Bi, Q. </w:t>
      </w:r>
      <w:r w:rsidRPr="00377EBF">
        <w:rPr>
          <w:i/>
          <w:iCs/>
        </w:rPr>
        <w:t>et al.</w:t>
      </w:r>
      <w:r w:rsidRPr="00377EBF">
        <w:t xml:space="preserve"> Epidemiology and transmission of COVID-19 in 391 cases and 1286 of their close contacts in Shenzhen, China: a retrospective cohort study. </w:t>
      </w:r>
      <w:r w:rsidRPr="00377EBF">
        <w:rPr>
          <w:i/>
          <w:iCs/>
        </w:rPr>
        <w:t>Lancet Infect. Dis.</w:t>
      </w:r>
      <w:r w:rsidRPr="00377EBF">
        <w:t xml:space="preserve"> </w:t>
      </w:r>
      <w:r w:rsidRPr="00377EBF">
        <w:rPr>
          <w:b/>
          <w:bCs/>
        </w:rPr>
        <w:t>20</w:t>
      </w:r>
      <w:r w:rsidRPr="00377EBF">
        <w:t>, 911–919 (2020).</w:t>
      </w:r>
    </w:p>
    <w:p w14:paraId="3D727DB9" w14:textId="77777777" w:rsidR="00377EBF" w:rsidRPr="00377EBF" w:rsidRDefault="00377EBF" w:rsidP="00377EBF">
      <w:pPr>
        <w:pStyle w:val="Bibliography"/>
      </w:pPr>
      <w:r w:rsidRPr="00377EBF">
        <w:t>4.</w:t>
      </w:r>
      <w:r w:rsidRPr="00377EBF">
        <w:tab/>
        <w:t xml:space="preserve">Larremore, D. B. </w:t>
      </w:r>
      <w:r w:rsidRPr="00377EBF">
        <w:rPr>
          <w:i/>
          <w:iCs/>
        </w:rPr>
        <w:t>et al.</w:t>
      </w:r>
      <w:r w:rsidRPr="00377EBF">
        <w:t xml:space="preserve"> Test sensitivity is secondary to frequency and turnaround time for COVID-19 screening. </w:t>
      </w:r>
      <w:r w:rsidRPr="00377EBF">
        <w:rPr>
          <w:i/>
          <w:iCs/>
        </w:rPr>
        <w:t>Sci. Adv.</w:t>
      </w:r>
      <w:r w:rsidRPr="00377EBF">
        <w:t xml:space="preserve"> eabd5393 (2020) doi:10.1126/sciadv.abd5393.</w:t>
      </w:r>
    </w:p>
    <w:p w14:paraId="6C4DEF9B" w14:textId="77777777" w:rsidR="00377EBF" w:rsidRPr="00377EBF" w:rsidRDefault="00377EBF" w:rsidP="00377EBF">
      <w:pPr>
        <w:pStyle w:val="Bibliography"/>
      </w:pPr>
      <w:r w:rsidRPr="00377EBF">
        <w:t>5.</w:t>
      </w:r>
      <w:r w:rsidRPr="00377EBF">
        <w:tab/>
        <w:t xml:space="preserve">F. Dormann, C. </w:t>
      </w:r>
      <w:r w:rsidRPr="00377EBF">
        <w:rPr>
          <w:i/>
          <w:iCs/>
        </w:rPr>
        <w:t>et al.</w:t>
      </w:r>
      <w:r w:rsidRPr="00377EBF">
        <w:t xml:space="preserve"> Methods to account for spatial autocorrelation in the analysis of species distributional data: a review. </w:t>
      </w:r>
      <w:r w:rsidRPr="00377EBF">
        <w:rPr>
          <w:i/>
          <w:iCs/>
        </w:rPr>
        <w:t>Ecography</w:t>
      </w:r>
      <w:r w:rsidRPr="00377EBF">
        <w:t xml:space="preserve"> </w:t>
      </w:r>
      <w:r w:rsidRPr="00377EBF">
        <w:rPr>
          <w:b/>
          <w:bCs/>
        </w:rPr>
        <w:t>30</w:t>
      </w:r>
      <w:r w:rsidRPr="00377EBF">
        <w:t>, 609–628 (2007).</w:t>
      </w:r>
    </w:p>
    <w:p w14:paraId="04EDFF81" w14:textId="77777777" w:rsidR="00377EBF" w:rsidRPr="00377EBF" w:rsidRDefault="00377EBF" w:rsidP="00377EBF">
      <w:pPr>
        <w:pStyle w:val="Bibliography"/>
      </w:pPr>
      <w:r w:rsidRPr="00377EBF">
        <w:t>6.</w:t>
      </w:r>
      <w:r w:rsidRPr="00377EBF">
        <w:tab/>
        <w:t xml:space="preserve">Lee, D., Rushworth, A. &amp; Napier, G. Spatio-Temporal Areal Unit Modeling in R with Conditional Autoregressive Priors Using the CARBayesST Package. </w:t>
      </w:r>
      <w:r w:rsidRPr="00377EBF">
        <w:rPr>
          <w:i/>
          <w:iCs/>
        </w:rPr>
        <w:t>J. Stat. Softw.</w:t>
      </w:r>
      <w:r w:rsidRPr="00377EBF">
        <w:t xml:space="preserve"> </w:t>
      </w:r>
      <w:r w:rsidRPr="00377EBF">
        <w:rPr>
          <w:b/>
          <w:bCs/>
        </w:rPr>
        <w:t>84</w:t>
      </w:r>
      <w:r w:rsidRPr="00377EBF">
        <w:t>, 1–39 (2018).</w:t>
      </w:r>
    </w:p>
    <w:p w14:paraId="396FA472" w14:textId="77777777" w:rsidR="00377EBF" w:rsidRPr="00377EBF" w:rsidRDefault="00377EBF" w:rsidP="00377EBF">
      <w:pPr>
        <w:pStyle w:val="Bibliography"/>
      </w:pPr>
      <w:r w:rsidRPr="00377EBF">
        <w:t>7.</w:t>
      </w:r>
      <w:r w:rsidRPr="00377EBF">
        <w:tab/>
        <w:t xml:space="preserve">Lee, D. CARBayes: an R package for Bayesian spatial modeling with conditional autoregressive priors. </w:t>
      </w:r>
      <w:r w:rsidRPr="00377EBF">
        <w:rPr>
          <w:i/>
          <w:iCs/>
        </w:rPr>
        <w:t>J. Stat. Softw.</w:t>
      </w:r>
      <w:r w:rsidRPr="00377EBF">
        <w:t xml:space="preserve"> </w:t>
      </w:r>
      <w:r w:rsidRPr="00377EBF">
        <w:rPr>
          <w:b/>
          <w:bCs/>
        </w:rPr>
        <w:t>55</w:t>
      </w:r>
      <w:r w:rsidRPr="00377EBF">
        <w:t>, 1–24 (2013).</w:t>
      </w:r>
    </w:p>
    <w:p w14:paraId="0B04862E" w14:textId="77777777" w:rsidR="00377EBF" w:rsidRPr="00377EBF" w:rsidRDefault="00377EBF" w:rsidP="00377EBF">
      <w:pPr>
        <w:pStyle w:val="Bibliography"/>
      </w:pPr>
      <w:r w:rsidRPr="00377EBF">
        <w:t>8.</w:t>
      </w:r>
      <w:r w:rsidRPr="00377EBF">
        <w:tab/>
        <w:t xml:space="preserve">Rushworth, A., Lee, D. &amp; Mitchell, R. A spatio-temporal model for estimating the long-term effects of air pollution on respiratory hospital admissions in Greater London. </w:t>
      </w:r>
      <w:r w:rsidRPr="00377EBF">
        <w:rPr>
          <w:i/>
          <w:iCs/>
        </w:rPr>
        <w:t>Spat. Spatio-Temporal Epidemiol.</w:t>
      </w:r>
      <w:r w:rsidRPr="00377EBF">
        <w:t xml:space="preserve"> </w:t>
      </w:r>
      <w:r w:rsidRPr="00377EBF">
        <w:rPr>
          <w:b/>
          <w:bCs/>
        </w:rPr>
        <w:t>10</w:t>
      </w:r>
      <w:r w:rsidRPr="00377EBF">
        <w:t>, 29–38 (2014).</w:t>
      </w:r>
    </w:p>
    <w:p w14:paraId="479C413E" w14:textId="77777777" w:rsidR="00377EBF" w:rsidRPr="00377EBF" w:rsidRDefault="00377EBF" w:rsidP="00377EBF">
      <w:pPr>
        <w:pStyle w:val="Bibliography"/>
      </w:pPr>
      <w:r w:rsidRPr="00377EBF">
        <w:t>9.</w:t>
      </w:r>
      <w:r w:rsidRPr="00377EBF">
        <w:tab/>
        <w:t xml:space="preserve">Leroux, B. G., Lei, X. &amp; Breslow, N. Estimation of Disease Rates in Small Areas: A new Mixed Model for Spatial Dependence. in </w:t>
      </w:r>
      <w:r w:rsidRPr="00377EBF">
        <w:rPr>
          <w:i/>
          <w:iCs/>
        </w:rPr>
        <w:t xml:space="preserve">Statistical Models in Epidemiology, the </w:t>
      </w:r>
      <w:r w:rsidRPr="00377EBF">
        <w:rPr>
          <w:i/>
          <w:iCs/>
        </w:rPr>
        <w:lastRenderedPageBreak/>
        <w:t>Environment, and Clinical Trials</w:t>
      </w:r>
      <w:r w:rsidRPr="00377EBF">
        <w:t xml:space="preserve"> (eds. Halloran, M. E. &amp; Berry, D.) 179–191 (Springer, 2000). doi:10.1007/978-1-4612-1284-3_4.</w:t>
      </w:r>
    </w:p>
    <w:p w14:paraId="507FB9A5" w14:textId="77777777" w:rsidR="00377EBF" w:rsidRPr="00377EBF" w:rsidRDefault="00377EBF" w:rsidP="00377EBF">
      <w:pPr>
        <w:pStyle w:val="Bibliography"/>
      </w:pPr>
      <w:r w:rsidRPr="00377EBF">
        <w:t>10.</w:t>
      </w:r>
      <w:r w:rsidRPr="00377EBF">
        <w:tab/>
        <w:t xml:space="preserve">Lee, D., Rushworth, A. &amp; Pettersson, G. N. and W. </w:t>
      </w:r>
      <w:r w:rsidRPr="00377EBF">
        <w:rPr>
          <w:i/>
          <w:iCs/>
        </w:rPr>
        <w:t>CARBayesST: Spatio-Temporal Generalised Linear Mixed Models for Areal Unit Data</w:t>
      </w:r>
      <w:r w:rsidRPr="00377EBF">
        <w:t>. (2021).</w:t>
      </w:r>
    </w:p>
    <w:p w14:paraId="4F01CBC7" w14:textId="77777777" w:rsidR="00377EBF" w:rsidRPr="00377EBF" w:rsidRDefault="00377EBF" w:rsidP="00377EBF">
      <w:pPr>
        <w:pStyle w:val="Bibliography"/>
      </w:pPr>
      <w:r w:rsidRPr="00377EBF">
        <w:t>11.</w:t>
      </w:r>
      <w:r w:rsidRPr="00377EBF">
        <w:tab/>
        <w:t xml:space="preserve">Gelman, A., Carlin, J. B., Stern, H. S. &amp; Rubin, D. B. </w:t>
      </w:r>
      <w:r w:rsidRPr="00377EBF">
        <w:rPr>
          <w:i/>
          <w:iCs/>
        </w:rPr>
        <w:t>Bayesian Data Analysis</w:t>
      </w:r>
      <w:r w:rsidRPr="00377EBF">
        <w:t>. (Chapman and Hall/CRC, 1995). doi:10.1201/9780429258411.</w:t>
      </w:r>
    </w:p>
    <w:p w14:paraId="12F36D28" w14:textId="77777777" w:rsidR="00377EBF" w:rsidRPr="00377EBF" w:rsidRDefault="00377EBF" w:rsidP="00377EBF">
      <w:pPr>
        <w:pStyle w:val="Bibliography"/>
      </w:pPr>
      <w:r w:rsidRPr="00377EBF">
        <w:t>12.</w:t>
      </w:r>
      <w:r w:rsidRPr="00377EBF">
        <w:tab/>
        <w:t xml:space="preserve">Geweke, J. Evaluating the Accuracy of Sampling-Based Approaches to the Calculation of Posterior Moments. in </w:t>
      </w:r>
      <w:r w:rsidRPr="00377EBF">
        <w:rPr>
          <w:i/>
          <w:iCs/>
        </w:rPr>
        <w:t>In Bayesian Statistics</w:t>
      </w:r>
      <w:r w:rsidRPr="00377EBF">
        <w:t xml:space="preserve"> 169–193 (University Press, 1992).</w:t>
      </w:r>
    </w:p>
    <w:p w14:paraId="1FAF6589" w14:textId="77777777" w:rsidR="00377EBF" w:rsidRPr="00377EBF" w:rsidRDefault="00377EBF" w:rsidP="00377EBF">
      <w:pPr>
        <w:pStyle w:val="Bibliography"/>
      </w:pPr>
      <w:r w:rsidRPr="00377EBF">
        <w:t>13.</w:t>
      </w:r>
      <w:r w:rsidRPr="00377EBF">
        <w:tab/>
        <w:t xml:space="preserve">Knorr-Held, L. Bayesian modelling of inseparable space-time variation in disease risk. </w:t>
      </w:r>
      <w:r w:rsidRPr="00377EBF">
        <w:rPr>
          <w:i/>
          <w:iCs/>
        </w:rPr>
        <w:t>Stat. Med.</w:t>
      </w:r>
      <w:r w:rsidRPr="00377EBF">
        <w:t xml:space="preserve"> </w:t>
      </w:r>
      <w:r w:rsidRPr="00377EBF">
        <w:rPr>
          <w:b/>
          <w:bCs/>
        </w:rPr>
        <w:t>19</w:t>
      </w:r>
      <w:r w:rsidRPr="00377EBF">
        <w:t>, 2555–2567 (2000).</w:t>
      </w:r>
    </w:p>
    <w:p w14:paraId="07E46509" w14:textId="739EB21E" w:rsidR="009B5A5E" w:rsidRDefault="00377EBF" w:rsidP="00785F00">
      <w:r>
        <w:fldChar w:fldCharType="end"/>
      </w:r>
    </w:p>
    <w:p w14:paraId="5215421A" w14:textId="1495C606" w:rsidR="00CA2103" w:rsidRDefault="00CA2103" w:rsidP="00785F00"/>
    <w:p w14:paraId="50DAA135" w14:textId="09B32480" w:rsidR="00CA2103" w:rsidRDefault="00CA2103" w:rsidP="00785F00">
      <w:r>
        <w:br w:type="page"/>
      </w:r>
    </w:p>
    <w:p w14:paraId="67C9B50F" w14:textId="77777777" w:rsidR="00A654B3" w:rsidRDefault="00A654B3" w:rsidP="00A654B3">
      <w:r>
        <w:rPr>
          <w:b/>
          <w:bCs/>
        </w:rPr>
        <w:lastRenderedPageBreak/>
        <w:t>Extended Data</w:t>
      </w:r>
    </w:p>
    <w:p w14:paraId="4033E980" w14:textId="77777777" w:rsidR="00A654B3" w:rsidRDefault="00A654B3" w:rsidP="00A654B3"/>
    <w:p w14:paraId="7D0FB15D" w14:textId="13867AE4" w:rsidR="0056391F" w:rsidRDefault="007835CF" w:rsidP="00A654B3">
      <w:r>
        <w:rPr>
          <w:noProof/>
        </w:rPr>
        <w:drawing>
          <wp:inline distT="0" distB="0" distL="0" distR="0" wp14:anchorId="025B53E5" wp14:editId="56F5172A">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88BF72D" w14:textId="292549B5" w:rsidR="00CA2103" w:rsidRDefault="00A654B3" w:rsidP="00A654B3">
      <w:r>
        <w:t>Extended Data F</w:t>
      </w:r>
      <w:r>
        <w:rPr>
          <w:rFonts w:hint="eastAsia"/>
        </w:rPr>
        <w:t>ig</w:t>
      </w:r>
      <w:r>
        <w:t>. 1.</w:t>
      </w:r>
      <w:r w:rsidR="00B02BC0">
        <w:t xml:space="preserve"> </w:t>
      </w:r>
      <w:r w:rsidR="00B02BC0" w:rsidRPr="00441A27">
        <w:t>Age structure of index cases called by contact tracers. (</w:t>
      </w:r>
      <w:r w:rsidR="000B3F7A">
        <w:t>a</w:t>
      </w:r>
      <w:r w:rsidR="00B02BC0" w:rsidRPr="00441A27">
        <w:t>) The daily number of index cases in each age group from October 1</w:t>
      </w:r>
      <w:proofErr w:type="gramStart"/>
      <w:r w:rsidR="00B02BC0" w:rsidRPr="00441A27">
        <w:t xml:space="preserve"> 2020</w:t>
      </w:r>
      <w:proofErr w:type="gramEnd"/>
      <w:r w:rsidR="00B02BC0" w:rsidRPr="00441A27">
        <w:t xml:space="preserve"> to May 10 2021. There was a data reporting issue during March 2021 so the spike in March does not reflect the actual COVID-19 situation. (</w:t>
      </w:r>
      <w:r w:rsidR="003E517A">
        <w:t>b</w:t>
      </w:r>
      <w:r w:rsidR="00B02BC0" w:rsidRPr="00441A27">
        <w:t>) The proportion of index cases in each age group during the study period.</w:t>
      </w:r>
    </w:p>
    <w:p w14:paraId="1689662B" w14:textId="07FC51DD" w:rsidR="007835CF" w:rsidRDefault="007835CF" w:rsidP="00A654B3">
      <w:r>
        <w:br w:type="page"/>
      </w:r>
    </w:p>
    <w:p w14:paraId="75DD5277" w14:textId="534E83FD" w:rsidR="007835CF" w:rsidRDefault="0086676B" w:rsidP="00A654B3">
      <w:r>
        <w:rPr>
          <w:noProof/>
        </w:rPr>
        <w:lastRenderedPageBreak/>
        <w:drawing>
          <wp:inline distT="0" distB="0" distL="0" distR="0" wp14:anchorId="213E3518" wp14:editId="70AE1D7D">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62A5595" w14:textId="1674AFA0" w:rsidR="0086676B" w:rsidRDefault="0086676B" w:rsidP="00A654B3">
      <w:r>
        <w:t>Extended Data F</w:t>
      </w:r>
      <w:r>
        <w:rPr>
          <w:rFonts w:hint="eastAsia"/>
        </w:rPr>
        <w:t>ig</w:t>
      </w:r>
      <w:r>
        <w:t xml:space="preserve">. 2. </w:t>
      </w:r>
      <w:r w:rsidR="003B4B2E" w:rsidRPr="00441A27">
        <w:t>Estimating the distribution of the interval from infection to testing for positive cases. (</w:t>
      </w:r>
      <w:r w:rsidR="003B4B2E">
        <w:t>a</w:t>
      </w:r>
      <w:r w:rsidR="003B4B2E" w:rsidRPr="00441A27">
        <w:t xml:space="preserve">) The prior distribution of </w:t>
      </w:r>
      <m:oMath>
        <m:sSub>
          <m:sSubPr>
            <m:ctrlPr>
              <w:rPr>
                <w:rFonts w:ascii="Cambria Math" w:hAnsi="Cambria Math"/>
                <w:i/>
              </w:rPr>
            </m:ctrlPr>
          </m:sSubPr>
          <m:e>
            <m:r>
              <w:rPr>
                <w:rFonts w:ascii="Cambria Math" w:hAnsi="Cambria Math"/>
              </w:rPr>
              <m:t>t</m:t>
            </m:r>
          </m:e>
          <m:sub>
            <m:r>
              <w:rPr>
                <w:rFonts w:ascii="Cambria Math" w:hAnsi="Cambria Math"/>
              </w:rPr>
              <m:t>inf→test</m:t>
            </m:r>
          </m:sub>
        </m:sSub>
      </m:oMath>
      <w:r w:rsidR="003B4B2E" w:rsidRPr="00441A27">
        <w:t xml:space="preserve"> obtained using data from symptomatic infections. (</w:t>
      </w:r>
      <w:r w:rsidR="003B4B2E">
        <w:t>b</w:t>
      </w:r>
      <w:r w:rsidR="003B4B2E" w:rsidRPr="00441A27">
        <w:t>) Samples of synthetic viral load trajectories. (</w:t>
      </w:r>
      <w:r w:rsidR="003B4B2E">
        <w:t>d</w:t>
      </w:r>
      <w:r w:rsidR="003B4B2E" w:rsidRPr="00441A27">
        <w:t xml:space="preserve">). The likelihood </w:t>
      </w:r>
      <m:oMath>
        <m:r>
          <w:rPr>
            <w:rFonts w:ascii="Cambria Math" w:hAnsi="Cambria Math"/>
          </w:rPr>
          <m:t>P(positive|</m:t>
        </m:r>
        <m:sSub>
          <m:sSubPr>
            <m:ctrlPr>
              <w:rPr>
                <w:rFonts w:ascii="Cambria Math" w:hAnsi="Cambria Math"/>
                <w:i/>
              </w:rPr>
            </m:ctrlPr>
          </m:sSubPr>
          <m:e>
            <m:r>
              <w:rPr>
                <w:rFonts w:ascii="Cambria Math" w:hAnsi="Cambria Math"/>
              </w:rPr>
              <m:t>t</m:t>
            </m:r>
          </m:e>
          <m:sub>
            <m:r>
              <w:rPr>
                <w:rFonts w:ascii="Cambria Math" w:hAnsi="Cambria Math"/>
              </w:rPr>
              <m:t>inf→test</m:t>
            </m:r>
          </m:sub>
        </m:sSub>
        <m:r>
          <w:rPr>
            <w:rFonts w:ascii="Cambria Math" w:hAnsi="Cambria Math"/>
          </w:rPr>
          <m:t>)</m:t>
        </m:r>
      </m:oMath>
      <w:r w:rsidR="003B4B2E" w:rsidRPr="00441A27">
        <w:t xml:space="preserve"> obtained using synthetic viral dynamics and LOD. (</w:t>
      </w:r>
      <w:r w:rsidR="003B4B2E">
        <w:t>d</w:t>
      </w:r>
      <w:r w:rsidR="003B4B2E" w:rsidRPr="00441A27">
        <w:t xml:space="preserve">). The posterior </w:t>
      </w:r>
      <m:oMath>
        <m:r>
          <w:rPr>
            <w:rFonts w:ascii="Cambria Math" w:hAnsi="Cambria Math"/>
          </w:rPr>
          <m:t>P(</m:t>
        </m:r>
        <m:sSub>
          <m:sSubPr>
            <m:ctrlPr>
              <w:rPr>
                <w:rFonts w:ascii="Cambria Math" w:hAnsi="Cambria Math"/>
                <w:i/>
              </w:rPr>
            </m:ctrlPr>
          </m:sSubPr>
          <m:e>
            <m:r>
              <w:rPr>
                <w:rFonts w:ascii="Cambria Math" w:hAnsi="Cambria Math"/>
              </w:rPr>
              <m:t>t</m:t>
            </m:r>
          </m:e>
          <m:sub>
            <m:r>
              <w:rPr>
                <w:rFonts w:ascii="Cambria Math" w:hAnsi="Cambria Math"/>
              </w:rPr>
              <m:t>inf→test</m:t>
            </m:r>
          </m:sub>
        </m:sSub>
        <m:r>
          <w:rPr>
            <w:rFonts w:ascii="Cambria Math" w:hAnsi="Cambria Math"/>
          </w:rPr>
          <m:t>|positive)</m:t>
        </m:r>
      </m:oMath>
      <w:r w:rsidR="003B4B2E" w:rsidRPr="00441A27">
        <w:t>.</w:t>
      </w:r>
    </w:p>
    <w:p w14:paraId="1582477F" w14:textId="38FF05BB" w:rsidR="002B16A3" w:rsidRDefault="002B16A3" w:rsidP="00A654B3">
      <w:r>
        <w:br w:type="page"/>
      </w:r>
    </w:p>
    <w:p w14:paraId="2A8BA144" w14:textId="30DA85EF" w:rsidR="002B16A3" w:rsidRDefault="002B16A3" w:rsidP="002B16A3">
      <w:pPr>
        <w:jc w:val="center"/>
      </w:pPr>
      <w:r>
        <w:rPr>
          <w:noProof/>
        </w:rPr>
        <w:lastRenderedPageBreak/>
        <w:drawing>
          <wp:inline distT="0" distB="0" distL="0" distR="0" wp14:anchorId="4A50DE4B" wp14:editId="0334F67E">
            <wp:extent cx="4572000" cy="2156558"/>
            <wp:effectExtent l="0" t="0" r="0" b="2540"/>
            <wp:docPr id="3" name="Picture 3"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venn 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2156558"/>
                    </a:xfrm>
                    <a:prstGeom prst="rect">
                      <a:avLst/>
                    </a:prstGeom>
                  </pic:spPr>
                </pic:pic>
              </a:graphicData>
            </a:graphic>
          </wp:inline>
        </w:drawing>
      </w:r>
    </w:p>
    <w:p w14:paraId="4FC959F0" w14:textId="77777777" w:rsidR="002B16A3" w:rsidRDefault="002B16A3" w:rsidP="00A654B3"/>
    <w:p w14:paraId="4D03D81E" w14:textId="77777777" w:rsidR="003C42BB" w:rsidRPr="00441A27" w:rsidRDefault="002B16A3" w:rsidP="003C42BB">
      <w:pPr>
        <w:pStyle w:val="SMcaption"/>
      </w:pPr>
      <w:r>
        <w:t>Extended Data F</w:t>
      </w:r>
      <w:r>
        <w:rPr>
          <w:rFonts w:hint="eastAsia"/>
        </w:rPr>
        <w:t>ig</w:t>
      </w:r>
      <w:r>
        <w:t xml:space="preserve">. </w:t>
      </w:r>
      <w:r w:rsidR="003C42BB">
        <w:t>3</w:t>
      </w:r>
      <w:r>
        <w:t>.</w:t>
      </w:r>
      <w:r w:rsidR="003C42BB">
        <w:t xml:space="preserve"> </w:t>
      </w:r>
      <w:r w:rsidR="003C42BB" w:rsidRPr="00441A27">
        <w:t xml:space="preserve">A diagram for estimating the transmission probability for an exposure from age group </w:t>
      </w:r>
      <m:oMath>
        <m:r>
          <w:rPr>
            <w:rFonts w:ascii="Cambria Math" w:hAnsi="Cambria Math"/>
          </w:rPr>
          <m:t>a</m:t>
        </m:r>
      </m:oMath>
      <w:r w:rsidR="003C42BB" w:rsidRPr="00441A27">
        <w:t xml:space="preserve"> to </w:t>
      </w:r>
      <m:oMath>
        <m:r>
          <w:rPr>
            <w:rFonts w:ascii="Cambria Math" w:hAnsi="Cambria Math"/>
          </w:rPr>
          <m:t>a'</m:t>
        </m:r>
      </m:oMath>
      <w:r w:rsidR="003C42BB" w:rsidRPr="00441A27">
        <w:t xml:space="preserve">. Assume the grey rectangular has an area of 1, representing all exposures from age group </w:t>
      </w:r>
      <m:oMath>
        <m:r>
          <w:rPr>
            <w:rFonts w:ascii="Cambria Math" w:hAnsi="Cambria Math"/>
          </w:rPr>
          <m:t>a</m:t>
        </m:r>
      </m:oMath>
      <w:r w:rsidR="003C42BB" w:rsidRPr="00441A27">
        <w:t xml:space="preserve"> to </w:t>
      </w:r>
      <m:oMath>
        <m:r>
          <w:rPr>
            <w:rFonts w:ascii="Cambria Math" w:hAnsi="Cambria Math"/>
          </w:rPr>
          <m:t>a'</m:t>
        </m:r>
      </m:oMath>
      <w:r w:rsidR="003C42BB" w:rsidRPr="00441A27">
        <w:t xml:space="preserve">. The combined orange and red areas represent the probability of testing, </w:t>
      </w:r>
      <m:oMath>
        <m:sSub>
          <m:sSubPr>
            <m:ctrlPr>
              <w:rPr>
                <w:rFonts w:ascii="Cambria Math" w:hAnsi="Cambria Math"/>
                <w:i/>
              </w:rPr>
            </m:ctrlPr>
          </m:sSubPr>
          <m:e>
            <m:r>
              <w:rPr>
                <w:rFonts w:ascii="Cambria Math" w:hAnsi="Cambria Math"/>
              </w:rPr>
              <m:t>P</m:t>
            </m:r>
          </m:e>
          <m:sub>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sub>
        </m:sSub>
        <m:r>
          <w:rPr>
            <w:rFonts w:ascii="Cambria Math" w:hAnsi="Cambria Math"/>
          </w:rPr>
          <m:t>(test)</m:t>
        </m:r>
      </m:oMath>
      <w:r w:rsidR="003C42BB" w:rsidRPr="00441A27">
        <w:t xml:space="preserve">; the combined orange and blue areas represent the probability of infection, </w:t>
      </w:r>
      <m:oMath>
        <m:sSub>
          <m:sSubPr>
            <m:ctrlPr>
              <w:rPr>
                <w:rFonts w:ascii="Cambria Math" w:hAnsi="Cambria Math"/>
                <w:i/>
              </w:rPr>
            </m:ctrlPr>
          </m:sSubPr>
          <m:e>
            <m:r>
              <w:rPr>
                <w:rFonts w:ascii="Cambria Math" w:hAnsi="Cambria Math"/>
              </w:rPr>
              <m:t>P</m:t>
            </m:r>
          </m:e>
          <m:sub>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sub>
        </m:sSub>
        <m:r>
          <w:rPr>
            <w:rFonts w:ascii="Cambria Math" w:hAnsi="Cambria Math"/>
          </w:rPr>
          <m:t>(positive)</m:t>
        </m:r>
      </m:oMath>
      <w:r w:rsidR="003C42BB" w:rsidRPr="00441A27">
        <w:t xml:space="preserve">; the ratio of the orange area to the combined orange and red areas is the positivity rate, </w:t>
      </w:r>
      <m:oMath>
        <m:sSub>
          <m:sSubPr>
            <m:ctrlPr>
              <w:rPr>
                <w:rFonts w:ascii="Cambria Math" w:hAnsi="Cambria Math"/>
                <w:i/>
              </w:rPr>
            </m:ctrlPr>
          </m:sSubPr>
          <m:e>
            <m:r>
              <w:rPr>
                <w:rFonts w:ascii="Cambria Math" w:hAnsi="Cambria Math"/>
              </w:rPr>
              <m:t>P</m:t>
            </m:r>
          </m:e>
          <m:sub>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sub>
        </m:sSub>
        <m:d>
          <m:dPr>
            <m:ctrlPr>
              <w:rPr>
                <w:rFonts w:ascii="Cambria Math" w:hAnsi="Cambria Math"/>
                <w:i/>
              </w:rPr>
            </m:ctrlPr>
          </m:dPr>
          <m:e>
            <m:r>
              <w:rPr>
                <w:rFonts w:ascii="Cambria Math" w:hAnsi="Cambria Math"/>
              </w:rPr>
              <m:t>positive</m:t>
            </m:r>
          </m:e>
          <m:e>
            <m:r>
              <w:rPr>
                <w:rFonts w:ascii="Cambria Math" w:hAnsi="Cambria Math"/>
              </w:rPr>
              <m:t>test</m:t>
            </m:r>
          </m:e>
        </m:d>
        <m:r>
          <w:rPr>
            <w:rFonts w:ascii="Cambria Math" w:hAnsi="Cambria Math"/>
          </w:rPr>
          <m:t>=orange/(orange+red)</m:t>
        </m:r>
      </m:oMath>
      <w:r w:rsidR="003C42BB" w:rsidRPr="00441A27">
        <w:t xml:space="preserve">; the ratio of the orange area to the combined orange and blue areas is the probability of testing among infected exposures, </w:t>
      </w:r>
      <m:oMath>
        <m:sSub>
          <m:sSubPr>
            <m:ctrlPr>
              <w:rPr>
                <w:rFonts w:ascii="Cambria Math" w:hAnsi="Cambria Math"/>
                <w:i/>
              </w:rPr>
            </m:ctrlPr>
          </m:sSubPr>
          <m:e>
            <m:r>
              <w:rPr>
                <w:rFonts w:ascii="Cambria Math" w:hAnsi="Cambria Math"/>
              </w:rPr>
              <m:t>P</m:t>
            </m:r>
          </m:e>
          <m:sub>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sub>
        </m:sSub>
        <m:d>
          <m:dPr>
            <m:ctrlPr>
              <w:rPr>
                <w:rFonts w:ascii="Cambria Math" w:hAnsi="Cambria Math"/>
                <w:i/>
              </w:rPr>
            </m:ctrlPr>
          </m:dPr>
          <m:e>
            <m:r>
              <w:rPr>
                <w:rFonts w:ascii="Cambria Math" w:hAnsi="Cambria Math"/>
              </w:rPr>
              <m:t>test</m:t>
            </m:r>
          </m:e>
          <m:e>
            <m:r>
              <w:rPr>
                <w:rFonts w:ascii="Cambria Math" w:hAnsi="Cambria Math"/>
              </w:rPr>
              <m:t>positive</m:t>
            </m:r>
          </m:e>
        </m:d>
        <m:r>
          <w:rPr>
            <w:rFonts w:ascii="Cambria Math" w:hAnsi="Cambria Math"/>
          </w:rPr>
          <m:t>=orange/(orange+blue)</m:t>
        </m:r>
      </m:oMath>
      <w:r w:rsidR="003C42BB" w:rsidRPr="00441A27">
        <w:t xml:space="preserve">. Since the orange area can be computed by </w:t>
      </w:r>
      <m:oMath>
        <m:sSub>
          <m:sSubPr>
            <m:ctrlPr>
              <w:rPr>
                <w:rFonts w:ascii="Cambria Math" w:hAnsi="Cambria Math"/>
                <w:i/>
              </w:rPr>
            </m:ctrlPr>
          </m:sSubPr>
          <m:e>
            <m:r>
              <w:rPr>
                <w:rFonts w:ascii="Cambria Math" w:hAnsi="Cambria Math"/>
              </w:rPr>
              <m:t>P</m:t>
            </m:r>
          </m:e>
          <m:sub>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sub>
        </m:sSub>
        <m:d>
          <m:dPr>
            <m:ctrlPr>
              <w:rPr>
                <w:rFonts w:ascii="Cambria Math" w:hAnsi="Cambria Math"/>
                <w:i/>
              </w:rPr>
            </m:ctrlPr>
          </m:dPr>
          <m:e>
            <m:r>
              <w:rPr>
                <w:rFonts w:ascii="Cambria Math" w:hAnsi="Cambria Math"/>
              </w:rPr>
              <m:t>test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sub>
        </m:sSub>
        <m:d>
          <m:dPr>
            <m:ctrlPr>
              <w:rPr>
                <w:rFonts w:ascii="Cambria Math" w:hAnsi="Cambria Math"/>
                <w:i/>
              </w:rPr>
            </m:ctrlPr>
          </m:dPr>
          <m:e>
            <m:r>
              <w:rPr>
                <w:rFonts w:ascii="Cambria Math" w:hAnsi="Cambria Math"/>
              </w:rPr>
              <m:t>positive</m:t>
            </m:r>
          </m:e>
          <m:e>
            <m:r>
              <w:rPr>
                <w:rFonts w:ascii="Cambria Math" w:hAnsi="Cambria Math"/>
              </w:rPr>
              <m:t>test</m:t>
            </m:r>
          </m:e>
        </m:d>
      </m:oMath>
      <w:r w:rsidR="003C42BB" w:rsidRPr="00441A27">
        <w:t xml:space="preserve">, or </w:t>
      </w:r>
      <m:oMath>
        <m:sSub>
          <m:sSubPr>
            <m:ctrlPr>
              <w:rPr>
                <w:rFonts w:ascii="Cambria Math" w:hAnsi="Cambria Math"/>
                <w:i/>
              </w:rPr>
            </m:ctrlPr>
          </m:sSubPr>
          <m:e>
            <m:r>
              <w:rPr>
                <w:rFonts w:ascii="Cambria Math" w:hAnsi="Cambria Math"/>
              </w:rPr>
              <m:t>P</m:t>
            </m:r>
          </m:e>
          <m:sub>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sub>
        </m:sSub>
        <m:d>
          <m:dPr>
            <m:ctrlPr>
              <w:rPr>
                <w:rFonts w:ascii="Cambria Math" w:hAnsi="Cambria Math"/>
                <w:i/>
              </w:rPr>
            </m:ctrlPr>
          </m:dPr>
          <m:e>
            <m:r>
              <w:rPr>
                <w:rFonts w:ascii="Cambria Math" w:hAnsi="Cambria Math"/>
              </w:rPr>
              <m:t>positive</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sub>
        </m:sSub>
        <m:d>
          <m:dPr>
            <m:ctrlPr>
              <w:rPr>
                <w:rFonts w:ascii="Cambria Math" w:hAnsi="Cambria Math"/>
                <w:i/>
              </w:rPr>
            </m:ctrlPr>
          </m:dPr>
          <m:e>
            <m:r>
              <w:rPr>
                <w:rFonts w:ascii="Cambria Math" w:hAnsi="Cambria Math"/>
              </w:rPr>
              <m:t>test</m:t>
            </m:r>
          </m:e>
          <m:e>
            <m:r>
              <w:rPr>
                <w:rFonts w:ascii="Cambria Math" w:hAnsi="Cambria Math"/>
              </w:rPr>
              <m:t>positive</m:t>
            </m:r>
          </m:e>
        </m:d>
      </m:oMath>
      <w:r w:rsidR="003C42BB" w:rsidRPr="00441A27">
        <w:t xml:space="preserve">, we have </w:t>
      </w:r>
      <m:oMath>
        <m:sSub>
          <m:sSubPr>
            <m:ctrlPr>
              <w:rPr>
                <w:rFonts w:ascii="Cambria Math" w:hAnsi="Cambria Math"/>
                <w:i/>
              </w:rPr>
            </m:ctrlPr>
          </m:sSubPr>
          <m:e>
            <m:r>
              <w:rPr>
                <w:rFonts w:ascii="Cambria Math" w:hAnsi="Cambria Math"/>
              </w:rPr>
              <m:t>P</m:t>
            </m:r>
          </m:e>
          <m:sub>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sub>
        </m:sSub>
        <m:d>
          <m:dPr>
            <m:ctrlPr>
              <w:rPr>
                <w:rFonts w:ascii="Cambria Math" w:hAnsi="Cambria Math"/>
                <w:i/>
              </w:rPr>
            </m:ctrlPr>
          </m:dPr>
          <m:e>
            <m:r>
              <w:rPr>
                <w:rFonts w:ascii="Cambria Math" w:hAnsi="Cambria Math"/>
              </w:rPr>
              <m:t>test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sub>
        </m:sSub>
        <m:d>
          <m:dPr>
            <m:ctrlPr>
              <w:rPr>
                <w:rFonts w:ascii="Cambria Math" w:hAnsi="Cambria Math"/>
                <w:i/>
              </w:rPr>
            </m:ctrlPr>
          </m:dPr>
          <m:e>
            <m:r>
              <w:rPr>
                <w:rFonts w:ascii="Cambria Math" w:hAnsi="Cambria Math"/>
              </w:rPr>
              <m:t>positive</m:t>
            </m:r>
          </m:e>
          <m:e>
            <m:r>
              <w:rPr>
                <w:rFonts w:ascii="Cambria Math" w:hAnsi="Cambria Math"/>
              </w:rPr>
              <m:t>test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sub>
        </m:sSub>
        <m:d>
          <m:dPr>
            <m:ctrlPr>
              <w:rPr>
                <w:rFonts w:ascii="Cambria Math" w:hAnsi="Cambria Math"/>
                <w:i/>
              </w:rPr>
            </m:ctrlPr>
          </m:dPr>
          <m:e>
            <m:r>
              <w:rPr>
                <w:rFonts w:ascii="Cambria Math" w:hAnsi="Cambria Math"/>
              </w:rPr>
              <m:t>positive</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sub>
        </m:sSub>
        <m:d>
          <m:dPr>
            <m:ctrlPr>
              <w:rPr>
                <w:rFonts w:ascii="Cambria Math" w:hAnsi="Cambria Math"/>
                <w:i/>
              </w:rPr>
            </m:ctrlPr>
          </m:dPr>
          <m:e>
            <m:r>
              <w:rPr>
                <w:rFonts w:ascii="Cambria Math" w:hAnsi="Cambria Math"/>
              </w:rPr>
              <m:t>test</m:t>
            </m:r>
          </m:e>
          <m:e>
            <m:r>
              <w:rPr>
                <w:rFonts w:ascii="Cambria Math" w:hAnsi="Cambria Math"/>
              </w:rPr>
              <m:t>positive</m:t>
            </m:r>
          </m:e>
        </m:d>
      </m:oMath>
      <w:r w:rsidR="003C42BB" w:rsidRPr="00441A27">
        <w:t xml:space="preserve">. Then we can estimate the transmission probability for an exposure from age group </w:t>
      </w:r>
      <m:oMath>
        <m:r>
          <w:rPr>
            <w:rFonts w:ascii="Cambria Math" w:hAnsi="Cambria Math"/>
          </w:rPr>
          <m:t>a</m:t>
        </m:r>
      </m:oMath>
      <w:r w:rsidR="003C42BB" w:rsidRPr="00441A27">
        <w:t xml:space="preserve"> to </w:t>
      </w:r>
      <m:oMath>
        <m:r>
          <w:rPr>
            <w:rFonts w:ascii="Cambria Math" w:hAnsi="Cambria Math"/>
          </w:rPr>
          <m:t>a'</m:t>
        </m:r>
      </m:oMath>
      <w:r w:rsidR="003C42BB" w:rsidRPr="00441A27">
        <w:t xml:space="preserve"> through </w:t>
      </w:r>
      <m:oMath>
        <m:sSub>
          <m:sSubPr>
            <m:ctrlPr>
              <w:rPr>
                <w:rFonts w:ascii="Cambria Math" w:hAnsi="Cambria Math"/>
                <w:i/>
              </w:rPr>
            </m:ctrlPr>
          </m:sSubPr>
          <m:e>
            <m:r>
              <w:rPr>
                <w:rFonts w:ascii="Cambria Math" w:hAnsi="Cambria Math"/>
              </w:rPr>
              <m:t>P</m:t>
            </m:r>
          </m:e>
          <m:sub>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sub>
        </m:sSub>
        <m:d>
          <m:dPr>
            <m:ctrlPr>
              <w:rPr>
                <w:rFonts w:ascii="Cambria Math" w:hAnsi="Cambria Math"/>
                <w:i/>
              </w:rPr>
            </m:ctrlPr>
          </m:dPr>
          <m:e>
            <m:r>
              <w:rPr>
                <w:rFonts w:ascii="Cambria Math" w:hAnsi="Cambria Math"/>
              </w:rPr>
              <m:t>positive</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sub>
        </m:sSub>
        <m:d>
          <m:dPr>
            <m:ctrlPr>
              <w:rPr>
                <w:rFonts w:ascii="Cambria Math" w:hAnsi="Cambria Math"/>
                <w:i/>
              </w:rPr>
            </m:ctrlPr>
          </m:dPr>
          <m:e>
            <m:r>
              <w:rPr>
                <w:rFonts w:ascii="Cambria Math" w:hAnsi="Cambria Math"/>
              </w:rPr>
              <m:t>test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sub>
        </m:sSub>
        <m:d>
          <m:dPr>
            <m:ctrlPr>
              <w:rPr>
                <w:rFonts w:ascii="Cambria Math" w:hAnsi="Cambria Math"/>
                <w:i/>
              </w:rPr>
            </m:ctrlPr>
          </m:dPr>
          <m:e>
            <m:r>
              <w:rPr>
                <w:rFonts w:ascii="Cambria Math" w:hAnsi="Cambria Math"/>
              </w:rPr>
              <m:t>positive</m:t>
            </m:r>
          </m:e>
          <m:e>
            <m:r>
              <w:rPr>
                <w:rFonts w:ascii="Cambria Math" w:hAnsi="Cambria Math"/>
              </w:rPr>
              <m:t>test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sub>
        </m:sSub>
        <m:d>
          <m:dPr>
            <m:ctrlPr>
              <w:rPr>
                <w:rFonts w:ascii="Cambria Math" w:hAnsi="Cambria Math"/>
                <w:i/>
              </w:rPr>
            </m:ctrlPr>
          </m:dPr>
          <m:e>
            <m:r>
              <w:rPr>
                <w:rFonts w:ascii="Cambria Math" w:hAnsi="Cambria Math"/>
              </w:rPr>
              <m:t>test</m:t>
            </m:r>
          </m:e>
          <m:e>
            <m:r>
              <w:rPr>
                <w:rFonts w:ascii="Cambria Math" w:hAnsi="Cambria Math"/>
              </w:rPr>
              <m:t>positive</m:t>
            </m:r>
          </m:e>
        </m:d>
      </m:oMath>
      <w:r w:rsidR="003C42BB" w:rsidRPr="00441A27">
        <w:t>.</w:t>
      </w:r>
    </w:p>
    <w:p w14:paraId="4031250A" w14:textId="2B692A4A" w:rsidR="00694884" w:rsidRDefault="00694884" w:rsidP="00A654B3">
      <w:r>
        <w:br w:type="page"/>
      </w:r>
    </w:p>
    <w:p w14:paraId="7C881040" w14:textId="7C6865FA" w:rsidR="002B16A3" w:rsidRDefault="00694884" w:rsidP="00A654B3">
      <w:r>
        <w:rPr>
          <w:noProof/>
        </w:rPr>
        <w:lastRenderedPageBreak/>
        <w:drawing>
          <wp:inline distT="0" distB="0" distL="0" distR="0" wp14:anchorId="4C1D10F2" wp14:editId="556B9F28">
            <wp:extent cx="5943600" cy="3368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5943600" cy="3368675"/>
                    </a:xfrm>
                    <a:prstGeom prst="rect">
                      <a:avLst/>
                    </a:prstGeom>
                  </pic:spPr>
                </pic:pic>
              </a:graphicData>
            </a:graphic>
          </wp:inline>
        </w:drawing>
      </w:r>
    </w:p>
    <w:p w14:paraId="636DA29D" w14:textId="77777777" w:rsidR="00694884" w:rsidRDefault="00694884" w:rsidP="00A654B3"/>
    <w:p w14:paraId="39D763AF" w14:textId="05EE57AF" w:rsidR="00694884" w:rsidRDefault="00694884" w:rsidP="00A654B3">
      <w:r>
        <w:t>Extended Data F</w:t>
      </w:r>
      <w:r>
        <w:rPr>
          <w:rFonts w:hint="eastAsia"/>
        </w:rPr>
        <w:t>ig</w:t>
      </w:r>
      <w:r>
        <w:t xml:space="preserve">. 4. </w:t>
      </w:r>
      <w:proofErr w:type="gramStart"/>
      <w:r w:rsidRPr="00441A27">
        <w:t>Moran’s</w:t>
      </w:r>
      <w:proofErr w:type="gramEnd"/>
      <w:r w:rsidRPr="00441A27">
        <w:t xml:space="preserve"> I test for residual spatial autocorrelation. </w:t>
      </w:r>
      <w:proofErr w:type="gramStart"/>
      <w:r w:rsidRPr="00441A27">
        <w:t>Moran’s</w:t>
      </w:r>
      <w:proofErr w:type="gramEnd"/>
      <w:r w:rsidRPr="00441A27">
        <w:t xml:space="preserve"> I test was performed for each week. P-values for within- and cross-zip code transmission are shown. The horizontal dash line marks the p=0.05 threshold.</w:t>
      </w:r>
    </w:p>
    <w:p w14:paraId="70CF415A" w14:textId="724753D7" w:rsidR="00AE3F53" w:rsidRDefault="00AE3F53" w:rsidP="00A654B3">
      <w:r>
        <w:br w:type="page"/>
      </w:r>
    </w:p>
    <w:p w14:paraId="35685199" w14:textId="671F350B" w:rsidR="00AE3F53" w:rsidRDefault="00AE3F53" w:rsidP="00A654B3">
      <w:r>
        <w:rPr>
          <w:noProof/>
        </w:rPr>
        <w:lastRenderedPageBreak/>
        <w:drawing>
          <wp:inline distT="0" distB="0" distL="0" distR="0" wp14:anchorId="3342CB2D" wp14:editId="3CA76BC3">
            <wp:extent cx="5943600" cy="3368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5943600" cy="3368675"/>
                    </a:xfrm>
                    <a:prstGeom prst="rect">
                      <a:avLst/>
                    </a:prstGeom>
                  </pic:spPr>
                </pic:pic>
              </a:graphicData>
            </a:graphic>
          </wp:inline>
        </w:drawing>
      </w:r>
    </w:p>
    <w:p w14:paraId="25C002E9" w14:textId="4659B436" w:rsidR="00AE3F53" w:rsidRDefault="00AE3F53" w:rsidP="00A654B3"/>
    <w:p w14:paraId="2C414291" w14:textId="77777777" w:rsidR="00AE3F53" w:rsidRDefault="00AE3F53" w:rsidP="00AE3F53">
      <w:pPr>
        <w:pStyle w:val="SMcaption"/>
      </w:pPr>
      <w:r>
        <w:t>Extended Data F</w:t>
      </w:r>
      <w:r>
        <w:rPr>
          <w:rFonts w:hint="eastAsia"/>
        </w:rPr>
        <w:t>ig</w:t>
      </w:r>
      <w:r>
        <w:t xml:space="preserve">. 5. </w:t>
      </w:r>
      <w:r w:rsidRPr="00441A27">
        <w:t>Durbin-Watson test for residual temporal autocorrelation performed for each location. P-values for within- and cross-zip code transmission are shown. The horizontal dash line marks the p=0.05 threshold.</w:t>
      </w:r>
    </w:p>
    <w:p w14:paraId="7A635275" w14:textId="689F564C" w:rsidR="00AE3F53" w:rsidRDefault="00AE3F53" w:rsidP="00A654B3">
      <w:r>
        <w:br w:type="page"/>
      </w:r>
    </w:p>
    <w:p w14:paraId="43BE98AC" w14:textId="2D5D1A3D" w:rsidR="00AE3F53" w:rsidRDefault="00AE3F53" w:rsidP="00A654B3">
      <w:r>
        <w:rPr>
          <w:noProof/>
        </w:rPr>
        <w:lastRenderedPageBreak/>
        <w:drawing>
          <wp:inline distT="0" distB="0" distL="0" distR="0" wp14:anchorId="67C46BCD" wp14:editId="6BD1E051">
            <wp:extent cx="5943600" cy="1857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extLst>
                        <a:ext uri="{28A0092B-C50C-407E-A947-70E740481C1C}">
                          <a14:useLocalDpi xmlns:a14="http://schemas.microsoft.com/office/drawing/2010/main" val="0"/>
                        </a:ext>
                      </a:extLst>
                    </a:blip>
                    <a:stretch>
                      <a:fillRect/>
                    </a:stretch>
                  </pic:blipFill>
                  <pic:spPr>
                    <a:xfrm>
                      <a:off x="0" y="0"/>
                      <a:ext cx="5943600" cy="1857375"/>
                    </a:xfrm>
                    <a:prstGeom prst="rect">
                      <a:avLst/>
                    </a:prstGeom>
                  </pic:spPr>
                </pic:pic>
              </a:graphicData>
            </a:graphic>
          </wp:inline>
        </w:drawing>
      </w:r>
    </w:p>
    <w:p w14:paraId="0099B288" w14:textId="2362ABEE" w:rsidR="00AE3F53" w:rsidRDefault="00AE3F53" w:rsidP="00A654B3"/>
    <w:p w14:paraId="1B6A8D7E" w14:textId="58B28A16" w:rsidR="00AE3F53" w:rsidRDefault="00AE3F53" w:rsidP="00A654B3">
      <w:r>
        <w:t>Extended Data F</w:t>
      </w:r>
      <w:r>
        <w:rPr>
          <w:rFonts w:hint="eastAsia"/>
        </w:rPr>
        <w:t>ig</w:t>
      </w:r>
      <w:r>
        <w:t xml:space="preserve">. 6. </w:t>
      </w:r>
      <w:r w:rsidRPr="002B1A19">
        <w:t xml:space="preserve">Results of sensitivity analysis using a one-week lag. Dots and horizontal lines show median values and 95% CIs. DIC=6,301 for </w:t>
      </w:r>
      <w:r>
        <w:t>a</w:t>
      </w:r>
      <w:r w:rsidRPr="002B1A19">
        <w:t xml:space="preserve"> and DIC=12,555 for </w:t>
      </w:r>
      <w:r>
        <w:t>b</w:t>
      </w:r>
      <w:r w:rsidRPr="002B1A19">
        <w:t>.</w:t>
      </w:r>
    </w:p>
    <w:p w14:paraId="54684150" w14:textId="5FBA379F" w:rsidR="004762B0" w:rsidRDefault="004762B0" w:rsidP="00A654B3">
      <w:r>
        <w:br w:type="page"/>
      </w:r>
    </w:p>
    <w:p w14:paraId="05F4C920" w14:textId="55C7D10E" w:rsidR="004762B0" w:rsidRDefault="00E32D2D" w:rsidP="00A654B3">
      <w:r>
        <w:rPr>
          <w:noProof/>
        </w:rPr>
        <w:lastRenderedPageBreak/>
        <w:drawing>
          <wp:inline distT="0" distB="0" distL="0" distR="0" wp14:anchorId="6DABF6DA" wp14:editId="5F08A159">
            <wp:extent cx="5943600" cy="1857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a:extLst>
                        <a:ext uri="{28A0092B-C50C-407E-A947-70E740481C1C}">
                          <a14:useLocalDpi xmlns:a14="http://schemas.microsoft.com/office/drawing/2010/main" val="0"/>
                        </a:ext>
                      </a:extLst>
                    </a:blip>
                    <a:stretch>
                      <a:fillRect/>
                    </a:stretch>
                  </pic:blipFill>
                  <pic:spPr>
                    <a:xfrm>
                      <a:off x="0" y="0"/>
                      <a:ext cx="5943600" cy="1857375"/>
                    </a:xfrm>
                    <a:prstGeom prst="rect">
                      <a:avLst/>
                    </a:prstGeom>
                  </pic:spPr>
                </pic:pic>
              </a:graphicData>
            </a:graphic>
          </wp:inline>
        </w:drawing>
      </w:r>
    </w:p>
    <w:p w14:paraId="63AC2455" w14:textId="5DFACE9B" w:rsidR="004762B0" w:rsidRDefault="004762B0" w:rsidP="00A654B3"/>
    <w:p w14:paraId="79D50891" w14:textId="7D7347D7" w:rsidR="004762B0" w:rsidRDefault="004762B0" w:rsidP="00A654B3">
      <w:r>
        <w:t>Extended Data F</w:t>
      </w:r>
      <w:r>
        <w:rPr>
          <w:rFonts w:hint="eastAsia"/>
        </w:rPr>
        <w:t>ig</w:t>
      </w:r>
      <w:r>
        <w:t xml:space="preserve">. 7. </w:t>
      </w:r>
      <w:r w:rsidR="00E32D2D" w:rsidRPr="002B1A19">
        <w:t xml:space="preserve">Results of sensitivity analysis using a two-week lag. Dots and horizontal lines show median values and 95% CIs. DIC=6,257 for </w:t>
      </w:r>
      <w:r w:rsidR="00E32D2D">
        <w:t>a</w:t>
      </w:r>
      <w:r w:rsidR="00E32D2D" w:rsidRPr="002B1A19">
        <w:t xml:space="preserve"> and DIC=12,401 for </w:t>
      </w:r>
      <w:r w:rsidR="00E32D2D">
        <w:t>b</w:t>
      </w:r>
      <w:r w:rsidR="00E32D2D" w:rsidRPr="002B1A19">
        <w:t>.</w:t>
      </w:r>
    </w:p>
    <w:p w14:paraId="4A980A33" w14:textId="45E266B6" w:rsidR="00D97078" w:rsidRDefault="00D97078" w:rsidP="00A654B3">
      <w:r>
        <w:br w:type="page"/>
      </w:r>
    </w:p>
    <w:p w14:paraId="198B40B1" w14:textId="60931728" w:rsidR="00D97078" w:rsidRDefault="00D97078" w:rsidP="00A654B3">
      <w:r>
        <w:rPr>
          <w:noProof/>
        </w:rPr>
        <w:lastRenderedPageBreak/>
        <w:drawing>
          <wp:inline distT="0" distB="0" distL="0" distR="0" wp14:anchorId="05EC35D9" wp14:editId="340FCB26">
            <wp:extent cx="5943600" cy="1857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a:extLst>
                        <a:ext uri="{28A0092B-C50C-407E-A947-70E740481C1C}">
                          <a14:useLocalDpi xmlns:a14="http://schemas.microsoft.com/office/drawing/2010/main" val="0"/>
                        </a:ext>
                      </a:extLst>
                    </a:blip>
                    <a:stretch>
                      <a:fillRect/>
                    </a:stretch>
                  </pic:blipFill>
                  <pic:spPr>
                    <a:xfrm>
                      <a:off x="0" y="0"/>
                      <a:ext cx="5943600" cy="1857375"/>
                    </a:xfrm>
                    <a:prstGeom prst="rect">
                      <a:avLst/>
                    </a:prstGeom>
                  </pic:spPr>
                </pic:pic>
              </a:graphicData>
            </a:graphic>
          </wp:inline>
        </w:drawing>
      </w:r>
    </w:p>
    <w:p w14:paraId="6897EBE7" w14:textId="2741DC14" w:rsidR="00D97078" w:rsidRDefault="00D97078" w:rsidP="00A654B3"/>
    <w:p w14:paraId="24A4B8F8" w14:textId="61E17990" w:rsidR="00D97078" w:rsidRDefault="00D97078" w:rsidP="00A654B3">
      <w:r>
        <w:t>Extended Data F</w:t>
      </w:r>
      <w:r>
        <w:rPr>
          <w:rFonts w:hint="eastAsia"/>
        </w:rPr>
        <w:t>ig</w:t>
      </w:r>
      <w:r>
        <w:t xml:space="preserve">. 8. </w:t>
      </w:r>
      <w:r w:rsidRPr="002B1A19">
        <w:t xml:space="preserve">Results of sensitivity analysis using an alternate random effects model form. No lag effect was used. Dots and horizontal lines show median values and 95% CIs. DIC=6,349 for </w:t>
      </w:r>
      <w:r>
        <w:t>a</w:t>
      </w:r>
      <w:r w:rsidRPr="002B1A19">
        <w:t xml:space="preserve"> and DIC=12,641 for </w:t>
      </w:r>
      <w:r>
        <w:t>b</w:t>
      </w:r>
      <w:r w:rsidRPr="002B1A19">
        <w:t>.</w:t>
      </w:r>
    </w:p>
    <w:p w14:paraId="22018027" w14:textId="00AA4530" w:rsidR="00C8553A" w:rsidRDefault="00C8553A" w:rsidP="00A654B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C8553A" w14:paraId="5D02A4F0" w14:textId="77777777" w:rsidTr="00813935">
        <w:tc>
          <w:tcPr>
            <w:tcW w:w="1870" w:type="dxa"/>
            <w:tcBorders>
              <w:bottom w:val="single" w:sz="4" w:space="0" w:color="auto"/>
              <w:right w:val="single" w:sz="8" w:space="0" w:color="auto"/>
            </w:tcBorders>
          </w:tcPr>
          <w:p w14:paraId="7198CA08" w14:textId="77777777" w:rsidR="00C8553A" w:rsidRDefault="00C8553A" w:rsidP="00813935">
            <w:pPr>
              <w:jc w:val="center"/>
              <w:rPr>
                <w:rFonts w:ascii="Arial" w:hAnsi="Arial" w:cs="Arial"/>
              </w:rPr>
            </w:pPr>
          </w:p>
        </w:tc>
        <w:tc>
          <w:tcPr>
            <w:tcW w:w="1870" w:type="dxa"/>
            <w:tcBorders>
              <w:left w:val="single" w:sz="8" w:space="0" w:color="auto"/>
              <w:bottom w:val="single" w:sz="4" w:space="0" w:color="auto"/>
            </w:tcBorders>
          </w:tcPr>
          <w:p w14:paraId="0D8B8441" w14:textId="77777777" w:rsidR="00C8553A" w:rsidRPr="001A115B" w:rsidRDefault="00C8553A" w:rsidP="00813935">
            <w:pPr>
              <w:jc w:val="center"/>
              <w:rPr>
                <w:rFonts w:ascii="Arial" w:hAnsi="Arial" w:cs="Arial"/>
                <w:b/>
                <w:bCs/>
              </w:rPr>
            </w:pPr>
            <w:r w:rsidRPr="001A115B">
              <w:rPr>
                <w:rFonts w:ascii="Arial" w:hAnsi="Arial" w:cs="Arial"/>
                <w:b/>
                <w:bCs/>
              </w:rPr>
              <w:t>0-9</w:t>
            </w:r>
          </w:p>
        </w:tc>
        <w:tc>
          <w:tcPr>
            <w:tcW w:w="1870" w:type="dxa"/>
            <w:tcBorders>
              <w:bottom w:val="single" w:sz="4" w:space="0" w:color="auto"/>
            </w:tcBorders>
          </w:tcPr>
          <w:p w14:paraId="3C5D6218" w14:textId="77777777" w:rsidR="00C8553A" w:rsidRPr="001A115B" w:rsidRDefault="00C8553A" w:rsidP="00813935">
            <w:pPr>
              <w:jc w:val="center"/>
              <w:rPr>
                <w:rFonts w:ascii="Arial" w:hAnsi="Arial" w:cs="Arial"/>
                <w:b/>
                <w:bCs/>
              </w:rPr>
            </w:pPr>
            <w:r w:rsidRPr="001A115B">
              <w:rPr>
                <w:rFonts w:ascii="Arial" w:hAnsi="Arial" w:cs="Arial"/>
                <w:b/>
                <w:bCs/>
              </w:rPr>
              <w:t>10-19</w:t>
            </w:r>
          </w:p>
        </w:tc>
        <w:tc>
          <w:tcPr>
            <w:tcW w:w="1870" w:type="dxa"/>
            <w:tcBorders>
              <w:bottom w:val="single" w:sz="4" w:space="0" w:color="auto"/>
            </w:tcBorders>
          </w:tcPr>
          <w:p w14:paraId="6588FA33" w14:textId="77777777" w:rsidR="00C8553A" w:rsidRPr="001A115B" w:rsidRDefault="00C8553A" w:rsidP="00813935">
            <w:pPr>
              <w:jc w:val="center"/>
              <w:rPr>
                <w:rFonts w:ascii="Arial" w:hAnsi="Arial" w:cs="Arial"/>
                <w:b/>
                <w:bCs/>
              </w:rPr>
            </w:pPr>
            <w:r w:rsidRPr="001A115B">
              <w:rPr>
                <w:rFonts w:ascii="Arial" w:hAnsi="Arial" w:cs="Arial"/>
                <w:b/>
                <w:bCs/>
              </w:rPr>
              <w:t>20-64</w:t>
            </w:r>
          </w:p>
        </w:tc>
        <w:tc>
          <w:tcPr>
            <w:tcW w:w="1870" w:type="dxa"/>
            <w:tcBorders>
              <w:bottom w:val="single" w:sz="4" w:space="0" w:color="auto"/>
            </w:tcBorders>
          </w:tcPr>
          <w:p w14:paraId="52F35B4E" w14:textId="77777777" w:rsidR="00C8553A" w:rsidRPr="001A115B" w:rsidRDefault="00C8553A" w:rsidP="00813935">
            <w:pPr>
              <w:jc w:val="center"/>
              <w:rPr>
                <w:rFonts w:ascii="Arial" w:hAnsi="Arial" w:cs="Arial"/>
                <w:b/>
                <w:bCs/>
              </w:rPr>
            </w:pPr>
            <w:r w:rsidRPr="001A115B">
              <w:rPr>
                <w:rFonts w:ascii="Arial" w:hAnsi="Arial" w:cs="Arial"/>
                <w:b/>
                <w:bCs/>
              </w:rPr>
              <w:t>65+</w:t>
            </w:r>
          </w:p>
        </w:tc>
      </w:tr>
      <w:tr w:rsidR="00C8553A" w14:paraId="49A365E4" w14:textId="77777777" w:rsidTr="00813935">
        <w:tc>
          <w:tcPr>
            <w:tcW w:w="1870" w:type="dxa"/>
            <w:tcBorders>
              <w:top w:val="single" w:sz="4" w:space="0" w:color="auto"/>
              <w:right w:val="single" w:sz="8" w:space="0" w:color="auto"/>
            </w:tcBorders>
          </w:tcPr>
          <w:p w14:paraId="497E70B7" w14:textId="77777777" w:rsidR="00C8553A" w:rsidRPr="001A115B" w:rsidRDefault="00C8553A" w:rsidP="00813935">
            <w:pPr>
              <w:jc w:val="center"/>
              <w:rPr>
                <w:rFonts w:ascii="Arial" w:hAnsi="Arial" w:cs="Arial"/>
                <w:b/>
                <w:bCs/>
              </w:rPr>
            </w:pPr>
            <w:r w:rsidRPr="001A115B">
              <w:rPr>
                <w:rFonts w:ascii="Arial" w:hAnsi="Arial" w:cs="Arial"/>
                <w:b/>
                <w:bCs/>
              </w:rPr>
              <w:t>0-9</w:t>
            </w:r>
          </w:p>
        </w:tc>
        <w:tc>
          <w:tcPr>
            <w:tcW w:w="1870" w:type="dxa"/>
            <w:tcBorders>
              <w:top w:val="single" w:sz="4" w:space="0" w:color="auto"/>
              <w:left w:val="single" w:sz="8" w:space="0" w:color="auto"/>
            </w:tcBorders>
          </w:tcPr>
          <w:p w14:paraId="12B6FB0B" w14:textId="77777777" w:rsidR="00C8553A" w:rsidRDefault="00C8553A" w:rsidP="00813935">
            <w:pPr>
              <w:jc w:val="center"/>
              <w:rPr>
                <w:rFonts w:ascii="Arial" w:hAnsi="Arial" w:cs="Arial"/>
              </w:rPr>
            </w:pPr>
            <w:r>
              <w:rPr>
                <w:rFonts w:ascii="Arial" w:hAnsi="Arial" w:cs="Arial"/>
              </w:rPr>
              <w:t>0.507</w:t>
            </w:r>
          </w:p>
        </w:tc>
        <w:tc>
          <w:tcPr>
            <w:tcW w:w="1870" w:type="dxa"/>
            <w:tcBorders>
              <w:top w:val="single" w:sz="4" w:space="0" w:color="auto"/>
            </w:tcBorders>
          </w:tcPr>
          <w:p w14:paraId="10C99151" w14:textId="77777777" w:rsidR="00C8553A" w:rsidRDefault="00C8553A" w:rsidP="00813935">
            <w:pPr>
              <w:jc w:val="center"/>
              <w:rPr>
                <w:rFonts w:ascii="Arial" w:hAnsi="Arial" w:cs="Arial"/>
              </w:rPr>
            </w:pPr>
            <w:r>
              <w:rPr>
                <w:rFonts w:ascii="Arial" w:hAnsi="Arial" w:cs="Arial"/>
              </w:rPr>
              <w:t>0.499</w:t>
            </w:r>
          </w:p>
        </w:tc>
        <w:tc>
          <w:tcPr>
            <w:tcW w:w="1870" w:type="dxa"/>
            <w:tcBorders>
              <w:top w:val="single" w:sz="4" w:space="0" w:color="auto"/>
            </w:tcBorders>
          </w:tcPr>
          <w:p w14:paraId="1FD88C5F" w14:textId="77777777" w:rsidR="00C8553A" w:rsidRDefault="00C8553A" w:rsidP="00813935">
            <w:pPr>
              <w:jc w:val="center"/>
              <w:rPr>
                <w:rFonts w:ascii="Arial" w:hAnsi="Arial" w:cs="Arial"/>
              </w:rPr>
            </w:pPr>
            <w:r>
              <w:rPr>
                <w:rFonts w:ascii="Arial" w:hAnsi="Arial" w:cs="Arial"/>
              </w:rPr>
              <w:t>0.457</w:t>
            </w:r>
          </w:p>
        </w:tc>
        <w:tc>
          <w:tcPr>
            <w:tcW w:w="1870" w:type="dxa"/>
            <w:tcBorders>
              <w:top w:val="single" w:sz="4" w:space="0" w:color="auto"/>
            </w:tcBorders>
          </w:tcPr>
          <w:p w14:paraId="518DD7FA" w14:textId="77777777" w:rsidR="00C8553A" w:rsidRDefault="00C8553A" w:rsidP="00813935">
            <w:pPr>
              <w:jc w:val="center"/>
              <w:rPr>
                <w:rFonts w:ascii="Arial" w:hAnsi="Arial" w:cs="Arial"/>
              </w:rPr>
            </w:pPr>
            <w:r>
              <w:rPr>
                <w:rFonts w:ascii="Arial" w:hAnsi="Arial" w:cs="Arial"/>
              </w:rPr>
              <w:t>0.516</w:t>
            </w:r>
          </w:p>
        </w:tc>
      </w:tr>
      <w:tr w:rsidR="00C8553A" w14:paraId="39D10FDB" w14:textId="77777777" w:rsidTr="00813935">
        <w:tc>
          <w:tcPr>
            <w:tcW w:w="1870" w:type="dxa"/>
            <w:tcBorders>
              <w:right w:val="single" w:sz="8" w:space="0" w:color="auto"/>
            </w:tcBorders>
          </w:tcPr>
          <w:p w14:paraId="1C88AE07" w14:textId="77777777" w:rsidR="00C8553A" w:rsidRPr="001A115B" w:rsidRDefault="00C8553A" w:rsidP="00813935">
            <w:pPr>
              <w:jc w:val="center"/>
              <w:rPr>
                <w:rFonts w:ascii="Arial" w:hAnsi="Arial" w:cs="Arial"/>
                <w:b/>
                <w:bCs/>
              </w:rPr>
            </w:pPr>
            <w:r w:rsidRPr="001A115B">
              <w:rPr>
                <w:rFonts w:ascii="Arial" w:hAnsi="Arial" w:cs="Arial"/>
                <w:b/>
                <w:bCs/>
              </w:rPr>
              <w:t>10-19</w:t>
            </w:r>
          </w:p>
        </w:tc>
        <w:tc>
          <w:tcPr>
            <w:tcW w:w="1870" w:type="dxa"/>
            <w:tcBorders>
              <w:left w:val="single" w:sz="8" w:space="0" w:color="auto"/>
            </w:tcBorders>
          </w:tcPr>
          <w:p w14:paraId="4288FFFC" w14:textId="77777777" w:rsidR="00C8553A" w:rsidRDefault="00C8553A" w:rsidP="00813935">
            <w:pPr>
              <w:jc w:val="center"/>
              <w:rPr>
                <w:rFonts w:ascii="Arial" w:hAnsi="Arial" w:cs="Arial"/>
              </w:rPr>
            </w:pPr>
            <w:r>
              <w:rPr>
                <w:rFonts w:ascii="Arial" w:hAnsi="Arial" w:cs="Arial"/>
              </w:rPr>
              <w:t>0.469</w:t>
            </w:r>
          </w:p>
        </w:tc>
        <w:tc>
          <w:tcPr>
            <w:tcW w:w="1870" w:type="dxa"/>
          </w:tcPr>
          <w:p w14:paraId="1CD13E4A" w14:textId="77777777" w:rsidR="00C8553A" w:rsidRDefault="00C8553A" w:rsidP="00813935">
            <w:pPr>
              <w:jc w:val="center"/>
              <w:rPr>
                <w:rFonts w:ascii="Arial" w:hAnsi="Arial" w:cs="Arial"/>
              </w:rPr>
            </w:pPr>
            <w:r>
              <w:rPr>
                <w:rFonts w:ascii="Arial" w:hAnsi="Arial" w:cs="Arial"/>
              </w:rPr>
              <w:t>0.472</w:t>
            </w:r>
          </w:p>
        </w:tc>
        <w:tc>
          <w:tcPr>
            <w:tcW w:w="1870" w:type="dxa"/>
          </w:tcPr>
          <w:p w14:paraId="224F6B43" w14:textId="77777777" w:rsidR="00C8553A" w:rsidRDefault="00C8553A" w:rsidP="00813935">
            <w:pPr>
              <w:jc w:val="center"/>
              <w:rPr>
                <w:rFonts w:ascii="Arial" w:hAnsi="Arial" w:cs="Arial"/>
              </w:rPr>
            </w:pPr>
            <w:r>
              <w:rPr>
                <w:rFonts w:ascii="Arial" w:hAnsi="Arial" w:cs="Arial"/>
              </w:rPr>
              <w:t>0.436</w:t>
            </w:r>
          </w:p>
        </w:tc>
        <w:tc>
          <w:tcPr>
            <w:tcW w:w="1870" w:type="dxa"/>
          </w:tcPr>
          <w:p w14:paraId="5BD29CAA" w14:textId="77777777" w:rsidR="00C8553A" w:rsidRDefault="00C8553A" w:rsidP="00813935">
            <w:pPr>
              <w:jc w:val="center"/>
              <w:rPr>
                <w:rFonts w:ascii="Arial" w:hAnsi="Arial" w:cs="Arial"/>
              </w:rPr>
            </w:pPr>
            <w:r>
              <w:rPr>
                <w:rFonts w:ascii="Arial" w:hAnsi="Arial" w:cs="Arial"/>
              </w:rPr>
              <w:t>0.530</w:t>
            </w:r>
          </w:p>
        </w:tc>
      </w:tr>
      <w:tr w:rsidR="00C8553A" w14:paraId="2BFC2FB5" w14:textId="77777777" w:rsidTr="00813935">
        <w:tc>
          <w:tcPr>
            <w:tcW w:w="1870" w:type="dxa"/>
            <w:tcBorders>
              <w:right w:val="single" w:sz="8" w:space="0" w:color="auto"/>
            </w:tcBorders>
          </w:tcPr>
          <w:p w14:paraId="245A2631" w14:textId="77777777" w:rsidR="00C8553A" w:rsidRPr="001A115B" w:rsidRDefault="00C8553A" w:rsidP="00813935">
            <w:pPr>
              <w:jc w:val="center"/>
              <w:rPr>
                <w:rFonts w:ascii="Arial" w:hAnsi="Arial" w:cs="Arial"/>
                <w:b/>
                <w:bCs/>
              </w:rPr>
            </w:pPr>
            <w:r w:rsidRPr="001A115B">
              <w:rPr>
                <w:rFonts w:ascii="Arial" w:hAnsi="Arial" w:cs="Arial"/>
                <w:b/>
                <w:bCs/>
              </w:rPr>
              <w:t>20-64</w:t>
            </w:r>
          </w:p>
        </w:tc>
        <w:tc>
          <w:tcPr>
            <w:tcW w:w="1870" w:type="dxa"/>
            <w:tcBorders>
              <w:left w:val="single" w:sz="8" w:space="0" w:color="auto"/>
            </w:tcBorders>
          </w:tcPr>
          <w:p w14:paraId="3177F347" w14:textId="77777777" w:rsidR="00C8553A" w:rsidRDefault="00C8553A" w:rsidP="00813935">
            <w:pPr>
              <w:jc w:val="center"/>
              <w:rPr>
                <w:rFonts w:ascii="Arial" w:hAnsi="Arial" w:cs="Arial"/>
              </w:rPr>
            </w:pPr>
            <w:r>
              <w:rPr>
                <w:rFonts w:ascii="Arial" w:hAnsi="Arial" w:cs="Arial"/>
              </w:rPr>
              <w:t>0.470</w:t>
            </w:r>
          </w:p>
        </w:tc>
        <w:tc>
          <w:tcPr>
            <w:tcW w:w="1870" w:type="dxa"/>
          </w:tcPr>
          <w:p w14:paraId="61BCBD96" w14:textId="77777777" w:rsidR="00C8553A" w:rsidRDefault="00C8553A" w:rsidP="00813935">
            <w:pPr>
              <w:jc w:val="center"/>
              <w:rPr>
                <w:rFonts w:ascii="Arial" w:hAnsi="Arial" w:cs="Arial"/>
              </w:rPr>
            </w:pPr>
            <w:r>
              <w:rPr>
                <w:rFonts w:ascii="Arial" w:hAnsi="Arial" w:cs="Arial"/>
              </w:rPr>
              <w:t>0.440</w:t>
            </w:r>
          </w:p>
        </w:tc>
        <w:tc>
          <w:tcPr>
            <w:tcW w:w="1870" w:type="dxa"/>
          </w:tcPr>
          <w:p w14:paraId="20C218AF" w14:textId="77777777" w:rsidR="00C8553A" w:rsidRDefault="00C8553A" w:rsidP="00813935">
            <w:pPr>
              <w:jc w:val="center"/>
              <w:rPr>
                <w:rFonts w:ascii="Arial" w:hAnsi="Arial" w:cs="Arial"/>
              </w:rPr>
            </w:pPr>
            <w:r>
              <w:rPr>
                <w:rFonts w:ascii="Arial" w:hAnsi="Arial" w:cs="Arial"/>
              </w:rPr>
              <w:t>0.346</w:t>
            </w:r>
          </w:p>
        </w:tc>
        <w:tc>
          <w:tcPr>
            <w:tcW w:w="1870" w:type="dxa"/>
          </w:tcPr>
          <w:p w14:paraId="5139A859" w14:textId="77777777" w:rsidR="00C8553A" w:rsidRDefault="00C8553A" w:rsidP="00813935">
            <w:pPr>
              <w:jc w:val="center"/>
              <w:rPr>
                <w:rFonts w:ascii="Arial" w:hAnsi="Arial" w:cs="Arial"/>
              </w:rPr>
            </w:pPr>
            <w:r>
              <w:rPr>
                <w:rFonts w:ascii="Arial" w:hAnsi="Arial" w:cs="Arial"/>
              </w:rPr>
              <w:t>0.482</w:t>
            </w:r>
          </w:p>
        </w:tc>
      </w:tr>
      <w:tr w:rsidR="00C8553A" w14:paraId="4FCB7317" w14:textId="77777777" w:rsidTr="00813935">
        <w:tc>
          <w:tcPr>
            <w:tcW w:w="1870" w:type="dxa"/>
            <w:tcBorders>
              <w:bottom w:val="single" w:sz="4" w:space="0" w:color="auto"/>
              <w:right w:val="single" w:sz="8" w:space="0" w:color="auto"/>
            </w:tcBorders>
          </w:tcPr>
          <w:p w14:paraId="04BEF046" w14:textId="77777777" w:rsidR="00C8553A" w:rsidRPr="001A115B" w:rsidRDefault="00C8553A" w:rsidP="00813935">
            <w:pPr>
              <w:jc w:val="center"/>
              <w:rPr>
                <w:rFonts w:ascii="Arial" w:hAnsi="Arial" w:cs="Arial"/>
                <w:b/>
                <w:bCs/>
              </w:rPr>
            </w:pPr>
            <w:r w:rsidRPr="001A115B">
              <w:rPr>
                <w:rFonts w:ascii="Arial" w:hAnsi="Arial" w:cs="Arial"/>
                <w:b/>
                <w:bCs/>
              </w:rPr>
              <w:t>65+</w:t>
            </w:r>
          </w:p>
        </w:tc>
        <w:tc>
          <w:tcPr>
            <w:tcW w:w="1870" w:type="dxa"/>
            <w:tcBorders>
              <w:left w:val="single" w:sz="8" w:space="0" w:color="auto"/>
              <w:bottom w:val="single" w:sz="4" w:space="0" w:color="auto"/>
            </w:tcBorders>
          </w:tcPr>
          <w:p w14:paraId="2C1465C7" w14:textId="77777777" w:rsidR="00C8553A" w:rsidRDefault="00C8553A" w:rsidP="00813935">
            <w:pPr>
              <w:jc w:val="center"/>
              <w:rPr>
                <w:rFonts w:ascii="Arial" w:hAnsi="Arial" w:cs="Arial"/>
              </w:rPr>
            </w:pPr>
            <w:r>
              <w:rPr>
                <w:rFonts w:ascii="Arial" w:hAnsi="Arial" w:cs="Arial"/>
              </w:rPr>
              <w:t>0.457</w:t>
            </w:r>
          </w:p>
        </w:tc>
        <w:tc>
          <w:tcPr>
            <w:tcW w:w="1870" w:type="dxa"/>
            <w:tcBorders>
              <w:bottom w:val="single" w:sz="4" w:space="0" w:color="auto"/>
            </w:tcBorders>
          </w:tcPr>
          <w:p w14:paraId="25914D8D" w14:textId="77777777" w:rsidR="00C8553A" w:rsidRDefault="00C8553A" w:rsidP="00813935">
            <w:pPr>
              <w:jc w:val="center"/>
              <w:rPr>
                <w:rFonts w:ascii="Arial" w:hAnsi="Arial" w:cs="Arial"/>
              </w:rPr>
            </w:pPr>
            <w:r>
              <w:rPr>
                <w:rFonts w:ascii="Arial" w:hAnsi="Arial" w:cs="Arial"/>
              </w:rPr>
              <w:t>0.449</w:t>
            </w:r>
          </w:p>
        </w:tc>
        <w:tc>
          <w:tcPr>
            <w:tcW w:w="1870" w:type="dxa"/>
            <w:tcBorders>
              <w:bottom w:val="single" w:sz="4" w:space="0" w:color="auto"/>
            </w:tcBorders>
          </w:tcPr>
          <w:p w14:paraId="5258CDEC" w14:textId="77777777" w:rsidR="00C8553A" w:rsidRDefault="00C8553A" w:rsidP="00813935">
            <w:pPr>
              <w:jc w:val="center"/>
              <w:rPr>
                <w:rFonts w:ascii="Arial" w:hAnsi="Arial" w:cs="Arial"/>
              </w:rPr>
            </w:pPr>
            <w:r>
              <w:rPr>
                <w:rFonts w:ascii="Arial" w:hAnsi="Arial" w:cs="Arial"/>
              </w:rPr>
              <w:t>0.388</w:t>
            </w:r>
          </w:p>
        </w:tc>
        <w:tc>
          <w:tcPr>
            <w:tcW w:w="1870" w:type="dxa"/>
            <w:tcBorders>
              <w:bottom w:val="single" w:sz="4" w:space="0" w:color="auto"/>
            </w:tcBorders>
          </w:tcPr>
          <w:p w14:paraId="33E0BD50" w14:textId="77777777" w:rsidR="00C8553A" w:rsidRDefault="00C8553A" w:rsidP="00813935">
            <w:pPr>
              <w:jc w:val="center"/>
              <w:rPr>
                <w:rFonts w:ascii="Arial" w:hAnsi="Arial" w:cs="Arial"/>
              </w:rPr>
            </w:pPr>
            <w:r>
              <w:rPr>
                <w:rFonts w:ascii="Arial" w:hAnsi="Arial" w:cs="Arial"/>
              </w:rPr>
              <w:t>0.604</w:t>
            </w:r>
          </w:p>
        </w:tc>
      </w:tr>
    </w:tbl>
    <w:p w14:paraId="1F2CE1D6" w14:textId="27C8B11F" w:rsidR="00C8553A" w:rsidRDefault="00C8553A" w:rsidP="00A654B3"/>
    <w:p w14:paraId="593FC548" w14:textId="7AA5A0D2" w:rsidR="00C8553A" w:rsidRDefault="00C8553A" w:rsidP="00A654B3">
      <w:r>
        <w:t xml:space="preserve">Extended Data Table 1. </w:t>
      </w:r>
      <w:r w:rsidRPr="002B1A19">
        <w:t xml:space="preserve">Transmission probability </w:t>
      </w:r>
      <m:oMath>
        <m:sSub>
          <m:sSubPr>
            <m:ctrlPr>
              <w:rPr>
                <w:rFonts w:ascii="Cambria Math" w:hAnsi="Cambria Math"/>
                <w:i/>
              </w:rPr>
            </m:ctrlPr>
          </m:sSubPr>
          <m:e>
            <m:r>
              <w:rPr>
                <w:rFonts w:ascii="Cambria Math" w:hAnsi="Cambria Math"/>
              </w:rPr>
              <m:t>P</m:t>
            </m:r>
          </m:e>
          <m:sub>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sub>
        </m:sSub>
        <m:d>
          <m:dPr>
            <m:ctrlPr>
              <w:rPr>
                <w:rFonts w:ascii="Cambria Math" w:hAnsi="Cambria Math"/>
                <w:i/>
              </w:rPr>
            </m:ctrlPr>
          </m:dPr>
          <m:e>
            <m:r>
              <w:rPr>
                <w:rFonts w:ascii="Cambria Math" w:hAnsi="Cambria Math"/>
              </w:rPr>
              <m:t>positive</m:t>
            </m:r>
          </m:e>
          <m:e>
            <m:r>
              <w:rPr>
                <w:rFonts w:ascii="Cambria Math" w:hAnsi="Cambria Math"/>
              </w:rPr>
              <m:t>test</m:t>
            </m:r>
          </m:e>
        </m:d>
      </m:oMath>
      <w:r w:rsidRPr="002B1A19">
        <w:t xml:space="preserve"> across age groups. Row indicates the age group of index cases, and column indicates the age group of contacts.</w:t>
      </w:r>
    </w:p>
    <w:p w14:paraId="614E8141" w14:textId="40CA8071" w:rsidR="005A5049" w:rsidRDefault="005A5049" w:rsidP="00A654B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3240"/>
        <w:gridCol w:w="3230"/>
      </w:tblGrid>
      <w:tr w:rsidR="005A5049" w14:paraId="07B4539E" w14:textId="77777777" w:rsidTr="00813935">
        <w:tc>
          <w:tcPr>
            <w:tcW w:w="2880" w:type="dxa"/>
            <w:tcBorders>
              <w:bottom w:val="single" w:sz="8" w:space="0" w:color="auto"/>
              <w:right w:val="single" w:sz="8" w:space="0" w:color="auto"/>
            </w:tcBorders>
          </w:tcPr>
          <w:p w14:paraId="03816F7C" w14:textId="77777777" w:rsidR="005A5049" w:rsidRPr="003922DA" w:rsidRDefault="005A5049" w:rsidP="00813935">
            <w:pPr>
              <w:jc w:val="center"/>
              <w:rPr>
                <w:rFonts w:ascii="Arial" w:hAnsi="Arial" w:cs="Arial"/>
                <w:b/>
                <w:bCs/>
                <w:sz w:val="20"/>
                <w:szCs w:val="20"/>
              </w:rPr>
            </w:pPr>
            <w:r w:rsidRPr="003922DA">
              <w:rPr>
                <w:rFonts w:ascii="Arial" w:hAnsi="Arial" w:cs="Arial"/>
                <w:b/>
                <w:bCs/>
                <w:sz w:val="20"/>
                <w:szCs w:val="20"/>
              </w:rPr>
              <w:lastRenderedPageBreak/>
              <w:t>Variables</w:t>
            </w:r>
          </w:p>
        </w:tc>
        <w:tc>
          <w:tcPr>
            <w:tcW w:w="3240" w:type="dxa"/>
            <w:tcBorders>
              <w:left w:val="single" w:sz="8" w:space="0" w:color="auto"/>
              <w:bottom w:val="single" w:sz="8" w:space="0" w:color="auto"/>
            </w:tcBorders>
          </w:tcPr>
          <w:p w14:paraId="179E95AE" w14:textId="77777777" w:rsidR="005A5049" w:rsidRPr="003922DA" w:rsidRDefault="005A5049" w:rsidP="00813935">
            <w:pPr>
              <w:jc w:val="center"/>
              <w:rPr>
                <w:rFonts w:ascii="Arial" w:hAnsi="Arial" w:cs="Arial"/>
                <w:b/>
                <w:bCs/>
                <w:sz w:val="20"/>
                <w:szCs w:val="20"/>
              </w:rPr>
            </w:pPr>
            <w:r w:rsidRPr="003922DA">
              <w:rPr>
                <w:rFonts w:ascii="Arial" w:hAnsi="Arial" w:cs="Arial"/>
                <w:b/>
                <w:bCs/>
                <w:sz w:val="20"/>
                <w:szCs w:val="20"/>
              </w:rPr>
              <w:t>Non-household within-ZIP code</w:t>
            </w:r>
          </w:p>
        </w:tc>
        <w:tc>
          <w:tcPr>
            <w:tcW w:w="3230" w:type="dxa"/>
            <w:tcBorders>
              <w:bottom w:val="single" w:sz="8" w:space="0" w:color="auto"/>
            </w:tcBorders>
          </w:tcPr>
          <w:p w14:paraId="39E0FF71" w14:textId="77777777" w:rsidR="005A5049" w:rsidRPr="003922DA" w:rsidRDefault="005A5049" w:rsidP="00813935">
            <w:pPr>
              <w:jc w:val="center"/>
              <w:rPr>
                <w:rFonts w:ascii="Arial" w:hAnsi="Arial" w:cs="Arial"/>
                <w:b/>
                <w:bCs/>
                <w:sz w:val="20"/>
                <w:szCs w:val="20"/>
              </w:rPr>
            </w:pPr>
            <w:r w:rsidRPr="003922DA">
              <w:rPr>
                <w:rFonts w:ascii="Arial" w:hAnsi="Arial" w:cs="Arial"/>
                <w:b/>
                <w:bCs/>
                <w:sz w:val="20"/>
                <w:szCs w:val="20"/>
              </w:rPr>
              <w:t>Non-household cross-ZIP code</w:t>
            </w:r>
          </w:p>
        </w:tc>
      </w:tr>
      <w:tr w:rsidR="005A5049" w:rsidRPr="00D653E7" w14:paraId="6CF88C48" w14:textId="77777777" w:rsidTr="00813935">
        <w:tc>
          <w:tcPr>
            <w:tcW w:w="2880" w:type="dxa"/>
            <w:tcBorders>
              <w:top w:val="single" w:sz="8" w:space="0" w:color="auto"/>
              <w:right w:val="single" w:sz="8" w:space="0" w:color="auto"/>
            </w:tcBorders>
          </w:tcPr>
          <w:p w14:paraId="2BF88567" w14:textId="77777777" w:rsidR="005A5049" w:rsidRPr="003922DA" w:rsidRDefault="005A5049" w:rsidP="00813935">
            <w:pPr>
              <w:jc w:val="center"/>
              <w:rPr>
                <w:rFonts w:ascii="Arial" w:hAnsi="Arial" w:cs="Arial"/>
                <w:sz w:val="20"/>
                <w:szCs w:val="20"/>
              </w:rPr>
            </w:pPr>
            <w:r w:rsidRPr="003922DA">
              <w:rPr>
                <w:rFonts w:ascii="Arial" w:hAnsi="Arial" w:cs="Arial"/>
                <w:sz w:val="20"/>
                <w:szCs w:val="20"/>
              </w:rPr>
              <w:t>POI visitors per capita</w:t>
            </w:r>
          </w:p>
        </w:tc>
        <w:tc>
          <w:tcPr>
            <w:tcW w:w="3240" w:type="dxa"/>
            <w:tcBorders>
              <w:top w:val="single" w:sz="8" w:space="0" w:color="auto"/>
              <w:left w:val="single" w:sz="8" w:space="0" w:color="auto"/>
            </w:tcBorders>
          </w:tcPr>
          <w:p w14:paraId="78229250" w14:textId="77777777" w:rsidR="005A5049" w:rsidRPr="00881920" w:rsidRDefault="005A5049" w:rsidP="00813935">
            <w:pPr>
              <w:jc w:val="center"/>
              <w:rPr>
                <w:rFonts w:ascii="Arial" w:hAnsi="Arial" w:cs="Arial"/>
                <w:color w:val="4472C4" w:themeColor="accent1"/>
                <w:sz w:val="20"/>
                <w:szCs w:val="20"/>
              </w:rPr>
            </w:pPr>
            <w:r w:rsidRPr="00881920">
              <w:rPr>
                <w:rFonts w:ascii="Arial" w:hAnsi="Arial" w:cs="Arial"/>
                <w:color w:val="4472C4" w:themeColor="accent1"/>
                <w:sz w:val="20"/>
                <w:szCs w:val="20"/>
              </w:rPr>
              <w:t>0.0914 (0.0031, 0.1765)</w:t>
            </w:r>
          </w:p>
        </w:tc>
        <w:tc>
          <w:tcPr>
            <w:tcW w:w="3230" w:type="dxa"/>
            <w:tcBorders>
              <w:top w:val="single" w:sz="8" w:space="0" w:color="auto"/>
            </w:tcBorders>
          </w:tcPr>
          <w:p w14:paraId="6153F55B" w14:textId="77777777" w:rsidR="005A5049" w:rsidRPr="00881920" w:rsidRDefault="005A5049" w:rsidP="00813935">
            <w:pPr>
              <w:jc w:val="center"/>
              <w:rPr>
                <w:rFonts w:ascii="Arial" w:hAnsi="Arial" w:cs="Arial"/>
                <w:color w:val="4472C4" w:themeColor="accent1"/>
                <w:sz w:val="20"/>
                <w:szCs w:val="20"/>
              </w:rPr>
            </w:pPr>
            <w:r w:rsidRPr="00881920">
              <w:rPr>
                <w:rFonts w:ascii="Arial" w:hAnsi="Arial" w:cs="Arial"/>
                <w:color w:val="4472C4" w:themeColor="accent1"/>
                <w:sz w:val="20"/>
                <w:szCs w:val="20"/>
              </w:rPr>
              <w:t>0.1346 (0.0839, 0.1842)</w:t>
            </w:r>
          </w:p>
        </w:tc>
      </w:tr>
      <w:tr w:rsidR="005A5049" w:rsidRPr="00D653E7" w14:paraId="26C8FC40" w14:textId="77777777" w:rsidTr="00813935">
        <w:tc>
          <w:tcPr>
            <w:tcW w:w="2880" w:type="dxa"/>
            <w:tcBorders>
              <w:right w:val="single" w:sz="8" w:space="0" w:color="auto"/>
            </w:tcBorders>
          </w:tcPr>
          <w:p w14:paraId="162A9966" w14:textId="77777777" w:rsidR="005A5049" w:rsidRPr="003922DA" w:rsidRDefault="005A5049" w:rsidP="00813935">
            <w:pPr>
              <w:jc w:val="center"/>
              <w:rPr>
                <w:rFonts w:ascii="Arial" w:hAnsi="Arial" w:cs="Arial"/>
                <w:sz w:val="20"/>
                <w:szCs w:val="20"/>
              </w:rPr>
            </w:pPr>
            <w:r w:rsidRPr="003922DA">
              <w:rPr>
                <w:rFonts w:ascii="Arial" w:hAnsi="Arial" w:cs="Arial"/>
                <w:sz w:val="20"/>
                <w:szCs w:val="20"/>
              </w:rPr>
              <w:t xml:space="preserve">% </w:t>
            </w:r>
            <w:proofErr w:type="gramStart"/>
            <w:r w:rsidRPr="003922DA">
              <w:rPr>
                <w:rFonts w:ascii="Arial" w:hAnsi="Arial" w:cs="Arial"/>
                <w:sz w:val="20"/>
                <w:szCs w:val="20"/>
              </w:rPr>
              <w:t>fully</w:t>
            </w:r>
            <w:proofErr w:type="gramEnd"/>
            <w:r w:rsidRPr="003922DA">
              <w:rPr>
                <w:rFonts w:ascii="Arial" w:hAnsi="Arial" w:cs="Arial"/>
                <w:sz w:val="20"/>
                <w:szCs w:val="20"/>
              </w:rPr>
              <w:t xml:space="preserve"> vaccinated residents</w:t>
            </w:r>
          </w:p>
        </w:tc>
        <w:tc>
          <w:tcPr>
            <w:tcW w:w="3240" w:type="dxa"/>
            <w:tcBorders>
              <w:left w:val="single" w:sz="8" w:space="0" w:color="auto"/>
            </w:tcBorders>
          </w:tcPr>
          <w:p w14:paraId="7B4B9F9D" w14:textId="77777777" w:rsidR="005A5049" w:rsidRPr="00881920" w:rsidRDefault="005A5049" w:rsidP="00813935">
            <w:pPr>
              <w:jc w:val="center"/>
              <w:rPr>
                <w:rFonts w:ascii="Arial" w:hAnsi="Arial" w:cs="Arial"/>
                <w:color w:val="4472C4" w:themeColor="accent1"/>
                <w:sz w:val="20"/>
                <w:szCs w:val="20"/>
              </w:rPr>
            </w:pPr>
            <w:r w:rsidRPr="00881920">
              <w:rPr>
                <w:rFonts w:ascii="Arial" w:hAnsi="Arial" w:cs="Arial"/>
                <w:color w:val="4472C4" w:themeColor="accent1"/>
                <w:sz w:val="20"/>
                <w:szCs w:val="20"/>
              </w:rPr>
              <w:t>-0.3281 (-0.5100, -0.1503)</w:t>
            </w:r>
          </w:p>
        </w:tc>
        <w:tc>
          <w:tcPr>
            <w:tcW w:w="3230" w:type="dxa"/>
          </w:tcPr>
          <w:p w14:paraId="1F3747C4" w14:textId="77777777" w:rsidR="005A5049" w:rsidRPr="00881920" w:rsidRDefault="005A5049" w:rsidP="00813935">
            <w:pPr>
              <w:jc w:val="center"/>
              <w:rPr>
                <w:rFonts w:ascii="Arial" w:hAnsi="Arial" w:cs="Arial"/>
                <w:color w:val="4472C4" w:themeColor="accent1"/>
                <w:sz w:val="20"/>
                <w:szCs w:val="20"/>
              </w:rPr>
            </w:pPr>
            <w:r w:rsidRPr="00881920">
              <w:rPr>
                <w:rFonts w:ascii="Arial" w:hAnsi="Arial" w:cs="Arial"/>
                <w:color w:val="4472C4" w:themeColor="accent1"/>
                <w:sz w:val="20"/>
                <w:szCs w:val="20"/>
              </w:rPr>
              <w:t>-0.1600 (-0.3066, -0.0173)</w:t>
            </w:r>
          </w:p>
        </w:tc>
      </w:tr>
      <w:tr w:rsidR="005A5049" w:rsidRPr="00D653E7" w14:paraId="08998A4E" w14:textId="77777777" w:rsidTr="00813935">
        <w:tc>
          <w:tcPr>
            <w:tcW w:w="2880" w:type="dxa"/>
            <w:tcBorders>
              <w:right w:val="single" w:sz="8" w:space="0" w:color="auto"/>
            </w:tcBorders>
          </w:tcPr>
          <w:p w14:paraId="0781F91F" w14:textId="77777777" w:rsidR="005A5049" w:rsidRPr="003922DA" w:rsidRDefault="005A5049" w:rsidP="00813935">
            <w:pPr>
              <w:jc w:val="center"/>
              <w:rPr>
                <w:rFonts w:ascii="Arial" w:hAnsi="Arial" w:cs="Arial"/>
                <w:sz w:val="20"/>
                <w:szCs w:val="20"/>
              </w:rPr>
            </w:pPr>
            <w:r w:rsidRPr="003922DA">
              <w:rPr>
                <w:rFonts w:ascii="Arial" w:hAnsi="Arial" w:cs="Arial"/>
                <w:sz w:val="20"/>
                <w:szCs w:val="20"/>
              </w:rPr>
              <w:t>Mean household size</w:t>
            </w:r>
          </w:p>
        </w:tc>
        <w:tc>
          <w:tcPr>
            <w:tcW w:w="3240" w:type="dxa"/>
            <w:tcBorders>
              <w:left w:val="single" w:sz="8" w:space="0" w:color="auto"/>
            </w:tcBorders>
          </w:tcPr>
          <w:p w14:paraId="203ED3E2" w14:textId="77777777" w:rsidR="005A5049" w:rsidRPr="003922DA" w:rsidRDefault="005A5049" w:rsidP="00813935">
            <w:pPr>
              <w:jc w:val="center"/>
              <w:rPr>
                <w:rFonts w:ascii="Arial" w:hAnsi="Arial" w:cs="Arial"/>
                <w:sz w:val="20"/>
                <w:szCs w:val="20"/>
              </w:rPr>
            </w:pPr>
            <w:r w:rsidRPr="003922DA">
              <w:rPr>
                <w:rFonts w:ascii="Arial" w:hAnsi="Arial" w:cs="Arial"/>
                <w:sz w:val="20"/>
                <w:szCs w:val="20"/>
              </w:rPr>
              <w:t>0.0700 (-0.0573, 0.1981)</w:t>
            </w:r>
          </w:p>
        </w:tc>
        <w:tc>
          <w:tcPr>
            <w:tcW w:w="3230" w:type="dxa"/>
          </w:tcPr>
          <w:p w14:paraId="255352BB" w14:textId="77777777" w:rsidR="005A5049" w:rsidRPr="003922DA" w:rsidRDefault="005A5049" w:rsidP="00813935">
            <w:pPr>
              <w:jc w:val="center"/>
              <w:rPr>
                <w:rFonts w:ascii="Arial" w:hAnsi="Arial" w:cs="Arial"/>
                <w:sz w:val="20"/>
                <w:szCs w:val="20"/>
              </w:rPr>
            </w:pPr>
            <w:r w:rsidRPr="009E592A">
              <w:rPr>
                <w:rFonts w:ascii="Arial" w:hAnsi="Arial" w:cs="Arial"/>
                <w:sz w:val="20"/>
                <w:szCs w:val="20"/>
              </w:rPr>
              <w:t>-0.0798</w:t>
            </w:r>
            <w:r>
              <w:rPr>
                <w:rFonts w:ascii="Arial" w:hAnsi="Arial" w:cs="Arial"/>
                <w:sz w:val="20"/>
                <w:szCs w:val="20"/>
              </w:rPr>
              <w:t xml:space="preserve"> (</w:t>
            </w:r>
            <w:r w:rsidRPr="009E592A">
              <w:rPr>
                <w:rFonts w:ascii="Arial" w:hAnsi="Arial" w:cs="Arial"/>
                <w:sz w:val="20"/>
                <w:szCs w:val="20"/>
              </w:rPr>
              <w:t>-0.1684</w:t>
            </w:r>
            <w:r>
              <w:rPr>
                <w:rFonts w:ascii="Arial" w:hAnsi="Arial" w:cs="Arial"/>
                <w:sz w:val="20"/>
                <w:szCs w:val="20"/>
              </w:rPr>
              <w:t xml:space="preserve">, </w:t>
            </w:r>
            <w:r w:rsidRPr="009E592A">
              <w:rPr>
                <w:rFonts w:ascii="Arial" w:hAnsi="Arial" w:cs="Arial"/>
                <w:sz w:val="20"/>
                <w:szCs w:val="20"/>
              </w:rPr>
              <w:t>0.0077</w:t>
            </w:r>
            <w:r>
              <w:rPr>
                <w:rFonts w:ascii="Arial" w:hAnsi="Arial" w:cs="Arial"/>
                <w:sz w:val="20"/>
                <w:szCs w:val="20"/>
              </w:rPr>
              <w:t>)</w:t>
            </w:r>
          </w:p>
        </w:tc>
      </w:tr>
      <w:tr w:rsidR="005A5049" w:rsidRPr="00D653E7" w14:paraId="44F53C5E" w14:textId="77777777" w:rsidTr="00813935">
        <w:tc>
          <w:tcPr>
            <w:tcW w:w="2880" w:type="dxa"/>
            <w:tcBorders>
              <w:right w:val="single" w:sz="8" w:space="0" w:color="auto"/>
            </w:tcBorders>
          </w:tcPr>
          <w:p w14:paraId="055B98EC" w14:textId="77777777" w:rsidR="005A5049" w:rsidRPr="003922DA" w:rsidRDefault="005A5049" w:rsidP="00813935">
            <w:pPr>
              <w:jc w:val="center"/>
              <w:rPr>
                <w:rFonts w:ascii="Arial" w:hAnsi="Arial" w:cs="Arial"/>
                <w:sz w:val="20"/>
                <w:szCs w:val="20"/>
              </w:rPr>
            </w:pPr>
            <w:r w:rsidRPr="003922DA">
              <w:rPr>
                <w:rFonts w:ascii="Arial" w:hAnsi="Arial" w:cs="Arial"/>
                <w:sz w:val="20"/>
                <w:szCs w:val="20"/>
              </w:rPr>
              <w:t xml:space="preserve">% </w:t>
            </w:r>
            <w:proofErr w:type="gramStart"/>
            <w:r w:rsidRPr="003922DA">
              <w:rPr>
                <w:rFonts w:ascii="Arial" w:hAnsi="Arial" w:cs="Arial"/>
                <w:sz w:val="20"/>
                <w:szCs w:val="20"/>
              </w:rPr>
              <w:t>residents</w:t>
            </w:r>
            <w:proofErr w:type="gramEnd"/>
            <w:r w:rsidRPr="003922DA">
              <w:rPr>
                <w:rFonts w:ascii="Arial" w:hAnsi="Arial" w:cs="Arial"/>
                <w:sz w:val="20"/>
                <w:szCs w:val="20"/>
              </w:rPr>
              <w:t xml:space="preserve"> with bachelor</w:t>
            </w:r>
          </w:p>
        </w:tc>
        <w:tc>
          <w:tcPr>
            <w:tcW w:w="3240" w:type="dxa"/>
            <w:tcBorders>
              <w:left w:val="single" w:sz="8" w:space="0" w:color="auto"/>
            </w:tcBorders>
          </w:tcPr>
          <w:p w14:paraId="26064D42" w14:textId="77777777" w:rsidR="005A5049" w:rsidRPr="003922DA" w:rsidRDefault="005A5049" w:rsidP="00813935">
            <w:pPr>
              <w:jc w:val="center"/>
              <w:rPr>
                <w:rFonts w:ascii="Arial" w:hAnsi="Arial" w:cs="Arial"/>
                <w:sz w:val="20"/>
                <w:szCs w:val="20"/>
              </w:rPr>
            </w:pPr>
            <w:r w:rsidRPr="003922DA">
              <w:rPr>
                <w:rFonts w:ascii="Arial" w:hAnsi="Arial" w:cs="Arial"/>
                <w:sz w:val="20"/>
                <w:szCs w:val="20"/>
              </w:rPr>
              <w:t>0.1298 (-0.0660, 0.3394)</w:t>
            </w:r>
          </w:p>
        </w:tc>
        <w:tc>
          <w:tcPr>
            <w:tcW w:w="3230" w:type="dxa"/>
          </w:tcPr>
          <w:p w14:paraId="5ACEA74E" w14:textId="77777777" w:rsidR="005A5049" w:rsidRPr="003922DA" w:rsidRDefault="005A5049" w:rsidP="00813935">
            <w:pPr>
              <w:jc w:val="center"/>
              <w:rPr>
                <w:rFonts w:ascii="Arial" w:hAnsi="Arial" w:cs="Arial"/>
                <w:sz w:val="20"/>
                <w:szCs w:val="20"/>
              </w:rPr>
            </w:pPr>
            <w:r w:rsidRPr="002A3D8B">
              <w:rPr>
                <w:rFonts w:ascii="Arial" w:hAnsi="Arial" w:cs="Arial"/>
                <w:sz w:val="20"/>
                <w:szCs w:val="20"/>
              </w:rPr>
              <w:t>0.0852</w:t>
            </w:r>
            <w:r>
              <w:rPr>
                <w:rFonts w:ascii="Arial" w:hAnsi="Arial" w:cs="Arial"/>
                <w:sz w:val="20"/>
                <w:szCs w:val="20"/>
              </w:rPr>
              <w:t xml:space="preserve"> (</w:t>
            </w:r>
            <w:r w:rsidRPr="002A3D8B">
              <w:rPr>
                <w:rFonts w:ascii="Arial" w:hAnsi="Arial" w:cs="Arial"/>
                <w:sz w:val="20"/>
                <w:szCs w:val="20"/>
              </w:rPr>
              <w:t>-0.0411</w:t>
            </w:r>
            <w:r>
              <w:rPr>
                <w:rFonts w:ascii="Arial" w:hAnsi="Arial" w:cs="Arial"/>
                <w:sz w:val="20"/>
                <w:szCs w:val="20"/>
              </w:rPr>
              <w:t xml:space="preserve">, </w:t>
            </w:r>
            <w:r w:rsidRPr="002A3D8B">
              <w:rPr>
                <w:rFonts w:ascii="Arial" w:hAnsi="Arial" w:cs="Arial"/>
                <w:sz w:val="20"/>
                <w:szCs w:val="20"/>
              </w:rPr>
              <w:t>0.2138</w:t>
            </w:r>
            <w:r>
              <w:rPr>
                <w:rFonts w:ascii="Arial" w:hAnsi="Arial" w:cs="Arial"/>
                <w:sz w:val="20"/>
                <w:szCs w:val="20"/>
              </w:rPr>
              <w:t>)</w:t>
            </w:r>
          </w:p>
        </w:tc>
      </w:tr>
      <w:tr w:rsidR="005A5049" w:rsidRPr="00D653E7" w14:paraId="055A96DD" w14:textId="77777777" w:rsidTr="00813935">
        <w:tc>
          <w:tcPr>
            <w:tcW w:w="2880" w:type="dxa"/>
            <w:tcBorders>
              <w:right w:val="single" w:sz="8" w:space="0" w:color="auto"/>
            </w:tcBorders>
          </w:tcPr>
          <w:p w14:paraId="0F19C49C" w14:textId="77777777" w:rsidR="005A5049" w:rsidRPr="003922DA" w:rsidRDefault="005A5049" w:rsidP="00813935">
            <w:pPr>
              <w:jc w:val="center"/>
              <w:rPr>
                <w:rFonts w:ascii="Arial" w:hAnsi="Arial" w:cs="Arial"/>
                <w:sz w:val="20"/>
                <w:szCs w:val="20"/>
              </w:rPr>
            </w:pPr>
            <w:r w:rsidRPr="003922DA">
              <w:rPr>
                <w:rFonts w:ascii="Arial" w:hAnsi="Arial" w:cs="Arial"/>
                <w:sz w:val="20"/>
                <w:szCs w:val="20"/>
              </w:rPr>
              <w:t>Median household income</w:t>
            </w:r>
          </w:p>
        </w:tc>
        <w:tc>
          <w:tcPr>
            <w:tcW w:w="3240" w:type="dxa"/>
            <w:tcBorders>
              <w:left w:val="single" w:sz="8" w:space="0" w:color="auto"/>
            </w:tcBorders>
          </w:tcPr>
          <w:p w14:paraId="6A983BB5" w14:textId="77777777" w:rsidR="005A5049" w:rsidRPr="003922DA" w:rsidRDefault="005A5049" w:rsidP="00813935">
            <w:pPr>
              <w:jc w:val="center"/>
              <w:rPr>
                <w:rFonts w:ascii="Arial" w:hAnsi="Arial" w:cs="Arial"/>
                <w:sz w:val="20"/>
                <w:szCs w:val="20"/>
              </w:rPr>
            </w:pPr>
            <w:r w:rsidRPr="00881920">
              <w:rPr>
                <w:rFonts w:ascii="Arial" w:hAnsi="Arial" w:cs="Arial"/>
                <w:color w:val="4472C4" w:themeColor="accent1"/>
                <w:sz w:val="20"/>
                <w:szCs w:val="20"/>
              </w:rPr>
              <w:t>-0.2342 (-0.4034, -0.0714)</w:t>
            </w:r>
          </w:p>
        </w:tc>
        <w:tc>
          <w:tcPr>
            <w:tcW w:w="3230" w:type="dxa"/>
          </w:tcPr>
          <w:p w14:paraId="6D3780F1" w14:textId="77777777" w:rsidR="005A5049" w:rsidRPr="003922DA" w:rsidRDefault="005A5049" w:rsidP="00813935">
            <w:pPr>
              <w:jc w:val="center"/>
              <w:rPr>
                <w:rFonts w:ascii="Arial" w:hAnsi="Arial" w:cs="Arial"/>
                <w:sz w:val="20"/>
                <w:szCs w:val="20"/>
              </w:rPr>
            </w:pPr>
            <w:r w:rsidRPr="000E220F">
              <w:rPr>
                <w:rFonts w:ascii="Arial" w:hAnsi="Arial" w:cs="Arial"/>
                <w:sz w:val="20"/>
                <w:szCs w:val="20"/>
              </w:rPr>
              <w:t xml:space="preserve">-0.0564 </w:t>
            </w:r>
            <w:r>
              <w:rPr>
                <w:rFonts w:ascii="Arial" w:hAnsi="Arial" w:cs="Arial"/>
                <w:sz w:val="20"/>
                <w:szCs w:val="20"/>
              </w:rPr>
              <w:t>(</w:t>
            </w:r>
            <w:r w:rsidRPr="000E220F">
              <w:rPr>
                <w:rFonts w:ascii="Arial" w:hAnsi="Arial" w:cs="Arial"/>
                <w:sz w:val="20"/>
                <w:szCs w:val="20"/>
              </w:rPr>
              <w:t>-0.1564</w:t>
            </w:r>
            <w:r>
              <w:rPr>
                <w:rFonts w:ascii="Arial" w:hAnsi="Arial" w:cs="Arial"/>
                <w:sz w:val="20"/>
                <w:szCs w:val="20"/>
              </w:rPr>
              <w:t xml:space="preserve">, </w:t>
            </w:r>
            <w:r w:rsidRPr="000E220F">
              <w:rPr>
                <w:rFonts w:ascii="Arial" w:hAnsi="Arial" w:cs="Arial"/>
                <w:sz w:val="20"/>
                <w:szCs w:val="20"/>
              </w:rPr>
              <w:t>0.0432</w:t>
            </w:r>
            <w:r>
              <w:rPr>
                <w:rFonts w:ascii="Arial" w:hAnsi="Arial" w:cs="Arial"/>
                <w:sz w:val="20"/>
                <w:szCs w:val="20"/>
              </w:rPr>
              <w:t>)</w:t>
            </w:r>
          </w:p>
        </w:tc>
      </w:tr>
      <w:tr w:rsidR="005A5049" w:rsidRPr="00D653E7" w14:paraId="46EC6A43" w14:textId="77777777" w:rsidTr="00813935">
        <w:tc>
          <w:tcPr>
            <w:tcW w:w="2880" w:type="dxa"/>
            <w:tcBorders>
              <w:right w:val="single" w:sz="8" w:space="0" w:color="auto"/>
            </w:tcBorders>
          </w:tcPr>
          <w:p w14:paraId="7F5A52C1" w14:textId="77777777" w:rsidR="005A5049" w:rsidRPr="003922DA" w:rsidRDefault="005A5049" w:rsidP="00813935">
            <w:pPr>
              <w:jc w:val="center"/>
              <w:rPr>
                <w:rFonts w:ascii="Arial" w:hAnsi="Arial" w:cs="Arial"/>
                <w:sz w:val="20"/>
                <w:szCs w:val="20"/>
              </w:rPr>
            </w:pPr>
            <w:r w:rsidRPr="003922DA">
              <w:rPr>
                <w:rFonts w:ascii="Arial" w:hAnsi="Arial" w:cs="Arial"/>
                <w:sz w:val="20"/>
                <w:szCs w:val="20"/>
              </w:rPr>
              <w:t>% 65+ population</w:t>
            </w:r>
          </w:p>
        </w:tc>
        <w:tc>
          <w:tcPr>
            <w:tcW w:w="3240" w:type="dxa"/>
            <w:tcBorders>
              <w:left w:val="single" w:sz="8" w:space="0" w:color="auto"/>
            </w:tcBorders>
          </w:tcPr>
          <w:p w14:paraId="4725B857" w14:textId="77777777" w:rsidR="005A5049" w:rsidRPr="003922DA" w:rsidRDefault="005A5049" w:rsidP="00813935">
            <w:pPr>
              <w:jc w:val="center"/>
              <w:rPr>
                <w:rFonts w:ascii="Arial" w:hAnsi="Arial" w:cs="Arial"/>
                <w:sz w:val="20"/>
                <w:szCs w:val="20"/>
              </w:rPr>
            </w:pPr>
            <w:r w:rsidRPr="003922DA">
              <w:rPr>
                <w:rFonts w:ascii="Arial" w:hAnsi="Arial" w:cs="Arial"/>
                <w:sz w:val="20"/>
                <w:szCs w:val="20"/>
              </w:rPr>
              <w:t>-0.0218 (-0.1132, 0.0703)</w:t>
            </w:r>
          </w:p>
        </w:tc>
        <w:tc>
          <w:tcPr>
            <w:tcW w:w="3230" w:type="dxa"/>
          </w:tcPr>
          <w:p w14:paraId="0D1DAFC2" w14:textId="77777777" w:rsidR="005A5049" w:rsidRPr="00881920" w:rsidRDefault="005A5049" w:rsidP="00813935">
            <w:pPr>
              <w:jc w:val="center"/>
              <w:rPr>
                <w:rFonts w:ascii="Arial" w:hAnsi="Arial" w:cs="Arial"/>
                <w:color w:val="4472C4" w:themeColor="accent1"/>
                <w:sz w:val="20"/>
                <w:szCs w:val="20"/>
              </w:rPr>
            </w:pPr>
            <w:r w:rsidRPr="00881920">
              <w:rPr>
                <w:rFonts w:ascii="Arial" w:hAnsi="Arial" w:cs="Arial"/>
                <w:color w:val="4472C4" w:themeColor="accent1"/>
                <w:sz w:val="20"/>
                <w:szCs w:val="20"/>
              </w:rPr>
              <w:t>-0.0640 (-0.1227, -0.0066)</w:t>
            </w:r>
          </w:p>
        </w:tc>
      </w:tr>
      <w:tr w:rsidR="005A5049" w:rsidRPr="00D653E7" w14:paraId="12B57024" w14:textId="77777777" w:rsidTr="00813935">
        <w:tc>
          <w:tcPr>
            <w:tcW w:w="2880" w:type="dxa"/>
            <w:tcBorders>
              <w:right w:val="single" w:sz="8" w:space="0" w:color="auto"/>
            </w:tcBorders>
          </w:tcPr>
          <w:p w14:paraId="76B55C6F" w14:textId="77777777" w:rsidR="005A5049" w:rsidRPr="003922DA" w:rsidRDefault="005A5049" w:rsidP="00813935">
            <w:pPr>
              <w:jc w:val="center"/>
              <w:rPr>
                <w:rFonts w:ascii="Arial" w:hAnsi="Arial" w:cs="Arial"/>
                <w:sz w:val="20"/>
                <w:szCs w:val="20"/>
              </w:rPr>
            </w:pPr>
            <w:r w:rsidRPr="003922DA">
              <w:rPr>
                <w:rFonts w:ascii="Arial" w:hAnsi="Arial" w:cs="Arial"/>
                <w:sz w:val="20"/>
                <w:szCs w:val="20"/>
              </w:rPr>
              <w:t>% Hispanic residents</w:t>
            </w:r>
          </w:p>
        </w:tc>
        <w:tc>
          <w:tcPr>
            <w:tcW w:w="3240" w:type="dxa"/>
            <w:tcBorders>
              <w:left w:val="single" w:sz="8" w:space="0" w:color="auto"/>
            </w:tcBorders>
          </w:tcPr>
          <w:p w14:paraId="26A81532" w14:textId="77777777" w:rsidR="005A5049" w:rsidRPr="00881920" w:rsidRDefault="005A5049" w:rsidP="00813935">
            <w:pPr>
              <w:jc w:val="center"/>
              <w:rPr>
                <w:rFonts w:ascii="Arial" w:hAnsi="Arial" w:cs="Arial"/>
                <w:color w:val="4472C4" w:themeColor="accent1"/>
                <w:sz w:val="20"/>
                <w:szCs w:val="20"/>
              </w:rPr>
            </w:pPr>
            <w:r w:rsidRPr="00881920">
              <w:rPr>
                <w:rFonts w:ascii="Arial" w:hAnsi="Arial" w:cs="Arial"/>
                <w:color w:val="4472C4" w:themeColor="accent1"/>
                <w:sz w:val="20"/>
                <w:szCs w:val="20"/>
              </w:rPr>
              <w:t>0.1286 (0.0405, 0.2149)</w:t>
            </w:r>
          </w:p>
        </w:tc>
        <w:tc>
          <w:tcPr>
            <w:tcW w:w="3230" w:type="dxa"/>
          </w:tcPr>
          <w:p w14:paraId="1941F735" w14:textId="77777777" w:rsidR="005A5049" w:rsidRPr="00881920" w:rsidRDefault="005A5049" w:rsidP="00813935">
            <w:pPr>
              <w:jc w:val="center"/>
              <w:rPr>
                <w:rFonts w:ascii="Arial" w:hAnsi="Arial" w:cs="Arial"/>
                <w:color w:val="4472C4" w:themeColor="accent1"/>
                <w:sz w:val="20"/>
                <w:szCs w:val="20"/>
              </w:rPr>
            </w:pPr>
            <w:r w:rsidRPr="00881920">
              <w:rPr>
                <w:rFonts w:ascii="Arial" w:hAnsi="Arial" w:cs="Arial"/>
                <w:color w:val="4472C4" w:themeColor="accent1"/>
                <w:sz w:val="20"/>
                <w:szCs w:val="20"/>
              </w:rPr>
              <w:t>0.1244 (0.0562, 0.1946)</w:t>
            </w:r>
          </w:p>
        </w:tc>
      </w:tr>
      <w:tr w:rsidR="005A5049" w:rsidRPr="00D653E7" w14:paraId="6863F12C" w14:textId="77777777" w:rsidTr="00813935">
        <w:tc>
          <w:tcPr>
            <w:tcW w:w="2880" w:type="dxa"/>
            <w:tcBorders>
              <w:right w:val="single" w:sz="8" w:space="0" w:color="auto"/>
            </w:tcBorders>
          </w:tcPr>
          <w:p w14:paraId="559BDE48" w14:textId="77777777" w:rsidR="005A5049" w:rsidRPr="003922DA" w:rsidRDefault="005A5049" w:rsidP="00813935">
            <w:pPr>
              <w:jc w:val="center"/>
              <w:rPr>
                <w:rFonts w:ascii="Arial" w:hAnsi="Arial" w:cs="Arial"/>
                <w:sz w:val="20"/>
                <w:szCs w:val="20"/>
              </w:rPr>
            </w:pPr>
            <w:r w:rsidRPr="003922DA">
              <w:rPr>
                <w:rFonts w:ascii="Arial" w:hAnsi="Arial" w:cs="Arial"/>
                <w:sz w:val="20"/>
                <w:szCs w:val="20"/>
              </w:rPr>
              <w:t>% Black residents</w:t>
            </w:r>
          </w:p>
        </w:tc>
        <w:tc>
          <w:tcPr>
            <w:tcW w:w="3240" w:type="dxa"/>
            <w:tcBorders>
              <w:left w:val="single" w:sz="8" w:space="0" w:color="auto"/>
            </w:tcBorders>
          </w:tcPr>
          <w:p w14:paraId="57AB5BC1" w14:textId="77777777" w:rsidR="005A5049" w:rsidRPr="003922DA" w:rsidRDefault="005A5049" w:rsidP="00813935">
            <w:pPr>
              <w:jc w:val="center"/>
              <w:rPr>
                <w:rFonts w:ascii="Arial" w:hAnsi="Arial" w:cs="Arial"/>
                <w:sz w:val="20"/>
                <w:szCs w:val="20"/>
              </w:rPr>
            </w:pPr>
            <w:r w:rsidRPr="003922DA">
              <w:rPr>
                <w:rFonts w:ascii="Arial" w:hAnsi="Arial" w:cs="Arial"/>
                <w:sz w:val="20"/>
                <w:szCs w:val="20"/>
              </w:rPr>
              <w:t>-0.0375 (-0.1207, 0.0438)</w:t>
            </w:r>
          </w:p>
        </w:tc>
        <w:tc>
          <w:tcPr>
            <w:tcW w:w="3230" w:type="dxa"/>
          </w:tcPr>
          <w:p w14:paraId="63EBCEA8" w14:textId="77777777" w:rsidR="005A5049" w:rsidRPr="00881920" w:rsidRDefault="005A5049" w:rsidP="00813935">
            <w:pPr>
              <w:jc w:val="center"/>
              <w:rPr>
                <w:rFonts w:ascii="Arial" w:hAnsi="Arial" w:cs="Arial"/>
                <w:color w:val="4472C4" w:themeColor="accent1"/>
                <w:sz w:val="20"/>
                <w:szCs w:val="20"/>
              </w:rPr>
            </w:pPr>
            <w:r w:rsidRPr="00881920">
              <w:rPr>
                <w:rFonts w:ascii="Arial" w:hAnsi="Arial" w:cs="Arial"/>
                <w:color w:val="4472C4" w:themeColor="accent1"/>
                <w:sz w:val="20"/>
                <w:szCs w:val="20"/>
              </w:rPr>
              <w:t>0.0947 (0.0398, 0.1527)</w:t>
            </w:r>
          </w:p>
        </w:tc>
      </w:tr>
      <w:tr w:rsidR="005A5049" w:rsidRPr="00D653E7" w14:paraId="7F5D56C0" w14:textId="77777777" w:rsidTr="00813935">
        <w:tc>
          <w:tcPr>
            <w:tcW w:w="2880" w:type="dxa"/>
            <w:tcBorders>
              <w:right w:val="single" w:sz="8" w:space="0" w:color="auto"/>
            </w:tcBorders>
          </w:tcPr>
          <w:p w14:paraId="5D2825A3" w14:textId="77777777" w:rsidR="005A5049" w:rsidRPr="003922DA" w:rsidRDefault="005A5049" w:rsidP="00813935">
            <w:pPr>
              <w:jc w:val="center"/>
              <w:rPr>
                <w:rFonts w:ascii="Arial" w:hAnsi="Arial" w:cs="Arial"/>
                <w:sz w:val="20"/>
                <w:szCs w:val="20"/>
              </w:rPr>
            </w:pPr>
            <w:r w:rsidRPr="003922DA">
              <w:rPr>
                <w:rFonts w:ascii="Arial" w:hAnsi="Arial" w:cs="Arial"/>
                <w:sz w:val="20"/>
                <w:szCs w:val="20"/>
              </w:rPr>
              <w:t>Cumulative case per capita</w:t>
            </w:r>
          </w:p>
        </w:tc>
        <w:tc>
          <w:tcPr>
            <w:tcW w:w="3240" w:type="dxa"/>
            <w:tcBorders>
              <w:left w:val="single" w:sz="8" w:space="0" w:color="auto"/>
            </w:tcBorders>
          </w:tcPr>
          <w:p w14:paraId="6838B355" w14:textId="77777777" w:rsidR="005A5049" w:rsidRPr="00881920" w:rsidRDefault="005A5049" w:rsidP="00813935">
            <w:pPr>
              <w:jc w:val="center"/>
              <w:rPr>
                <w:rFonts w:ascii="Arial" w:hAnsi="Arial" w:cs="Arial"/>
                <w:color w:val="4472C4" w:themeColor="accent1"/>
                <w:sz w:val="20"/>
                <w:szCs w:val="20"/>
              </w:rPr>
            </w:pPr>
            <w:r w:rsidRPr="00881920">
              <w:rPr>
                <w:rFonts w:ascii="Arial" w:hAnsi="Arial" w:cs="Arial"/>
                <w:color w:val="4472C4" w:themeColor="accent1"/>
                <w:sz w:val="20"/>
                <w:szCs w:val="20"/>
              </w:rPr>
              <w:t>-0.1902 (-0.3448, -0.0364)</w:t>
            </w:r>
          </w:p>
        </w:tc>
        <w:tc>
          <w:tcPr>
            <w:tcW w:w="3230" w:type="dxa"/>
          </w:tcPr>
          <w:p w14:paraId="6244AAE7" w14:textId="77777777" w:rsidR="005A5049" w:rsidRPr="00881920" w:rsidRDefault="005A5049" w:rsidP="00813935">
            <w:pPr>
              <w:jc w:val="center"/>
              <w:rPr>
                <w:rFonts w:ascii="Arial" w:hAnsi="Arial" w:cs="Arial"/>
                <w:color w:val="4472C4" w:themeColor="accent1"/>
                <w:sz w:val="20"/>
                <w:szCs w:val="20"/>
              </w:rPr>
            </w:pPr>
            <w:r w:rsidRPr="00881920">
              <w:rPr>
                <w:rFonts w:ascii="Arial" w:hAnsi="Arial" w:cs="Arial"/>
                <w:color w:val="4472C4" w:themeColor="accent1"/>
                <w:sz w:val="20"/>
                <w:szCs w:val="20"/>
              </w:rPr>
              <w:t>-0.2349 (-0.3671, -0.1116)</w:t>
            </w:r>
          </w:p>
        </w:tc>
      </w:tr>
      <w:tr w:rsidR="005A5049" w:rsidRPr="00D653E7" w14:paraId="5A5981C5" w14:textId="77777777" w:rsidTr="00813935">
        <w:tc>
          <w:tcPr>
            <w:tcW w:w="2880" w:type="dxa"/>
            <w:tcBorders>
              <w:right w:val="single" w:sz="8" w:space="0" w:color="auto"/>
            </w:tcBorders>
          </w:tcPr>
          <w:p w14:paraId="3AD6071A" w14:textId="77777777" w:rsidR="005A5049" w:rsidRPr="003922DA" w:rsidRDefault="005A5049" w:rsidP="00813935">
            <w:pPr>
              <w:jc w:val="center"/>
              <w:rPr>
                <w:rFonts w:ascii="Arial" w:hAnsi="Arial" w:cs="Arial"/>
                <w:sz w:val="20"/>
                <w:szCs w:val="20"/>
              </w:rPr>
            </w:pPr>
            <w:proofErr w:type="gramStart"/>
            <w:r w:rsidRPr="003922DA">
              <w:rPr>
                <w:rFonts w:ascii="Arial" w:hAnsi="Arial" w:cs="Arial"/>
                <w:sz w:val="20"/>
                <w:szCs w:val="20"/>
              </w:rPr>
              <w:t>Log(</w:t>
            </w:r>
            <w:proofErr w:type="gramEnd"/>
            <w:r w:rsidRPr="003922DA">
              <w:rPr>
                <w:rFonts w:ascii="Arial" w:hAnsi="Arial" w:cs="Arial"/>
                <w:sz w:val="20"/>
                <w:szCs w:val="20"/>
              </w:rPr>
              <w:t>weekly test per capita)</w:t>
            </w:r>
          </w:p>
        </w:tc>
        <w:tc>
          <w:tcPr>
            <w:tcW w:w="3240" w:type="dxa"/>
            <w:tcBorders>
              <w:left w:val="single" w:sz="8" w:space="0" w:color="auto"/>
            </w:tcBorders>
          </w:tcPr>
          <w:p w14:paraId="3FDB33F5" w14:textId="77777777" w:rsidR="005A5049" w:rsidRPr="003922DA" w:rsidRDefault="005A5049" w:rsidP="00813935">
            <w:pPr>
              <w:jc w:val="center"/>
              <w:rPr>
                <w:rFonts w:ascii="Arial" w:hAnsi="Arial" w:cs="Arial"/>
                <w:sz w:val="20"/>
                <w:szCs w:val="20"/>
              </w:rPr>
            </w:pPr>
            <w:r w:rsidRPr="003922DA">
              <w:rPr>
                <w:rFonts w:ascii="Arial" w:hAnsi="Arial" w:cs="Arial"/>
                <w:sz w:val="20"/>
                <w:szCs w:val="20"/>
              </w:rPr>
              <w:t>-0.0537 (-0.1506, 0.0426)</w:t>
            </w:r>
          </w:p>
        </w:tc>
        <w:tc>
          <w:tcPr>
            <w:tcW w:w="3230" w:type="dxa"/>
          </w:tcPr>
          <w:p w14:paraId="57650ABB" w14:textId="77777777" w:rsidR="005A5049" w:rsidRPr="003922DA" w:rsidRDefault="005A5049" w:rsidP="00813935">
            <w:pPr>
              <w:jc w:val="center"/>
              <w:rPr>
                <w:rFonts w:ascii="Arial" w:hAnsi="Arial" w:cs="Arial"/>
                <w:sz w:val="20"/>
                <w:szCs w:val="20"/>
              </w:rPr>
            </w:pPr>
            <w:r w:rsidRPr="00274F48">
              <w:rPr>
                <w:rFonts w:ascii="Arial" w:hAnsi="Arial" w:cs="Arial"/>
                <w:sz w:val="20"/>
                <w:szCs w:val="20"/>
              </w:rPr>
              <w:t xml:space="preserve">0.0022 </w:t>
            </w:r>
            <w:r>
              <w:rPr>
                <w:rFonts w:ascii="Arial" w:hAnsi="Arial" w:cs="Arial"/>
                <w:sz w:val="20"/>
                <w:szCs w:val="20"/>
              </w:rPr>
              <w:t>(</w:t>
            </w:r>
            <w:r w:rsidRPr="00274F48">
              <w:rPr>
                <w:rFonts w:ascii="Arial" w:hAnsi="Arial" w:cs="Arial"/>
                <w:sz w:val="20"/>
                <w:szCs w:val="20"/>
              </w:rPr>
              <w:t>-0.0609</w:t>
            </w:r>
            <w:r>
              <w:rPr>
                <w:rFonts w:ascii="Arial" w:hAnsi="Arial" w:cs="Arial"/>
                <w:sz w:val="20"/>
                <w:szCs w:val="20"/>
              </w:rPr>
              <w:t xml:space="preserve">, </w:t>
            </w:r>
            <w:r w:rsidRPr="00274F48">
              <w:rPr>
                <w:rFonts w:ascii="Arial" w:hAnsi="Arial" w:cs="Arial"/>
                <w:sz w:val="20"/>
                <w:szCs w:val="20"/>
              </w:rPr>
              <w:t>0.0639</w:t>
            </w:r>
            <w:r>
              <w:rPr>
                <w:rFonts w:ascii="Arial" w:hAnsi="Arial" w:cs="Arial"/>
                <w:sz w:val="20"/>
                <w:szCs w:val="20"/>
              </w:rPr>
              <w:t>)</w:t>
            </w:r>
          </w:p>
        </w:tc>
      </w:tr>
      <w:tr w:rsidR="005A5049" w:rsidRPr="00D653E7" w14:paraId="125DEB59" w14:textId="77777777" w:rsidTr="00813935">
        <w:tc>
          <w:tcPr>
            <w:tcW w:w="2880" w:type="dxa"/>
            <w:tcBorders>
              <w:right w:val="single" w:sz="8" w:space="0" w:color="auto"/>
            </w:tcBorders>
          </w:tcPr>
          <w:p w14:paraId="36D45A9A" w14:textId="77777777" w:rsidR="005A5049" w:rsidRPr="003922DA" w:rsidRDefault="005A5049" w:rsidP="00813935">
            <w:pPr>
              <w:jc w:val="center"/>
              <w:rPr>
                <w:rFonts w:ascii="Arial" w:hAnsi="Arial" w:cs="Arial"/>
                <w:sz w:val="20"/>
                <w:szCs w:val="20"/>
              </w:rPr>
            </w:pPr>
            <w:proofErr w:type="gramStart"/>
            <w:r w:rsidRPr="003922DA">
              <w:rPr>
                <w:rFonts w:ascii="Arial" w:hAnsi="Arial" w:cs="Arial"/>
                <w:sz w:val="20"/>
                <w:szCs w:val="20"/>
              </w:rPr>
              <w:t>Log(</w:t>
            </w:r>
            <w:proofErr w:type="gramEnd"/>
            <w:r w:rsidRPr="003922DA">
              <w:rPr>
                <w:rFonts w:ascii="Arial" w:hAnsi="Arial" w:cs="Arial"/>
                <w:sz w:val="20"/>
                <w:szCs w:val="20"/>
              </w:rPr>
              <w:t>weekly case per capita)</w:t>
            </w:r>
          </w:p>
        </w:tc>
        <w:tc>
          <w:tcPr>
            <w:tcW w:w="3240" w:type="dxa"/>
            <w:tcBorders>
              <w:left w:val="single" w:sz="8" w:space="0" w:color="auto"/>
            </w:tcBorders>
          </w:tcPr>
          <w:p w14:paraId="0BA49F57" w14:textId="77777777" w:rsidR="005A5049" w:rsidRPr="00881920" w:rsidRDefault="005A5049" w:rsidP="00813935">
            <w:pPr>
              <w:jc w:val="center"/>
              <w:rPr>
                <w:rFonts w:ascii="Arial" w:hAnsi="Arial" w:cs="Arial"/>
                <w:color w:val="4472C4" w:themeColor="accent1"/>
                <w:sz w:val="20"/>
                <w:szCs w:val="20"/>
              </w:rPr>
            </w:pPr>
            <w:r w:rsidRPr="00881920">
              <w:rPr>
                <w:rFonts w:ascii="Arial" w:hAnsi="Arial" w:cs="Arial"/>
                <w:color w:val="4472C4" w:themeColor="accent1"/>
                <w:sz w:val="20"/>
                <w:szCs w:val="20"/>
              </w:rPr>
              <w:t>0.9508 (0.8176, 1.0864)</w:t>
            </w:r>
          </w:p>
        </w:tc>
        <w:tc>
          <w:tcPr>
            <w:tcW w:w="3230" w:type="dxa"/>
          </w:tcPr>
          <w:p w14:paraId="45817478" w14:textId="77777777" w:rsidR="005A5049" w:rsidRPr="00881920" w:rsidRDefault="005A5049" w:rsidP="00813935">
            <w:pPr>
              <w:jc w:val="center"/>
              <w:rPr>
                <w:rFonts w:ascii="Arial" w:hAnsi="Arial" w:cs="Arial"/>
                <w:color w:val="4472C4" w:themeColor="accent1"/>
                <w:sz w:val="20"/>
                <w:szCs w:val="20"/>
              </w:rPr>
            </w:pPr>
            <w:r w:rsidRPr="00881920">
              <w:rPr>
                <w:rFonts w:ascii="Arial" w:hAnsi="Arial" w:cs="Arial"/>
                <w:color w:val="4472C4" w:themeColor="accent1"/>
                <w:sz w:val="20"/>
                <w:szCs w:val="20"/>
              </w:rPr>
              <w:t>0.7761 (0.6817, 0.8666)</w:t>
            </w:r>
          </w:p>
        </w:tc>
      </w:tr>
      <w:tr w:rsidR="005A5049" w:rsidRPr="00D653E7" w14:paraId="5DAA71F2" w14:textId="77777777" w:rsidTr="00813935">
        <w:tc>
          <w:tcPr>
            <w:tcW w:w="2880" w:type="dxa"/>
            <w:tcBorders>
              <w:bottom w:val="single" w:sz="8" w:space="0" w:color="auto"/>
              <w:right w:val="single" w:sz="8" w:space="0" w:color="auto"/>
            </w:tcBorders>
          </w:tcPr>
          <w:p w14:paraId="381A814F" w14:textId="77777777" w:rsidR="005A5049" w:rsidRPr="003922DA" w:rsidRDefault="005A5049" w:rsidP="00813935">
            <w:pPr>
              <w:jc w:val="center"/>
              <w:rPr>
                <w:rFonts w:ascii="Arial" w:hAnsi="Arial" w:cs="Arial"/>
                <w:sz w:val="20"/>
                <w:szCs w:val="20"/>
              </w:rPr>
            </w:pPr>
            <w:proofErr w:type="gramStart"/>
            <w:r w:rsidRPr="003922DA">
              <w:rPr>
                <w:rFonts w:ascii="Arial" w:hAnsi="Arial" w:cs="Arial"/>
                <w:sz w:val="20"/>
                <w:szCs w:val="20"/>
              </w:rPr>
              <w:t>Log(</w:t>
            </w:r>
            <w:proofErr w:type="gramEnd"/>
            <w:r w:rsidRPr="003922DA">
              <w:rPr>
                <w:rFonts w:ascii="Arial" w:hAnsi="Arial" w:cs="Arial"/>
                <w:sz w:val="20"/>
                <w:szCs w:val="20"/>
              </w:rPr>
              <w:t>population density)</w:t>
            </w:r>
          </w:p>
        </w:tc>
        <w:tc>
          <w:tcPr>
            <w:tcW w:w="3240" w:type="dxa"/>
            <w:tcBorders>
              <w:left w:val="single" w:sz="8" w:space="0" w:color="auto"/>
              <w:bottom w:val="single" w:sz="8" w:space="0" w:color="auto"/>
            </w:tcBorders>
          </w:tcPr>
          <w:p w14:paraId="6BDF9494" w14:textId="77777777" w:rsidR="005A5049" w:rsidRPr="003922DA" w:rsidRDefault="005A5049" w:rsidP="00813935">
            <w:pPr>
              <w:jc w:val="center"/>
              <w:rPr>
                <w:rFonts w:ascii="Arial" w:hAnsi="Arial" w:cs="Arial"/>
                <w:sz w:val="20"/>
                <w:szCs w:val="20"/>
              </w:rPr>
            </w:pPr>
            <w:r w:rsidRPr="003922DA">
              <w:rPr>
                <w:rFonts w:ascii="Arial" w:hAnsi="Arial" w:cs="Arial"/>
                <w:sz w:val="20"/>
                <w:szCs w:val="20"/>
              </w:rPr>
              <w:t>-0.0782 (-0.1695, 0.0165)</w:t>
            </w:r>
          </w:p>
        </w:tc>
        <w:tc>
          <w:tcPr>
            <w:tcW w:w="3230" w:type="dxa"/>
            <w:tcBorders>
              <w:bottom w:val="single" w:sz="8" w:space="0" w:color="auto"/>
            </w:tcBorders>
          </w:tcPr>
          <w:p w14:paraId="7B53ECA5" w14:textId="77777777" w:rsidR="005A5049" w:rsidRPr="003922DA" w:rsidRDefault="005A5049" w:rsidP="00813935">
            <w:pPr>
              <w:jc w:val="center"/>
              <w:rPr>
                <w:rFonts w:ascii="Arial" w:hAnsi="Arial" w:cs="Arial"/>
                <w:sz w:val="20"/>
                <w:szCs w:val="20"/>
              </w:rPr>
            </w:pPr>
            <w:r w:rsidRPr="003922DA">
              <w:rPr>
                <w:rFonts w:ascii="Arial" w:hAnsi="Arial" w:cs="Arial"/>
                <w:sz w:val="20"/>
                <w:szCs w:val="20"/>
              </w:rPr>
              <w:t>0.0107</w:t>
            </w:r>
            <w:r>
              <w:rPr>
                <w:rFonts w:ascii="Arial" w:hAnsi="Arial" w:cs="Arial"/>
                <w:sz w:val="20"/>
                <w:szCs w:val="20"/>
              </w:rPr>
              <w:t xml:space="preserve"> (</w:t>
            </w:r>
            <w:r w:rsidRPr="003922DA">
              <w:rPr>
                <w:rFonts w:ascii="Arial" w:hAnsi="Arial" w:cs="Arial"/>
                <w:sz w:val="20"/>
                <w:szCs w:val="20"/>
              </w:rPr>
              <w:t>-0.0528</w:t>
            </w:r>
            <w:r>
              <w:rPr>
                <w:rFonts w:ascii="Arial" w:hAnsi="Arial" w:cs="Arial"/>
                <w:sz w:val="20"/>
                <w:szCs w:val="20"/>
              </w:rPr>
              <w:t xml:space="preserve">, </w:t>
            </w:r>
            <w:r w:rsidRPr="003922DA">
              <w:rPr>
                <w:rFonts w:ascii="Arial" w:hAnsi="Arial" w:cs="Arial"/>
                <w:sz w:val="20"/>
                <w:szCs w:val="20"/>
              </w:rPr>
              <w:t>0.0770</w:t>
            </w:r>
            <w:r>
              <w:rPr>
                <w:rFonts w:ascii="Arial" w:hAnsi="Arial" w:cs="Arial"/>
                <w:sz w:val="20"/>
                <w:szCs w:val="20"/>
              </w:rPr>
              <w:t>)</w:t>
            </w:r>
          </w:p>
        </w:tc>
      </w:tr>
    </w:tbl>
    <w:p w14:paraId="6EE2426E" w14:textId="77777777" w:rsidR="005A5049" w:rsidRDefault="005A5049" w:rsidP="005A5049">
      <w:pPr>
        <w:rPr>
          <w:rFonts w:ascii="Arial" w:hAnsi="Arial" w:cs="Arial"/>
        </w:rPr>
      </w:pPr>
    </w:p>
    <w:p w14:paraId="791B56EA" w14:textId="10BE20B2" w:rsidR="005A5049" w:rsidRPr="005A5049" w:rsidRDefault="005A5049" w:rsidP="005A5049">
      <w:r>
        <w:t xml:space="preserve">Extended Data Table </w:t>
      </w:r>
      <w:r>
        <w:t>2</w:t>
      </w:r>
      <w:r>
        <w:t xml:space="preserve">. </w:t>
      </w:r>
      <w:r w:rsidRPr="005A5049">
        <w:t>Estimated coefficients for the main model.</w:t>
      </w:r>
      <w:r w:rsidRPr="005A5049">
        <w:rPr>
          <w:rFonts w:hint="eastAsia"/>
        </w:rPr>
        <w:t xml:space="preserve"> </w:t>
      </w:r>
      <w:r w:rsidRPr="005A5049">
        <w:t>Results show the median estimates and 95% CIs. Significant covariates (p&lt;0.05) are highlighted in blue.</w:t>
      </w:r>
    </w:p>
    <w:p w14:paraId="33AE38B5" w14:textId="77777777" w:rsidR="00A55AEA" w:rsidRPr="00835CFD" w:rsidRDefault="00A55AEA" w:rsidP="00A654B3"/>
    <w:sectPr w:rsidR="00A55AEA" w:rsidRPr="00835CFD" w:rsidSect="00AE7641">
      <w:footerReference w:type="even"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74588" w14:textId="77777777" w:rsidR="001D555B" w:rsidRDefault="001D555B" w:rsidP="00DE46AA">
      <w:r>
        <w:separator/>
      </w:r>
    </w:p>
  </w:endnote>
  <w:endnote w:type="continuationSeparator" w:id="0">
    <w:p w14:paraId="005223F0" w14:textId="77777777" w:rsidR="001D555B" w:rsidRDefault="001D555B" w:rsidP="00DE4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5750653"/>
      <w:docPartObj>
        <w:docPartGallery w:val="Page Numbers (Bottom of Page)"/>
        <w:docPartUnique/>
      </w:docPartObj>
    </w:sdtPr>
    <w:sdtContent>
      <w:p w14:paraId="1E65F725" w14:textId="15F28C96" w:rsidR="0085339E" w:rsidRDefault="0085339E" w:rsidP="006719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3B2777" w14:textId="77777777" w:rsidR="0085339E" w:rsidRDefault="0085339E" w:rsidP="008533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37260975"/>
      <w:docPartObj>
        <w:docPartGallery w:val="Page Numbers (Bottom of Page)"/>
        <w:docPartUnique/>
      </w:docPartObj>
    </w:sdtPr>
    <w:sdtContent>
      <w:p w14:paraId="755E74C9" w14:textId="0F578D4E" w:rsidR="0085339E" w:rsidRDefault="0085339E" w:rsidP="006719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3C13016" w14:textId="77777777" w:rsidR="0085339E" w:rsidRDefault="0085339E" w:rsidP="0085339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4F747" w14:textId="77777777" w:rsidR="001D555B" w:rsidRDefault="001D555B" w:rsidP="00DE46AA">
      <w:r>
        <w:separator/>
      </w:r>
    </w:p>
  </w:footnote>
  <w:footnote w:type="continuationSeparator" w:id="0">
    <w:p w14:paraId="09281B85" w14:textId="77777777" w:rsidR="001D555B" w:rsidRDefault="001D555B" w:rsidP="00DE46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9D12845"/>
    <w:multiLevelType w:val="hybridMultilevel"/>
    <w:tmpl w:val="4D7E7144"/>
    <w:lvl w:ilvl="0" w:tplc="0409000F">
      <w:start w:val="1"/>
      <w:numFmt w:val="decimal"/>
      <w:lvlText w:val="%1."/>
      <w:lvlJc w:val="left"/>
      <w:pPr>
        <w:ind w:left="360" w:hanging="360"/>
      </w:pPr>
    </w:lvl>
    <w:lvl w:ilvl="1" w:tplc="6B86878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69602929">
    <w:abstractNumId w:val="9"/>
  </w:num>
  <w:num w:numId="2" w16cid:durableId="337780274">
    <w:abstractNumId w:val="7"/>
  </w:num>
  <w:num w:numId="3" w16cid:durableId="1434856682">
    <w:abstractNumId w:val="6"/>
  </w:num>
  <w:num w:numId="4" w16cid:durableId="917203832">
    <w:abstractNumId w:val="5"/>
  </w:num>
  <w:num w:numId="5" w16cid:durableId="1157381762">
    <w:abstractNumId w:val="4"/>
  </w:num>
  <w:num w:numId="6" w16cid:durableId="398791148">
    <w:abstractNumId w:val="8"/>
  </w:num>
  <w:num w:numId="7" w16cid:durableId="346716593">
    <w:abstractNumId w:val="3"/>
  </w:num>
  <w:num w:numId="8" w16cid:durableId="1116682013">
    <w:abstractNumId w:val="2"/>
  </w:num>
  <w:num w:numId="9" w16cid:durableId="688678839">
    <w:abstractNumId w:val="1"/>
  </w:num>
  <w:num w:numId="10" w16cid:durableId="26417175">
    <w:abstractNumId w:val="0"/>
  </w:num>
  <w:num w:numId="11" w16cid:durableId="1424491159">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882"/>
    <w:rsid w:val="00000557"/>
    <w:rsid w:val="00001622"/>
    <w:rsid w:val="000018A6"/>
    <w:rsid w:val="00001D5E"/>
    <w:rsid w:val="00005431"/>
    <w:rsid w:val="0001236B"/>
    <w:rsid w:val="000134F0"/>
    <w:rsid w:val="000148B9"/>
    <w:rsid w:val="00016841"/>
    <w:rsid w:val="00020878"/>
    <w:rsid w:val="00020998"/>
    <w:rsid w:val="00021CC8"/>
    <w:rsid w:val="0002299A"/>
    <w:rsid w:val="00031E93"/>
    <w:rsid w:val="00033883"/>
    <w:rsid w:val="0003775F"/>
    <w:rsid w:val="00041354"/>
    <w:rsid w:val="0004146B"/>
    <w:rsid w:val="00044914"/>
    <w:rsid w:val="0004526D"/>
    <w:rsid w:val="00045C38"/>
    <w:rsid w:val="000475A2"/>
    <w:rsid w:val="00054BD2"/>
    <w:rsid w:val="000563FA"/>
    <w:rsid w:val="000619C4"/>
    <w:rsid w:val="0006266E"/>
    <w:rsid w:val="000643E5"/>
    <w:rsid w:val="0006738D"/>
    <w:rsid w:val="0007185C"/>
    <w:rsid w:val="00073C74"/>
    <w:rsid w:val="0007723E"/>
    <w:rsid w:val="00083A30"/>
    <w:rsid w:val="00084D6A"/>
    <w:rsid w:val="00085381"/>
    <w:rsid w:val="00085E33"/>
    <w:rsid w:val="00086F42"/>
    <w:rsid w:val="00090B82"/>
    <w:rsid w:val="00092F08"/>
    <w:rsid w:val="00094A4A"/>
    <w:rsid w:val="00095BB5"/>
    <w:rsid w:val="000A1698"/>
    <w:rsid w:val="000A18A3"/>
    <w:rsid w:val="000A22D0"/>
    <w:rsid w:val="000A4EE2"/>
    <w:rsid w:val="000B118B"/>
    <w:rsid w:val="000B1626"/>
    <w:rsid w:val="000B251C"/>
    <w:rsid w:val="000B3F7A"/>
    <w:rsid w:val="000B4562"/>
    <w:rsid w:val="000B67BC"/>
    <w:rsid w:val="000C024E"/>
    <w:rsid w:val="000C027B"/>
    <w:rsid w:val="000C177D"/>
    <w:rsid w:val="000C598C"/>
    <w:rsid w:val="000C68B5"/>
    <w:rsid w:val="000D2F0D"/>
    <w:rsid w:val="000D344B"/>
    <w:rsid w:val="000D6841"/>
    <w:rsid w:val="000E1DFC"/>
    <w:rsid w:val="000E4817"/>
    <w:rsid w:val="000E62E0"/>
    <w:rsid w:val="000F04E8"/>
    <w:rsid w:val="000F2785"/>
    <w:rsid w:val="000F2C03"/>
    <w:rsid w:val="000F4B17"/>
    <w:rsid w:val="000F51EE"/>
    <w:rsid w:val="0011299F"/>
    <w:rsid w:val="00114A45"/>
    <w:rsid w:val="00117CD1"/>
    <w:rsid w:val="00117CF6"/>
    <w:rsid w:val="00124891"/>
    <w:rsid w:val="0012768C"/>
    <w:rsid w:val="001332A5"/>
    <w:rsid w:val="001342D9"/>
    <w:rsid w:val="00134C58"/>
    <w:rsid w:val="00135F30"/>
    <w:rsid w:val="00153BE4"/>
    <w:rsid w:val="00154AAA"/>
    <w:rsid w:val="001556A7"/>
    <w:rsid w:val="00156217"/>
    <w:rsid w:val="00160DF2"/>
    <w:rsid w:val="0016342D"/>
    <w:rsid w:val="00164D23"/>
    <w:rsid w:val="001656CF"/>
    <w:rsid w:val="00167D89"/>
    <w:rsid w:val="00170153"/>
    <w:rsid w:val="001709E0"/>
    <w:rsid w:val="001718E8"/>
    <w:rsid w:val="00171B47"/>
    <w:rsid w:val="00172A6D"/>
    <w:rsid w:val="00173C67"/>
    <w:rsid w:val="00173D0E"/>
    <w:rsid w:val="0017498A"/>
    <w:rsid w:val="00176985"/>
    <w:rsid w:val="00177DD2"/>
    <w:rsid w:val="00183E0C"/>
    <w:rsid w:val="001850C5"/>
    <w:rsid w:val="001879CB"/>
    <w:rsid w:val="001902A9"/>
    <w:rsid w:val="00196C43"/>
    <w:rsid w:val="001A2009"/>
    <w:rsid w:val="001A2E4B"/>
    <w:rsid w:val="001A469E"/>
    <w:rsid w:val="001A666A"/>
    <w:rsid w:val="001B0782"/>
    <w:rsid w:val="001B0BFB"/>
    <w:rsid w:val="001B0F54"/>
    <w:rsid w:val="001B5210"/>
    <w:rsid w:val="001B5D13"/>
    <w:rsid w:val="001C37BD"/>
    <w:rsid w:val="001C7112"/>
    <w:rsid w:val="001D16A3"/>
    <w:rsid w:val="001D1FD6"/>
    <w:rsid w:val="001D4D7E"/>
    <w:rsid w:val="001D54D7"/>
    <w:rsid w:val="001D555B"/>
    <w:rsid w:val="001E26CA"/>
    <w:rsid w:val="001E2ECF"/>
    <w:rsid w:val="001F01BA"/>
    <w:rsid w:val="001F3CE2"/>
    <w:rsid w:val="001F3FBD"/>
    <w:rsid w:val="001F495B"/>
    <w:rsid w:val="001F6D62"/>
    <w:rsid w:val="001F7365"/>
    <w:rsid w:val="00205672"/>
    <w:rsid w:val="00205F55"/>
    <w:rsid w:val="00210439"/>
    <w:rsid w:val="002176C0"/>
    <w:rsid w:val="002305C0"/>
    <w:rsid w:val="0023069A"/>
    <w:rsid w:val="00232131"/>
    <w:rsid w:val="00232910"/>
    <w:rsid w:val="00236824"/>
    <w:rsid w:val="00241176"/>
    <w:rsid w:val="00241F1D"/>
    <w:rsid w:val="002426F4"/>
    <w:rsid w:val="002449C1"/>
    <w:rsid w:val="0024510C"/>
    <w:rsid w:val="002509BF"/>
    <w:rsid w:val="00261417"/>
    <w:rsid w:val="00263C20"/>
    <w:rsid w:val="002673C9"/>
    <w:rsid w:val="00271178"/>
    <w:rsid w:val="00275699"/>
    <w:rsid w:val="00277F0F"/>
    <w:rsid w:val="0028123B"/>
    <w:rsid w:val="00282120"/>
    <w:rsid w:val="00283041"/>
    <w:rsid w:val="002878BC"/>
    <w:rsid w:val="002905BF"/>
    <w:rsid w:val="00294F29"/>
    <w:rsid w:val="00295A14"/>
    <w:rsid w:val="002A2599"/>
    <w:rsid w:val="002A485B"/>
    <w:rsid w:val="002A74F7"/>
    <w:rsid w:val="002A7BC0"/>
    <w:rsid w:val="002B0502"/>
    <w:rsid w:val="002B0BE5"/>
    <w:rsid w:val="002B16A3"/>
    <w:rsid w:val="002B250F"/>
    <w:rsid w:val="002B2D8A"/>
    <w:rsid w:val="002B6481"/>
    <w:rsid w:val="002B69D4"/>
    <w:rsid w:val="002C0911"/>
    <w:rsid w:val="002C1369"/>
    <w:rsid w:val="002C1639"/>
    <w:rsid w:val="002C432A"/>
    <w:rsid w:val="002C48F1"/>
    <w:rsid w:val="002C5A41"/>
    <w:rsid w:val="002C75D5"/>
    <w:rsid w:val="002D3685"/>
    <w:rsid w:val="002D4E58"/>
    <w:rsid w:val="002D6598"/>
    <w:rsid w:val="002D6762"/>
    <w:rsid w:val="002D6FBE"/>
    <w:rsid w:val="002E3318"/>
    <w:rsid w:val="002E6797"/>
    <w:rsid w:val="002F20ED"/>
    <w:rsid w:val="00301F12"/>
    <w:rsid w:val="003049D1"/>
    <w:rsid w:val="00306BB3"/>
    <w:rsid w:val="00307996"/>
    <w:rsid w:val="003138A0"/>
    <w:rsid w:val="003141C8"/>
    <w:rsid w:val="00315942"/>
    <w:rsid w:val="00323C8F"/>
    <w:rsid w:val="00325AE1"/>
    <w:rsid w:val="003262B9"/>
    <w:rsid w:val="00326FE3"/>
    <w:rsid w:val="00330C9F"/>
    <w:rsid w:val="00331D88"/>
    <w:rsid w:val="003337A9"/>
    <w:rsid w:val="003353BB"/>
    <w:rsid w:val="00336BB0"/>
    <w:rsid w:val="0033758D"/>
    <w:rsid w:val="003376B7"/>
    <w:rsid w:val="00340A23"/>
    <w:rsid w:val="0034168F"/>
    <w:rsid w:val="00346EFD"/>
    <w:rsid w:val="00352824"/>
    <w:rsid w:val="00353748"/>
    <w:rsid w:val="00354135"/>
    <w:rsid w:val="00355B40"/>
    <w:rsid w:val="00355BC3"/>
    <w:rsid w:val="003624CC"/>
    <w:rsid w:val="0036720E"/>
    <w:rsid w:val="00372499"/>
    <w:rsid w:val="0037253E"/>
    <w:rsid w:val="00373B4C"/>
    <w:rsid w:val="003773AE"/>
    <w:rsid w:val="00377EBF"/>
    <w:rsid w:val="00383B84"/>
    <w:rsid w:val="00383F7C"/>
    <w:rsid w:val="003842C6"/>
    <w:rsid w:val="003844CA"/>
    <w:rsid w:val="00386839"/>
    <w:rsid w:val="00387C60"/>
    <w:rsid w:val="00390814"/>
    <w:rsid w:val="00390C07"/>
    <w:rsid w:val="00390D02"/>
    <w:rsid w:val="003929BB"/>
    <w:rsid w:val="00397DDA"/>
    <w:rsid w:val="00397F2E"/>
    <w:rsid w:val="00397F91"/>
    <w:rsid w:val="003A09DD"/>
    <w:rsid w:val="003A3DA7"/>
    <w:rsid w:val="003A4E7E"/>
    <w:rsid w:val="003B2109"/>
    <w:rsid w:val="003B4771"/>
    <w:rsid w:val="003B4B2E"/>
    <w:rsid w:val="003B4EE7"/>
    <w:rsid w:val="003B69AB"/>
    <w:rsid w:val="003B721F"/>
    <w:rsid w:val="003C2AA0"/>
    <w:rsid w:val="003C42BB"/>
    <w:rsid w:val="003C5030"/>
    <w:rsid w:val="003C6528"/>
    <w:rsid w:val="003C6E42"/>
    <w:rsid w:val="003D0AAD"/>
    <w:rsid w:val="003D243F"/>
    <w:rsid w:val="003D2972"/>
    <w:rsid w:val="003D2F86"/>
    <w:rsid w:val="003D3829"/>
    <w:rsid w:val="003D3F79"/>
    <w:rsid w:val="003D49AF"/>
    <w:rsid w:val="003D700F"/>
    <w:rsid w:val="003E2D5F"/>
    <w:rsid w:val="003E377F"/>
    <w:rsid w:val="003E517A"/>
    <w:rsid w:val="003E5BC0"/>
    <w:rsid w:val="003F16D5"/>
    <w:rsid w:val="003F3A8F"/>
    <w:rsid w:val="003F60AF"/>
    <w:rsid w:val="003F6AB0"/>
    <w:rsid w:val="003F75C5"/>
    <w:rsid w:val="003F7EB0"/>
    <w:rsid w:val="00402E51"/>
    <w:rsid w:val="00405693"/>
    <w:rsid w:val="0040691E"/>
    <w:rsid w:val="00411FF2"/>
    <w:rsid w:val="00413BE0"/>
    <w:rsid w:val="0041697C"/>
    <w:rsid w:val="0042063E"/>
    <w:rsid w:val="00424882"/>
    <w:rsid w:val="004252EA"/>
    <w:rsid w:val="00426085"/>
    <w:rsid w:val="00426968"/>
    <w:rsid w:val="00427E8F"/>
    <w:rsid w:val="0043065E"/>
    <w:rsid w:val="00430CF3"/>
    <w:rsid w:val="00431986"/>
    <w:rsid w:val="00432B8C"/>
    <w:rsid w:val="00432E3D"/>
    <w:rsid w:val="004334CC"/>
    <w:rsid w:val="004347BD"/>
    <w:rsid w:val="00436FDC"/>
    <w:rsid w:val="0044063C"/>
    <w:rsid w:val="00441D3D"/>
    <w:rsid w:val="0044316C"/>
    <w:rsid w:val="00444810"/>
    <w:rsid w:val="00446C64"/>
    <w:rsid w:val="004501BC"/>
    <w:rsid w:val="00452FBA"/>
    <w:rsid w:val="00456D36"/>
    <w:rsid w:val="0045753A"/>
    <w:rsid w:val="00461B6B"/>
    <w:rsid w:val="004632E2"/>
    <w:rsid w:val="004703B7"/>
    <w:rsid w:val="004703ED"/>
    <w:rsid w:val="0047063D"/>
    <w:rsid w:val="004710C9"/>
    <w:rsid w:val="00472CD5"/>
    <w:rsid w:val="00473875"/>
    <w:rsid w:val="004762B0"/>
    <w:rsid w:val="004804FE"/>
    <w:rsid w:val="00483B54"/>
    <w:rsid w:val="00483F0B"/>
    <w:rsid w:val="00483FC1"/>
    <w:rsid w:val="00487004"/>
    <w:rsid w:val="0048777D"/>
    <w:rsid w:val="00487BF0"/>
    <w:rsid w:val="00490E46"/>
    <w:rsid w:val="00494C94"/>
    <w:rsid w:val="00494FA7"/>
    <w:rsid w:val="0049615E"/>
    <w:rsid w:val="00496E15"/>
    <w:rsid w:val="004A0CBC"/>
    <w:rsid w:val="004A35E1"/>
    <w:rsid w:val="004A47EC"/>
    <w:rsid w:val="004A4CB0"/>
    <w:rsid w:val="004A5C66"/>
    <w:rsid w:val="004A6A56"/>
    <w:rsid w:val="004A786B"/>
    <w:rsid w:val="004B07AF"/>
    <w:rsid w:val="004B0AB6"/>
    <w:rsid w:val="004B1E88"/>
    <w:rsid w:val="004B282B"/>
    <w:rsid w:val="004B7788"/>
    <w:rsid w:val="004B7FE9"/>
    <w:rsid w:val="004C12F3"/>
    <w:rsid w:val="004C1AF7"/>
    <w:rsid w:val="004C3722"/>
    <w:rsid w:val="004D1855"/>
    <w:rsid w:val="004D38D5"/>
    <w:rsid w:val="004D3C9D"/>
    <w:rsid w:val="004D4002"/>
    <w:rsid w:val="004E1AF3"/>
    <w:rsid w:val="004F2B2A"/>
    <w:rsid w:val="004F3F95"/>
    <w:rsid w:val="004F7AA2"/>
    <w:rsid w:val="00500D08"/>
    <w:rsid w:val="00500F2E"/>
    <w:rsid w:val="00501485"/>
    <w:rsid w:val="00502F01"/>
    <w:rsid w:val="00506127"/>
    <w:rsid w:val="00506E64"/>
    <w:rsid w:val="005071CB"/>
    <w:rsid w:val="00507294"/>
    <w:rsid w:val="00513C59"/>
    <w:rsid w:val="0051595A"/>
    <w:rsid w:val="005179E1"/>
    <w:rsid w:val="0052095D"/>
    <w:rsid w:val="0052109F"/>
    <w:rsid w:val="00521168"/>
    <w:rsid w:val="005274F7"/>
    <w:rsid w:val="00532727"/>
    <w:rsid w:val="00532CA3"/>
    <w:rsid w:val="00533ADF"/>
    <w:rsid w:val="00535416"/>
    <w:rsid w:val="00536A64"/>
    <w:rsid w:val="0053769F"/>
    <w:rsid w:val="00541960"/>
    <w:rsid w:val="00542043"/>
    <w:rsid w:val="00542A29"/>
    <w:rsid w:val="00546A38"/>
    <w:rsid w:val="00551172"/>
    <w:rsid w:val="00551D8D"/>
    <w:rsid w:val="005522C0"/>
    <w:rsid w:val="00554B49"/>
    <w:rsid w:val="00554FCE"/>
    <w:rsid w:val="00555A1C"/>
    <w:rsid w:val="00561181"/>
    <w:rsid w:val="0056391F"/>
    <w:rsid w:val="00564A1E"/>
    <w:rsid w:val="00570714"/>
    <w:rsid w:val="005741DE"/>
    <w:rsid w:val="00576484"/>
    <w:rsid w:val="00577EA2"/>
    <w:rsid w:val="00580AD9"/>
    <w:rsid w:val="005833D3"/>
    <w:rsid w:val="00585712"/>
    <w:rsid w:val="0058761B"/>
    <w:rsid w:val="005914FA"/>
    <w:rsid w:val="00595704"/>
    <w:rsid w:val="0059633A"/>
    <w:rsid w:val="00597942"/>
    <w:rsid w:val="005A08B6"/>
    <w:rsid w:val="005A1038"/>
    <w:rsid w:val="005A15F4"/>
    <w:rsid w:val="005A2A09"/>
    <w:rsid w:val="005A5049"/>
    <w:rsid w:val="005B4F8C"/>
    <w:rsid w:val="005B6393"/>
    <w:rsid w:val="005C0ACA"/>
    <w:rsid w:val="005C15E8"/>
    <w:rsid w:val="005D0905"/>
    <w:rsid w:val="005D3C59"/>
    <w:rsid w:val="005D4071"/>
    <w:rsid w:val="005D7D23"/>
    <w:rsid w:val="005E1FB1"/>
    <w:rsid w:val="005E2B9A"/>
    <w:rsid w:val="005E6249"/>
    <w:rsid w:val="005E6D80"/>
    <w:rsid w:val="005F064F"/>
    <w:rsid w:val="005F47E7"/>
    <w:rsid w:val="005F7450"/>
    <w:rsid w:val="005F7A02"/>
    <w:rsid w:val="006010A0"/>
    <w:rsid w:val="006030E4"/>
    <w:rsid w:val="0060423C"/>
    <w:rsid w:val="00604D8C"/>
    <w:rsid w:val="00605972"/>
    <w:rsid w:val="006070AD"/>
    <w:rsid w:val="006103D3"/>
    <w:rsid w:val="0061142D"/>
    <w:rsid w:val="00611AA7"/>
    <w:rsid w:val="006129A1"/>
    <w:rsid w:val="00612A1C"/>
    <w:rsid w:val="00613596"/>
    <w:rsid w:val="00613B37"/>
    <w:rsid w:val="0062017E"/>
    <w:rsid w:val="00626B9D"/>
    <w:rsid w:val="006275B7"/>
    <w:rsid w:val="00633C39"/>
    <w:rsid w:val="00644DBA"/>
    <w:rsid w:val="0065057D"/>
    <w:rsid w:val="00654F00"/>
    <w:rsid w:val="006572FE"/>
    <w:rsid w:val="00660B0C"/>
    <w:rsid w:val="0066215F"/>
    <w:rsid w:val="0066553E"/>
    <w:rsid w:val="00671A1E"/>
    <w:rsid w:val="00672D91"/>
    <w:rsid w:val="00672DF9"/>
    <w:rsid w:val="00681FBF"/>
    <w:rsid w:val="006879A9"/>
    <w:rsid w:val="00692E5C"/>
    <w:rsid w:val="00694884"/>
    <w:rsid w:val="0069580D"/>
    <w:rsid w:val="0069775B"/>
    <w:rsid w:val="006A1DCD"/>
    <w:rsid w:val="006A221B"/>
    <w:rsid w:val="006A5503"/>
    <w:rsid w:val="006A5E10"/>
    <w:rsid w:val="006B3D08"/>
    <w:rsid w:val="006B4FF2"/>
    <w:rsid w:val="006B6482"/>
    <w:rsid w:val="006C23C9"/>
    <w:rsid w:val="006C427D"/>
    <w:rsid w:val="006C5260"/>
    <w:rsid w:val="006D2B61"/>
    <w:rsid w:val="006D51AB"/>
    <w:rsid w:val="006D53BB"/>
    <w:rsid w:val="006E054C"/>
    <w:rsid w:val="006E0AD4"/>
    <w:rsid w:val="006E2FB3"/>
    <w:rsid w:val="006E6A8D"/>
    <w:rsid w:val="006E7779"/>
    <w:rsid w:val="006F6232"/>
    <w:rsid w:val="00702FD8"/>
    <w:rsid w:val="00705EDD"/>
    <w:rsid w:val="0070634D"/>
    <w:rsid w:val="00707376"/>
    <w:rsid w:val="0071019E"/>
    <w:rsid w:val="00713A81"/>
    <w:rsid w:val="00714F72"/>
    <w:rsid w:val="00717010"/>
    <w:rsid w:val="00717531"/>
    <w:rsid w:val="00720323"/>
    <w:rsid w:val="0072192F"/>
    <w:rsid w:val="00723CF6"/>
    <w:rsid w:val="00727A38"/>
    <w:rsid w:val="00730BD1"/>
    <w:rsid w:val="00731E2B"/>
    <w:rsid w:val="00731E3D"/>
    <w:rsid w:val="007349C3"/>
    <w:rsid w:val="0073643B"/>
    <w:rsid w:val="00736B24"/>
    <w:rsid w:val="0073743B"/>
    <w:rsid w:val="00750F26"/>
    <w:rsid w:val="00754DDA"/>
    <w:rsid w:val="007550FC"/>
    <w:rsid w:val="00755EE0"/>
    <w:rsid w:val="0075754C"/>
    <w:rsid w:val="00760322"/>
    <w:rsid w:val="00764D26"/>
    <w:rsid w:val="00764E11"/>
    <w:rsid w:val="00770445"/>
    <w:rsid w:val="00772506"/>
    <w:rsid w:val="00777ED0"/>
    <w:rsid w:val="007814C3"/>
    <w:rsid w:val="007817CE"/>
    <w:rsid w:val="00782F28"/>
    <w:rsid w:val="007835CF"/>
    <w:rsid w:val="00785186"/>
    <w:rsid w:val="00785F00"/>
    <w:rsid w:val="007930D4"/>
    <w:rsid w:val="00796CC0"/>
    <w:rsid w:val="00796E70"/>
    <w:rsid w:val="0079717E"/>
    <w:rsid w:val="007A1DCE"/>
    <w:rsid w:val="007A5E21"/>
    <w:rsid w:val="007A6AEE"/>
    <w:rsid w:val="007B0DE1"/>
    <w:rsid w:val="007B17DB"/>
    <w:rsid w:val="007C022E"/>
    <w:rsid w:val="007C090C"/>
    <w:rsid w:val="007C4457"/>
    <w:rsid w:val="007C4B4F"/>
    <w:rsid w:val="007D00D6"/>
    <w:rsid w:val="007D29C3"/>
    <w:rsid w:val="007D3ECB"/>
    <w:rsid w:val="007D6248"/>
    <w:rsid w:val="007E2285"/>
    <w:rsid w:val="007E25F3"/>
    <w:rsid w:val="007E51A1"/>
    <w:rsid w:val="007E560A"/>
    <w:rsid w:val="007E7147"/>
    <w:rsid w:val="007F03D4"/>
    <w:rsid w:val="007F6E8A"/>
    <w:rsid w:val="007F7320"/>
    <w:rsid w:val="007F743A"/>
    <w:rsid w:val="007F7F30"/>
    <w:rsid w:val="00800F8C"/>
    <w:rsid w:val="00805162"/>
    <w:rsid w:val="008055AF"/>
    <w:rsid w:val="0080585B"/>
    <w:rsid w:val="00817085"/>
    <w:rsid w:val="00823456"/>
    <w:rsid w:val="00830168"/>
    <w:rsid w:val="00835CFD"/>
    <w:rsid w:val="00835E14"/>
    <w:rsid w:val="0083690B"/>
    <w:rsid w:val="00837A20"/>
    <w:rsid w:val="008431CA"/>
    <w:rsid w:val="008444F5"/>
    <w:rsid w:val="00850145"/>
    <w:rsid w:val="00853076"/>
    <w:rsid w:val="0085339E"/>
    <w:rsid w:val="0085515B"/>
    <w:rsid w:val="00855B13"/>
    <w:rsid w:val="00857BBF"/>
    <w:rsid w:val="00860052"/>
    <w:rsid w:val="00863F97"/>
    <w:rsid w:val="0086676B"/>
    <w:rsid w:val="0087184D"/>
    <w:rsid w:val="00876671"/>
    <w:rsid w:val="00877B3D"/>
    <w:rsid w:val="00877E5F"/>
    <w:rsid w:val="00880D5C"/>
    <w:rsid w:val="008817BB"/>
    <w:rsid w:val="00883096"/>
    <w:rsid w:val="00883378"/>
    <w:rsid w:val="00883B45"/>
    <w:rsid w:val="00884EDB"/>
    <w:rsid w:val="00886D4B"/>
    <w:rsid w:val="008877D4"/>
    <w:rsid w:val="00890EF2"/>
    <w:rsid w:val="00892661"/>
    <w:rsid w:val="00892BB6"/>
    <w:rsid w:val="0089384F"/>
    <w:rsid w:val="00894C71"/>
    <w:rsid w:val="008951DF"/>
    <w:rsid w:val="00896963"/>
    <w:rsid w:val="0089753E"/>
    <w:rsid w:val="008A06F1"/>
    <w:rsid w:val="008A27CF"/>
    <w:rsid w:val="008A6C0D"/>
    <w:rsid w:val="008A6E4C"/>
    <w:rsid w:val="008B1C51"/>
    <w:rsid w:val="008B3D07"/>
    <w:rsid w:val="008B4FE1"/>
    <w:rsid w:val="008B63D4"/>
    <w:rsid w:val="008B726E"/>
    <w:rsid w:val="008C03E2"/>
    <w:rsid w:val="008C3724"/>
    <w:rsid w:val="008C3BD6"/>
    <w:rsid w:val="008C65C4"/>
    <w:rsid w:val="008D3816"/>
    <w:rsid w:val="008D6378"/>
    <w:rsid w:val="008D7757"/>
    <w:rsid w:val="008E113D"/>
    <w:rsid w:val="008E1EAA"/>
    <w:rsid w:val="008E35FB"/>
    <w:rsid w:val="008E4359"/>
    <w:rsid w:val="008E4978"/>
    <w:rsid w:val="008E5AF2"/>
    <w:rsid w:val="008F0FDB"/>
    <w:rsid w:val="008F19C0"/>
    <w:rsid w:val="008F1BDD"/>
    <w:rsid w:val="008F3018"/>
    <w:rsid w:val="008F3AD0"/>
    <w:rsid w:val="008F51BA"/>
    <w:rsid w:val="008F76DA"/>
    <w:rsid w:val="008F7BCE"/>
    <w:rsid w:val="0090380A"/>
    <w:rsid w:val="00911556"/>
    <w:rsid w:val="00914666"/>
    <w:rsid w:val="009155AB"/>
    <w:rsid w:val="009161C4"/>
    <w:rsid w:val="00916A49"/>
    <w:rsid w:val="00917C23"/>
    <w:rsid w:val="009257DC"/>
    <w:rsid w:val="00926F33"/>
    <w:rsid w:val="00927B95"/>
    <w:rsid w:val="00930ADE"/>
    <w:rsid w:val="00931B11"/>
    <w:rsid w:val="00934AA3"/>
    <w:rsid w:val="00934E5E"/>
    <w:rsid w:val="009350A4"/>
    <w:rsid w:val="00935EE9"/>
    <w:rsid w:val="009374EF"/>
    <w:rsid w:val="00941D57"/>
    <w:rsid w:val="0094240D"/>
    <w:rsid w:val="00942D64"/>
    <w:rsid w:val="00945965"/>
    <w:rsid w:val="009459C7"/>
    <w:rsid w:val="00945CBF"/>
    <w:rsid w:val="009463C1"/>
    <w:rsid w:val="0094658F"/>
    <w:rsid w:val="00946A09"/>
    <w:rsid w:val="009473C4"/>
    <w:rsid w:val="00947A6A"/>
    <w:rsid w:val="00950490"/>
    <w:rsid w:val="009519C5"/>
    <w:rsid w:val="00952F01"/>
    <w:rsid w:val="00953957"/>
    <w:rsid w:val="00956B92"/>
    <w:rsid w:val="00964645"/>
    <w:rsid w:val="009678C6"/>
    <w:rsid w:val="00970484"/>
    <w:rsid w:val="00970CAD"/>
    <w:rsid w:val="00975365"/>
    <w:rsid w:val="0097598F"/>
    <w:rsid w:val="00976037"/>
    <w:rsid w:val="00980328"/>
    <w:rsid w:val="009869DA"/>
    <w:rsid w:val="00986B4C"/>
    <w:rsid w:val="00991311"/>
    <w:rsid w:val="00992E0C"/>
    <w:rsid w:val="00996BD6"/>
    <w:rsid w:val="00997ECF"/>
    <w:rsid w:val="009A2335"/>
    <w:rsid w:val="009A3563"/>
    <w:rsid w:val="009A35C1"/>
    <w:rsid w:val="009A4025"/>
    <w:rsid w:val="009A47A8"/>
    <w:rsid w:val="009A50C1"/>
    <w:rsid w:val="009B5A5E"/>
    <w:rsid w:val="009C048F"/>
    <w:rsid w:val="009C5D4E"/>
    <w:rsid w:val="009C7481"/>
    <w:rsid w:val="009D07C0"/>
    <w:rsid w:val="009E1AE5"/>
    <w:rsid w:val="009F06CC"/>
    <w:rsid w:val="009F134B"/>
    <w:rsid w:val="009F23E5"/>
    <w:rsid w:val="009F3175"/>
    <w:rsid w:val="009F3CCA"/>
    <w:rsid w:val="009F5C9F"/>
    <w:rsid w:val="009F6714"/>
    <w:rsid w:val="00A01B65"/>
    <w:rsid w:val="00A020E7"/>
    <w:rsid w:val="00A02E6F"/>
    <w:rsid w:val="00A03895"/>
    <w:rsid w:val="00A048B9"/>
    <w:rsid w:val="00A119C1"/>
    <w:rsid w:val="00A168DC"/>
    <w:rsid w:val="00A16944"/>
    <w:rsid w:val="00A16EB4"/>
    <w:rsid w:val="00A205D6"/>
    <w:rsid w:val="00A20A86"/>
    <w:rsid w:val="00A21B90"/>
    <w:rsid w:val="00A21FF7"/>
    <w:rsid w:val="00A245AF"/>
    <w:rsid w:val="00A32C38"/>
    <w:rsid w:val="00A335BB"/>
    <w:rsid w:val="00A33E3F"/>
    <w:rsid w:val="00A360FD"/>
    <w:rsid w:val="00A41B56"/>
    <w:rsid w:val="00A41F0E"/>
    <w:rsid w:val="00A420BD"/>
    <w:rsid w:val="00A456D7"/>
    <w:rsid w:val="00A46F74"/>
    <w:rsid w:val="00A50335"/>
    <w:rsid w:val="00A53891"/>
    <w:rsid w:val="00A55AEA"/>
    <w:rsid w:val="00A55F32"/>
    <w:rsid w:val="00A560AE"/>
    <w:rsid w:val="00A57593"/>
    <w:rsid w:val="00A60387"/>
    <w:rsid w:val="00A62722"/>
    <w:rsid w:val="00A64C18"/>
    <w:rsid w:val="00A654B3"/>
    <w:rsid w:val="00A6574C"/>
    <w:rsid w:val="00A662B1"/>
    <w:rsid w:val="00A74BEF"/>
    <w:rsid w:val="00A77019"/>
    <w:rsid w:val="00A77F89"/>
    <w:rsid w:val="00A805AE"/>
    <w:rsid w:val="00A84150"/>
    <w:rsid w:val="00A85401"/>
    <w:rsid w:val="00A85BF2"/>
    <w:rsid w:val="00A86746"/>
    <w:rsid w:val="00A93C85"/>
    <w:rsid w:val="00A96C10"/>
    <w:rsid w:val="00A97394"/>
    <w:rsid w:val="00A9774D"/>
    <w:rsid w:val="00A97E8A"/>
    <w:rsid w:val="00AA18CB"/>
    <w:rsid w:val="00AA6C40"/>
    <w:rsid w:val="00AA757C"/>
    <w:rsid w:val="00AB1882"/>
    <w:rsid w:val="00AB280B"/>
    <w:rsid w:val="00AB30FE"/>
    <w:rsid w:val="00AB582E"/>
    <w:rsid w:val="00AC1E6C"/>
    <w:rsid w:val="00AC5DA7"/>
    <w:rsid w:val="00AC618A"/>
    <w:rsid w:val="00AC7136"/>
    <w:rsid w:val="00AC7960"/>
    <w:rsid w:val="00AC7CD0"/>
    <w:rsid w:val="00AD0253"/>
    <w:rsid w:val="00AD69C6"/>
    <w:rsid w:val="00AE3F53"/>
    <w:rsid w:val="00AE7641"/>
    <w:rsid w:val="00AE7F67"/>
    <w:rsid w:val="00AF1DD3"/>
    <w:rsid w:val="00B00250"/>
    <w:rsid w:val="00B0187B"/>
    <w:rsid w:val="00B02AE4"/>
    <w:rsid w:val="00B02BC0"/>
    <w:rsid w:val="00B03AED"/>
    <w:rsid w:val="00B04764"/>
    <w:rsid w:val="00B06984"/>
    <w:rsid w:val="00B10828"/>
    <w:rsid w:val="00B13BCD"/>
    <w:rsid w:val="00B14C64"/>
    <w:rsid w:val="00B1703F"/>
    <w:rsid w:val="00B21123"/>
    <w:rsid w:val="00B2161C"/>
    <w:rsid w:val="00B260D4"/>
    <w:rsid w:val="00B26380"/>
    <w:rsid w:val="00B26814"/>
    <w:rsid w:val="00B270E3"/>
    <w:rsid w:val="00B27260"/>
    <w:rsid w:val="00B27797"/>
    <w:rsid w:val="00B30E34"/>
    <w:rsid w:val="00B326D9"/>
    <w:rsid w:val="00B338F5"/>
    <w:rsid w:val="00B33E9A"/>
    <w:rsid w:val="00B4225F"/>
    <w:rsid w:val="00B45DA1"/>
    <w:rsid w:val="00B4798E"/>
    <w:rsid w:val="00B5233D"/>
    <w:rsid w:val="00B5253A"/>
    <w:rsid w:val="00B57127"/>
    <w:rsid w:val="00B675F8"/>
    <w:rsid w:val="00B75498"/>
    <w:rsid w:val="00B807FA"/>
    <w:rsid w:val="00B940DF"/>
    <w:rsid w:val="00B94C4E"/>
    <w:rsid w:val="00B9590C"/>
    <w:rsid w:val="00BA0D68"/>
    <w:rsid w:val="00BA1034"/>
    <w:rsid w:val="00BA1B70"/>
    <w:rsid w:val="00BA29BF"/>
    <w:rsid w:val="00BA4643"/>
    <w:rsid w:val="00BA563C"/>
    <w:rsid w:val="00BA5890"/>
    <w:rsid w:val="00BA6C14"/>
    <w:rsid w:val="00BB17F8"/>
    <w:rsid w:val="00BB480E"/>
    <w:rsid w:val="00BB534F"/>
    <w:rsid w:val="00BC0DA8"/>
    <w:rsid w:val="00BD0FB9"/>
    <w:rsid w:val="00BD6311"/>
    <w:rsid w:val="00BD7A6C"/>
    <w:rsid w:val="00BE076A"/>
    <w:rsid w:val="00BE129C"/>
    <w:rsid w:val="00BE2071"/>
    <w:rsid w:val="00BE2EC4"/>
    <w:rsid w:val="00BE5D97"/>
    <w:rsid w:val="00BE6799"/>
    <w:rsid w:val="00BE6D17"/>
    <w:rsid w:val="00BF028B"/>
    <w:rsid w:val="00BF0583"/>
    <w:rsid w:val="00BF13EE"/>
    <w:rsid w:val="00BF2415"/>
    <w:rsid w:val="00BF2B57"/>
    <w:rsid w:val="00BF3DBD"/>
    <w:rsid w:val="00BF62AA"/>
    <w:rsid w:val="00C01EB1"/>
    <w:rsid w:val="00C0608C"/>
    <w:rsid w:val="00C06978"/>
    <w:rsid w:val="00C118C3"/>
    <w:rsid w:val="00C12D04"/>
    <w:rsid w:val="00C15EB6"/>
    <w:rsid w:val="00C17655"/>
    <w:rsid w:val="00C21E57"/>
    <w:rsid w:val="00C24B95"/>
    <w:rsid w:val="00C265C6"/>
    <w:rsid w:val="00C30B9F"/>
    <w:rsid w:val="00C311DD"/>
    <w:rsid w:val="00C33B0C"/>
    <w:rsid w:val="00C3426F"/>
    <w:rsid w:val="00C354D9"/>
    <w:rsid w:val="00C356E8"/>
    <w:rsid w:val="00C36DB1"/>
    <w:rsid w:val="00C37F1A"/>
    <w:rsid w:val="00C406AD"/>
    <w:rsid w:val="00C42FEC"/>
    <w:rsid w:val="00C4595B"/>
    <w:rsid w:val="00C45BB3"/>
    <w:rsid w:val="00C47ED0"/>
    <w:rsid w:val="00C50354"/>
    <w:rsid w:val="00C515C2"/>
    <w:rsid w:val="00C52D21"/>
    <w:rsid w:val="00C533B8"/>
    <w:rsid w:val="00C633EF"/>
    <w:rsid w:val="00C65F50"/>
    <w:rsid w:val="00C67CCE"/>
    <w:rsid w:val="00C703C3"/>
    <w:rsid w:val="00C70ED1"/>
    <w:rsid w:val="00C73496"/>
    <w:rsid w:val="00C7593B"/>
    <w:rsid w:val="00C75F56"/>
    <w:rsid w:val="00C775CA"/>
    <w:rsid w:val="00C800F9"/>
    <w:rsid w:val="00C805E9"/>
    <w:rsid w:val="00C82522"/>
    <w:rsid w:val="00C82898"/>
    <w:rsid w:val="00C833D1"/>
    <w:rsid w:val="00C8553A"/>
    <w:rsid w:val="00C92443"/>
    <w:rsid w:val="00C9314A"/>
    <w:rsid w:val="00C93BA9"/>
    <w:rsid w:val="00C94397"/>
    <w:rsid w:val="00C95B92"/>
    <w:rsid w:val="00C972E8"/>
    <w:rsid w:val="00C973CE"/>
    <w:rsid w:val="00C97E43"/>
    <w:rsid w:val="00CA1CCC"/>
    <w:rsid w:val="00CA2103"/>
    <w:rsid w:val="00CA2C8F"/>
    <w:rsid w:val="00CA34E7"/>
    <w:rsid w:val="00CA4FCC"/>
    <w:rsid w:val="00CA63F9"/>
    <w:rsid w:val="00CB13B6"/>
    <w:rsid w:val="00CB1D31"/>
    <w:rsid w:val="00CB38E9"/>
    <w:rsid w:val="00CB4AE1"/>
    <w:rsid w:val="00CB4FD9"/>
    <w:rsid w:val="00CB6605"/>
    <w:rsid w:val="00CB6B37"/>
    <w:rsid w:val="00CC296A"/>
    <w:rsid w:val="00CC4DE9"/>
    <w:rsid w:val="00CC767C"/>
    <w:rsid w:val="00CD1F00"/>
    <w:rsid w:val="00CD482C"/>
    <w:rsid w:val="00CD4FE2"/>
    <w:rsid w:val="00CD5E2A"/>
    <w:rsid w:val="00CE1221"/>
    <w:rsid w:val="00CE143E"/>
    <w:rsid w:val="00CE357D"/>
    <w:rsid w:val="00CE3EDA"/>
    <w:rsid w:val="00CE580B"/>
    <w:rsid w:val="00CE5888"/>
    <w:rsid w:val="00CF1CB1"/>
    <w:rsid w:val="00CF7CD6"/>
    <w:rsid w:val="00D00624"/>
    <w:rsid w:val="00D0105C"/>
    <w:rsid w:val="00D02BE9"/>
    <w:rsid w:val="00D036F1"/>
    <w:rsid w:val="00D12B27"/>
    <w:rsid w:val="00D12E0A"/>
    <w:rsid w:val="00D14134"/>
    <w:rsid w:val="00D2144E"/>
    <w:rsid w:val="00D22E7A"/>
    <w:rsid w:val="00D25105"/>
    <w:rsid w:val="00D27D96"/>
    <w:rsid w:val="00D30F0A"/>
    <w:rsid w:val="00D31138"/>
    <w:rsid w:val="00D3309D"/>
    <w:rsid w:val="00D34EE2"/>
    <w:rsid w:val="00D3665E"/>
    <w:rsid w:val="00D40201"/>
    <w:rsid w:val="00D40E84"/>
    <w:rsid w:val="00D420AC"/>
    <w:rsid w:val="00D47318"/>
    <w:rsid w:val="00D47C30"/>
    <w:rsid w:val="00D50EDF"/>
    <w:rsid w:val="00D53820"/>
    <w:rsid w:val="00D55A33"/>
    <w:rsid w:val="00D6496F"/>
    <w:rsid w:val="00D657F5"/>
    <w:rsid w:val="00D66856"/>
    <w:rsid w:val="00D67DE9"/>
    <w:rsid w:val="00D70AEB"/>
    <w:rsid w:val="00D73F67"/>
    <w:rsid w:val="00D75F77"/>
    <w:rsid w:val="00D931DA"/>
    <w:rsid w:val="00D956DD"/>
    <w:rsid w:val="00D95F9D"/>
    <w:rsid w:val="00D9650B"/>
    <w:rsid w:val="00D97078"/>
    <w:rsid w:val="00DA10CD"/>
    <w:rsid w:val="00DA28F7"/>
    <w:rsid w:val="00DA3E15"/>
    <w:rsid w:val="00DA45C4"/>
    <w:rsid w:val="00DA4C1D"/>
    <w:rsid w:val="00DA5B00"/>
    <w:rsid w:val="00DB0598"/>
    <w:rsid w:val="00DB1876"/>
    <w:rsid w:val="00DB30C7"/>
    <w:rsid w:val="00DB3F79"/>
    <w:rsid w:val="00DB49EE"/>
    <w:rsid w:val="00DB692E"/>
    <w:rsid w:val="00DB7E9F"/>
    <w:rsid w:val="00DC3FEC"/>
    <w:rsid w:val="00DC4FDA"/>
    <w:rsid w:val="00DC6621"/>
    <w:rsid w:val="00DC6E74"/>
    <w:rsid w:val="00DD04E4"/>
    <w:rsid w:val="00DD463F"/>
    <w:rsid w:val="00DD4FF7"/>
    <w:rsid w:val="00DD5108"/>
    <w:rsid w:val="00DE03DC"/>
    <w:rsid w:val="00DE0CCB"/>
    <w:rsid w:val="00DE0DE4"/>
    <w:rsid w:val="00DE46AA"/>
    <w:rsid w:val="00DE4E8A"/>
    <w:rsid w:val="00DE67CB"/>
    <w:rsid w:val="00DF053B"/>
    <w:rsid w:val="00DF3266"/>
    <w:rsid w:val="00DF4BCB"/>
    <w:rsid w:val="00DF5132"/>
    <w:rsid w:val="00E014FA"/>
    <w:rsid w:val="00E01B1C"/>
    <w:rsid w:val="00E03BCA"/>
    <w:rsid w:val="00E04C1D"/>
    <w:rsid w:val="00E11212"/>
    <w:rsid w:val="00E13CFE"/>
    <w:rsid w:val="00E20D16"/>
    <w:rsid w:val="00E20E91"/>
    <w:rsid w:val="00E2282B"/>
    <w:rsid w:val="00E24552"/>
    <w:rsid w:val="00E25512"/>
    <w:rsid w:val="00E273EE"/>
    <w:rsid w:val="00E3268E"/>
    <w:rsid w:val="00E32D2D"/>
    <w:rsid w:val="00E35FAB"/>
    <w:rsid w:val="00E378AA"/>
    <w:rsid w:val="00E37C0B"/>
    <w:rsid w:val="00E41F6B"/>
    <w:rsid w:val="00E429FC"/>
    <w:rsid w:val="00E447DD"/>
    <w:rsid w:val="00E459E8"/>
    <w:rsid w:val="00E510E7"/>
    <w:rsid w:val="00E52D75"/>
    <w:rsid w:val="00E53371"/>
    <w:rsid w:val="00E651FA"/>
    <w:rsid w:val="00E70C3A"/>
    <w:rsid w:val="00E731C0"/>
    <w:rsid w:val="00E739FD"/>
    <w:rsid w:val="00E74B9C"/>
    <w:rsid w:val="00E7508B"/>
    <w:rsid w:val="00E751AD"/>
    <w:rsid w:val="00E75F5C"/>
    <w:rsid w:val="00E81356"/>
    <w:rsid w:val="00E83132"/>
    <w:rsid w:val="00E85B3A"/>
    <w:rsid w:val="00E906B7"/>
    <w:rsid w:val="00E92C23"/>
    <w:rsid w:val="00E94365"/>
    <w:rsid w:val="00EA28D1"/>
    <w:rsid w:val="00EA483C"/>
    <w:rsid w:val="00EB05FC"/>
    <w:rsid w:val="00EB2E88"/>
    <w:rsid w:val="00EB3E5E"/>
    <w:rsid w:val="00EB51B0"/>
    <w:rsid w:val="00EB7EC9"/>
    <w:rsid w:val="00EC02BD"/>
    <w:rsid w:val="00EC1BE9"/>
    <w:rsid w:val="00ED472C"/>
    <w:rsid w:val="00ED4D63"/>
    <w:rsid w:val="00ED5A51"/>
    <w:rsid w:val="00ED5C26"/>
    <w:rsid w:val="00ED7259"/>
    <w:rsid w:val="00EE052A"/>
    <w:rsid w:val="00EE4503"/>
    <w:rsid w:val="00EE616A"/>
    <w:rsid w:val="00EF0457"/>
    <w:rsid w:val="00EF1A54"/>
    <w:rsid w:val="00EF2DD2"/>
    <w:rsid w:val="00EF35A7"/>
    <w:rsid w:val="00EF38A1"/>
    <w:rsid w:val="00EF3B8E"/>
    <w:rsid w:val="00EF4E28"/>
    <w:rsid w:val="00EF62E5"/>
    <w:rsid w:val="00EF7212"/>
    <w:rsid w:val="00F00B24"/>
    <w:rsid w:val="00F01768"/>
    <w:rsid w:val="00F03B06"/>
    <w:rsid w:val="00F056E6"/>
    <w:rsid w:val="00F05B80"/>
    <w:rsid w:val="00F06984"/>
    <w:rsid w:val="00F1074F"/>
    <w:rsid w:val="00F15731"/>
    <w:rsid w:val="00F21328"/>
    <w:rsid w:val="00F21D14"/>
    <w:rsid w:val="00F2784D"/>
    <w:rsid w:val="00F301B1"/>
    <w:rsid w:val="00F31C65"/>
    <w:rsid w:val="00F31D78"/>
    <w:rsid w:val="00F32401"/>
    <w:rsid w:val="00F32B96"/>
    <w:rsid w:val="00F331FC"/>
    <w:rsid w:val="00F37290"/>
    <w:rsid w:val="00F4024D"/>
    <w:rsid w:val="00F41F65"/>
    <w:rsid w:val="00F44123"/>
    <w:rsid w:val="00F45346"/>
    <w:rsid w:val="00F5125F"/>
    <w:rsid w:val="00F51CDA"/>
    <w:rsid w:val="00F55505"/>
    <w:rsid w:val="00F55844"/>
    <w:rsid w:val="00F62259"/>
    <w:rsid w:val="00F62F1A"/>
    <w:rsid w:val="00F63BDD"/>
    <w:rsid w:val="00F64BA3"/>
    <w:rsid w:val="00F66D78"/>
    <w:rsid w:val="00F67C5B"/>
    <w:rsid w:val="00F67FCF"/>
    <w:rsid w:val="00F708DB"/>
    <w:rsid w:val="00F70EAE"/>
    <w:rsid w:val="00F75A6E"/>
    <w:rsid w:val="00F776D3"/>
    <w:rsid w:val="00F77C41"/>
    <w:rsid w:val="00F804BA"/>
    <w:rsid w:val="00F80E25"/>
    <w:rsid w:val="00F84432"/>
    <w:rsid w:val="00F85890"/>
    <w:rsid w:val="00F906C6"/>
    <w:rsid w:val="00F91338"/>
    <w:rsid w:val="00F94260"/>
    <w:rsid w:val="00F946B7"/>
    <w:rsid w:val="00F9513E"/>
    <w:rsid w:val="00F97FB0"/>
    <w:rsid w:val="00FA0A67"/>
    <w:rsid w:val="00FA1FBA"/>
    <w:rsid w:val="00FA3082"/>
    <w:rsid w:val="00FA3B7E"/>
    <w:rsid w:val="00FA5D0C"/>
    <w:rsid w:val="00FB4A35"/>
    <w:rsid w:val="00FB4EBA"/>
    <w:rsid w:val="00FB7DD6"/>
    <w:rsid w:val="00FC42D5"/>
    <w:rsid w:val="00FC6011"/>
    <w:rsid w:val="00FC6769"/>
    <w:rsid w:val="00FD2245"/>
    <w:rsid w:val="00FD47F4"/>
    <w:rsid w:val="00FD7A4A"/>
    <w:rsid w:val="00FE021F"/>
    <w:rsid w:val="00FE111A"/>
    <w:rsid w:val="00FE39B8"/>
    <w:rsid w:val="00FE51AC"/>
    <w:rsid w:val="00FE6B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A4335"/>
  <w15:chartTrackingRefBased/>
  <w15:docId w15:val="{6D06C33A-08D1-1C41-BB8A-E2E8B8944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432A"/>
    <w:rPr>
      <w:rFonts w:ascii="Times New Roman" w:eastAsia="Times New Roman" w:hAnsi="Times New Roman" w:cs="Times New Roman"/>
    </w:rPr>
  </w:style>
  <w:style w:type="paragraph" w:styleId="Heading1">
    <w:name w:val="heading 1"/>
    <w:basedOn w:val="Normal"/>
    <w:next w:val="Normal"/>
    <w:link w:val="Heading1Char"/>
    <w:qFormat/>
    <w:rsid w:val="009B5A5E"/>
    <w:pPr>
      <w:keepNext/>
      <w:spacing w:before="240" w:after="60"/>
      <w:outlineLvl w:val="0"/>
    </w:pPr>
    <w:rPr>
      <w:rFonts w:eastAsia="SimSun"/>
      <w:b/>
      <w:bCs/>
      <w:kern w:val="32"/>
    </w:rPr>
  </w:style>
  <w:style w:type="paragraph" w:styleId="Heading2">
    <w:name w:val="heading 2"/>
    <w:basedOn w:val="Normal"/>
    <w:next w:val="Normal"/>
    <w:link w:val="Heading2Char"/>
    <w:semiHidden/>
    <w:qFormat/>
    <w:rsid w:val="009B5A5E"/>
    <w:pPr>
      <w:keepNext/>
      <w:spacing w:before="240" w:after="60"/>
      <w:outlineLvl w:val="1"/>
    </w:pPr>
    <w:rPr>
      <w:rFonts w:ascii="Cambria" w:eastAsia="SimSun" w:hAnsi="Cambria"/>
      <w:b/>
      <w:bCs/>
      <w:i/>
      <w:iCs/>
      <w:sz w:val="28"/>
      <w:szCs w:val="28"/>
    </w:rPr>
  </w:style>
  <w:style w:type="paragraph" w:styleId="Heading3">
    <w:name w:val="heading 3"/>
    <w:basedOn w:val="Normal"/>
    <w:next w:val="Normal"/>
    <w:link w:val="Heading3Char"/>
    <w:semiHidden/>
    <w:qFormat/>
    <w:rsid w:val="009B5A5E"/>
    <w:pPr>
      <w:keepNext/>
      <w:spacing w:line="480" w:lineRule="auto"/>
      <w:outlineLvl w:val="2"/>
    </w:pPr>
    <w:rPr>
      <w:rFonts w:ascii="Times" w:eastAsia="Times" w:hAnsi="Times"/>
      <w:b/>
      <w:szCs w:val="20"/>
    </w:rPr>
  </w:style>
  <w:style w:type="paragraph" w:styleId="Heading4">
    <w:name w:val="heading 4"/>
    <w:basedOn w:val="Normal"/>
    <w:next w:val="Normal"/>
    <w:link w:val="Heading4Char"/>
    <w:semiHidden/>
    <w:qFormat/>
    <w:rsid w:val="009B5A5E"/>
    <w:pPr>
      <w:keepNext/>
      <w:spacing w:line="480" w:lineRule="auto"/>
      <w:outlineLvl w:val="3"/>
    </w:pPr>
    <w:rPr>
      <w:rFonts w:ascii="Times" w:eastAsia="SimSun" w:hAnsi="Times"/>
      <w:b/>
      <w:color w:val="0000FF"/>
      <w:sz w:val="44"/>
      <w:szCs w:val="20"/>
    </w:rPr>
  </w:style>
  <w:style w:type="paragraph" w:styleId="Heading5">
    <w:name w:val="heading 5"/>
    <w:basedOn w:val="Normal"/>
    <w:next w:val="Normal"/>
    <w:link w:val="Heading5Char"/>
    <w:semiHidden/>
    <w:qFormat/>
    <w:rsid w:val="009B5A5E"/>
    <w:pPr>
      <w:spacing w:before="240" w:after="60"/>
      <w:outlineLvl w:val="4"/>
    </w:pPr>
    <w:rPr>
      <w:rFonts w:ascii="Calibri" w:eastAsia="SimSun" w:hAnsi="Calibri"/>
      <w:b/>
      <w:bCs/>
      <w:i/>
      <w:iCs/>
      <w:sz w:val="26"/>
      <w:szCs w:val="26"/>
    </w:rPr>
  </w:style>
  <w:style w:type="paragraph" w:styleId="Heading6">
    <w:name w:val="heading 6"/>
    <w:basedOn w:val="Normal"/>
    <w:next w:val="Normal"/>
    <w:link w:val="Heading6Char"/>
    <w:semiHidden/>
    <w:qFormat/>
    <w:rsid w:val="009B5A5E"/>
    <w:pPr>
      <w:spacing w:before="240" w:after="60"/>
      <w:outlineLvl w:val="5"/>
    </w:pPr>
    <w:rPr>
      <w:rFonts w:ascii="Calibri" w:eastAsia="SimSun" w:hAnsi="Calibri"/>
      <w:b/>
      <w:bCs/>
      <w:sz w:val="22"/>
      <w:szCs w:val="22"/>
    </w:rPr>
  </w:style>
  <w:style w:type="paragraph" w:styleId="Heading7">
    <w:name w:val="heading 7"/>
    <w:basedOn w:val="Normal"/>
    <w:next w:val="Normal"/>
    <w:link w:val="Heading7Char"/>
    <w:semiHidden/>
    <w:qFormat/>
    <w:rsid w:val="009B5A5E"/>
    <w:pPr>
      <w:spacing w:before="240" w:after="60"/>
      <w:outlineLvl w:val="6"/>
    </w:pPr>
    <w:rPr>
      <w:rFonts w:ascii="Calibri" w:eastAsia="SimSun" w:hAnsi="Calibri"/>
    </w:rPr>
  </w:style>
  <w:style w:type="paragraph" w:styleId="Heading8">
    <w:name w:val="heading 8"/>
    <w:basedOn w:val="Normal"/>
    <w:next w:val="Normal"/>
    <w:link w:val="Heading8Char"/>
    <w:semiHidden/>
    <w:qFormat/>
    <w:rsid w:val="009B5A5E"/>
    <w:pPr>
      <w:spacing w:before="240" w:after="60"/>
      <w:outlineLvl w:val="7"/>
    </w:pPr>
    <w:rPr>
      <w:rFonts w:ascii="Calibri" w:eastAsia="SimSun" w:hAnsi="Calibri"/>
      <w:i/>
      <w:iCs/>
    </w:rPr>
  </w:style>
  <w:style w:type="paragraph" w:styleId="Heading9">
    <w:name w:val="heading 9"/>
    <w:basedOn w:val="Normal"/>
    <w:next w:val="Normal"/>
    <w:link w:val="Heading9Char"/>
    <w:semiHidden/>
    <w:qFormat/>
    <w:rsid w:val="009B5A5E"/>
    <w:pPr>
      <w:spacing w:before="240" w:after="60"/>
      <w:outlineLvl w:val="8"/>
    </w:pPr>
    <w:rPr>
      <w:rFonts w:ascii="Cambria" w:eastAsia="SimSu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4A4CB0"/>
    <w:rPr>
      <w:sz w:val="16"/>
      <w:szCs w:val="16"/>
    </w:rPr>
  </w:style>
  <w:style w:type="paragraph" w:styleId="CommentText">
    <w:name w:val="annotation text"/>
    <w:basedOn w:val="Normal"/>
    <w:link w:val="CommentTextChar"/>
    <w:unhideWhenUsed/>
    <w:rsid w:val="004A4CB0"/>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rsid w:val="004A4CB0"/>
    <w:rPr>
      <w:sz w:val="20"/>
      <w:szCs w:val="20"/>
    </w:rPr>
  </w:style>
  <w:style w:type="paragraph" w:styleId="CommentSubject">
    <w:name w:val="annotation subject"/>
    <w:basedOn w:val="CommentText"/>
    <w:next w:val="CommentText"/>
    <w:link w:val="CommentSubjectChar"/>
    <w:semiHidden/>
    <w:unhideWhenUsed/>
    <w:rsid w:val="004A4CB0"/>
    <w:rPr>
      <w:b/>
      <w:bCs/>
    </w:rPr>
  </w:style>
  <w:style w:type="character" w:customStyle="1" w:styleId="CommentSubjectChar">
    <w:name w:val="Comment Subject Char"/>
    <w:basedOn w:val="CommentTextChar"/>
    <w:link w:val="CommentSubject"/>
    <w:semiHidden/>
    <w:rsid w:val="004A4CB0"/>
    <w:rPr>
      <w:b/>
      <w:bCs/>
      <w:sz w:val="20"/>
      <w:szCs w:val="20"/>
    </w:rPr>
  </w:style>
  <w:style w:type="character" w:styleId="Hyperlink">
    <w:name w:val="Hyperlink"/>
    <w:basedOn w:val="DefaultParagraphFont"/>
    <w:unhideWhenUsed/>
    <w:rsid w:val="00C118C3"/>
    <w:rPr>
      <w:color w:val="0563C1" w:themeColor="hyperlink"/>
      <w:u w:val="single"/>
    </w:rPr>
  </w:style>
  <w:style w:type="paragraph" w:styleId="ListParagraph">
    <w:name w:val="List Paragraph"/>
    <w:basedOn w:val="Normal"/>
    <w:uiPriority w:val="34"/>
    <w:qFormat/>
    <w:rsid w:val="00A335BB"/>
    <w:pPr>
      <w:spacing w:after="160" w:line="259" w:lineRule="auto"/>
      <w:ind w:left="720"/>
      <w:contextualSpacing/>
    </w:pPr>
    <w:rPr>
      <w:rFonts w:asciiTheme="minorHAnsi" w:eastAsiaTheme="minorEastAsia" w:hAnsiTheme="minorHAnsi" w:cstheme="minorBidi"/>
      <w:sz w:val="22"/>
      <w:szCs w:val="22"/>
    </w:rPr>
  </w:style>
  <w:style w:type="character" w:styleId="FollowedHyperlink">
    <w:name w:val="FollowedHyperlink"/>
    <w:basedOn w:val="DefaultParagraphFont"/>
    <w:semiHidden/>
    <w:unhideWhenUsed/>
    <w:rsid w:val="00941D57"/>
    <w:rPr>
      <w:color w:val="954F72" w:themeColor="followedHyperlink"/>
      <w:u w:val="single"/>
    </w:rPr>
  </w:style>
  <w:style w:type="paragraph" w:styleId="Revision">
    <w:name w:val="Revision"/>
    <w:hidden/>
    <w:uiPriority w:val="99"/>
    <w:semiHidden/>
    <w:rsid w:val="00F776D3"/>
  </w:style>
  <w:style w:type="character" w:customStyle="1" w:styleId="UnresolvedMention1">
    <w:name w:val="Unresolved Mention1"/>
    <w:basedOn w:val="DefaultParagraphFont"/>
    <w:uiPriority w:val="99"/>
    <w:semiHidden/>
    <w:unhideWhenUsed/>
    <w:rsid w:val="004D4002"/>
    <w:rPr>
      <w:color w:val="605E5C"/>
      <w:shd w:val="clear" w:color="auto" w:fill="E1DFDD"/>
    </w:rPr>
  </w:style>
  <w:style w:type="character" w:customStyle="1" w:styleId="apple-converted-space">
    <w:name w:val="apple-converted-space"/>
    <w:basedOn w:val="DefaultParagraphFont"/>
    <w:rsid w:val="004F2B2A"/>
  </w:style>
  <w:style w:type="character" w:customStyle="1" w:styleId="nlmstring-name">
    <w:name w:val="nlm_string-name"/>
    <w:basedOn w:val="DefaultParagraphFont"/>
    <w:rsid w:val="00782F28"/>
  </w:style>
  <w:style w:type="character" w:customStyle="1" w:styleId="nlmyear">
    <w:name w:val="nlm_year"/>
    <w:basedOn w:val="DefaultParagraphFont"/>
    <w:rsid w:val="00782F28"/>
  </w:style>
  <w:style w:type="character" w:customStyle="1" w:styleId="nlmfpage">
    <w:name w:val="nlm_fpage"/>
    <w:basedOn w:val="DefaultParagraphFont"/>
    <w:rsid w:val="00782F28"/>
  </w:style>
  <w:style w:type="character" w:customStyle="1" w:styleId="nlmlpage">
    <w:name w:val="nlm_lpage"/>
    <w:basedOn w:val="DefaultParagraphFont"/>
    <w:rsid w:val="00782F28"/>
  </w:style>
  <w:style w:type="character" w:styleId="Strong">
    <w:name w:val="Strong"/>
    <w:basedOn w:val="DefaultParagraphFont"/>
    <w:uiPriority w:val="22"/>
    <w:qFormat/>
    <w:rsid w:val="006A5503"/>
    <w:rPr>
      <w:b/>
      <w:bCs/>
    </w:rPr>
  </w:style>
  <w:style w:type="character" w:styleId="Emphasis">
    <w:name w:val="Emphasis"/>
    <w:basedOn w:val="DefaultParagraphFont"/>
    <w:uiPriority w:val="20"/>
    <w:qFormat/>
    <w:rsid w:val="006A5503"/>
    <w:rPr>
      <w:i/>
      <w:iCs/>
    </w:rPr>
  </w:style>
  <w:style w:type="paragraph" w:customStyle="1" w:styleId="Authors">
    <w:name w:val="Authors"/>
    <w:basedOn w:val="Normal"/>
    <w:rsid w:val="003929BB"/>
    <w:pPr>
      <w:spacing w:before="120" w:after="360"/>
      <w:jc w:val="center"/>
    </w:pPr>
  </w:style>
  <w:style w:type="paragraph" w:customStyle="1" w:styleId="Paragraph">
    <w:name w:val="Paragraph"/>
    <w:basedOn w:val="Normal"/>
    <w:rsid w:val="003929BB"/>
    <w:pPr>
      <w:spacing w:before="120"/>
      <w:ind w:firstLine="720"/>
    </w:pPr>
  </w:style>
  <w:style w:type="paragraph" w:customStyle="1" w:styleId="Head">
    <w:name w:val="Head"/>
    <w:basedOn w:val="Normal"/>
    <w:rsid w:val="003929BB"/>
    <w:pPr>
      <w:keepNext/>
      <w:spacing w:before="120" w:after="120"/>
      <w:jc w:val="center"/>
      <w:outlineLvl w:val="0"/>
    </w:pPr>
    <w:rPr>
      <w:b/>
      <w:bCs/>
      <w:kern w:val="28"/>
      <w:sz w:val="28"/>
      <w:szCs w:val="28"/>
    </w:rPr>
  </w:style>
  <w:style w:type="paragraph" w:customStyle="1" w:styleId="Acknowledgement">
    <w:name w:val="Acknowledgement"/>
    <w:basedOn w:val="Normal"/>
    <w:rsid w:val="00E74B9C"/>
    <w:pPr>
      <w:spacing w:before="120"/>
      <w:ind w:left="720" w:hanging="720"/>
    </w:pPr>
  </w:style>
  <w:style w:type="paragraph" w:styleId="Bibliography">
    <w:name w:val="Bibliography"/>
    <w:basedOn w:val="Normal"/>
    <w:next w:val="Normal"/>
    <w:uiPriority w:val="37"/>
    <w:unhideWhenUsed/>
    <w:rsid w:val="00D95F9D"/>
    <w:pPr>
      <w:tabs>
        <w:tab w:val="left" w:pos="380"/>
      </w:tabs>
      <w:spacing w:line="480" w:lineRule="auto"/>
      <w:ind w:left="384" w:hanging="384"/>
    </w:pPr>
  </w:style>
  <w:style w:type="paragraph" w:styleId="BalloonText">
    <w:name w:val="Balloon Text"/>
    <w:basedOn w:val="Normal"/>
    <w:link w:val="BalloonTextChar"/>
    <w:semiHidden/>
    <w:unhideWhenUsed/>
    <w:rsid w:val="0040691E"/>
    <w:rPr>
      <w:rFonts w:ascii="Segoe UI" w:hAnsi="Segoe UI" w:cs="Segoe UI"/>
      <w:sz w:val="18"/>
      <w:szCs w:val="18"/>
    </w:rPr>
  </w:style>
  <w:style w:type="character" w:customStyle="1" w:styleId="BalloonTextChar">
    <w:name w:val="Balloon Text Char"/>
    <w:basedOn w:val="DefaultParagraphFont"/>
    <w:link w:val="BalloonText"/>
    <w:semiHidden/>
    <w:rsid w:val="0040691E"/>
    <w:rPr>
      <w:rFonts w:ascii="Segoe UI" w:eastAsia="Times New Roman" w:hAnsi="Segoe UI" w:cs="Segoe UI"/>
      <w:sz w:val="18"/>
      <w:szCs w:val="18"/>
    </w:rPr>
  </w:style>
  <w:style w:type="character" w:customStyle="1" w:styleId="Heading1Char">
    <w:name w:val="Heading 1 Char"/>
    <w:basedOn w:val="DefaultParagraphFont"/>
    <w:link w:val="Heading1"/>
    <w:rsid w:val="009B5A5E"/>
    <w:rPr>
      <w:rFonts w:ascii="Times New Roman" w:eastAsia="SimSun" w:hAnsi="Times New Roman" w:cs="Times New Roman"/>
      <w:b/>
      <w:bCs/>
      <w:kern w:val="32"/>
    </w:rPr>
  </w:style>
  <w:style w:type="character" w:customStyle="1" w:styleId="Heading2Char">
    <w:name w:val="Heading 2 Char"/>
    <w:basedOn w:val="DefaultParagraphFont"/>
    <w:link w:val="Heading2"/>
    <w:semiHidden/>
    <w:rsid w:val="009B5A5E"/>
    <w:rPr>
      <w:rFonts w:ascii="Cambria" w:eastAsia="SimSun" w:hAnsi="Cambria" w:cs="Times New Roman"/>
      <w:b/>
      <w:bCs/>
      <w:i/>
      <w:iCs/>
      <w:sz w:val="28"/>
      <w:szCs w:val="28"/>
    </w:rPr>
  </w:style>
  <w:style w:type="character" w:customStyle="1" w:styleId="Heading3Char">
    <w:name w:val="Heading 3 Char"/>
    <w:basedOn w:val="DefaultParagraphFont"/>
    <w:link w:val="Heading3"/>
    <w:semiHidden/>
    <w:rsid w:val="009B5A5E"/>
    <w:rPr>
      <w:rFonts w:ascii="Times" w:eastAsia="Times" w:hAnsi="Times" w:cs="Times New Roman"/>
      <w:b/>
      <w:szCs w:val="20"/>
    </w:rPr>
  </w:style>
  <w:style w:type="character" w:customStyle="1" w:styleId="Heading4Char">
    <w:name w:val="Heading 4 Char"/>
    <w:basedOn w:val="DefaultParagraphFont"/>
    <w:link w:val="Heading4"/>
    <w:semiHidden/>
    <w:rsid w:val="009B5A5E"/>
    <w:rPr>
      <w:rFonts w:ascii="Times" w:eastAsia="SimSun" w:hAnsi="Times" w:cs="Times New Roman"/>
      <w:b/>
      <w:color w:val="0000FF"/>
      <w:sz w:val="44"/>
      <w:szCs w:val="20"/>
    </w:rPr>
  </w:style>
  <w:style w:type="character" w:customStyle="1" w:styleId="Heading5Char">
    <w:name w:val="Heading 5 Char"/>
    <w:basedOn w:val="DefaultParagraphFont"/>
    <w:link w:val="Heading5"/>
    <w:semiHidden/>
    <w:rsid w:val="009B5A5E"/>
    <w:rPr>
      <w:rFonts w:ascii="Calibri" w:eastAsia="SimSun" w:hAnsi="Calibri" w:cs="Times New Roman"/>
      <w:b/>
      <w:bCs/>
      <w:i/>
      <w:iCs/>
      <w:sz w:val="26"/>
      <w:szCs w:val="26"/>
    </w:rPr>
  </w:style>
  <w:style w:type="character" w:customStyle="1" w:styleId="Heading6Char">
    <w:name w:val="Heading 6 Char"/>
    <w:basedOn w:val="DefaultParagraphFont"/>
    <w:link w:val="Heading6"/>
    <w:semiHidden/>
    <w:rsid w:val="009B5A5E"/>
    <w:rPr>
      <w:rFonts w:ascii="Calibri" w:eastAsia="SimSun" w:hAnsi="Calibri" w:cs="Times New Roman"/>
      <w:b/>
      <w:bCs/>
      <w:sz w:val="22"/>
      <w:szCs w:val="22"/>
    </w:rPr>
  </w:style>
  <w:style w:type="character" w:customStyle="1" w:styleId="Heading7Char">
    <w:name w:val="Heading 7 Char"/>
    <w:basedOn w:val="DefaultParagraphFont"/>
    <w:link w:val="Heading7"/>
    <w:semiHidden/>
    <w:rsid w:val="009B5A5E"/>
    <w:rPr>
      <w:rFonts w:ascii="Calibri" w:eastAsia="SimSun" w:hAnsi="Calibri" w:cs="Times New Roman"/>
    </w:rPr>
  </w:style>
  <w:style w:type="character" w:customStyle="1" w:styleId="Heading8Char">
    <w:name w:val="Heading 8 Char"/>
    <w:basedOn w:val="DefaultParagraphFont"/>
    <w:link w:val="Heading8"/>
    <w:semiHidden/>
    <w:rsid w:val="009B5A5E"/>
    <w:rPr>
      <w:rFonts w:ascii="Calibri" w:eastAsia="SimSun" w:hAnsi="Calibri" w:cs="Times New Roman"/>
      <w:i/>
      <w:iCs/>
    </w:rPr>
  </w:style>
  <w:style w:type="character" w:customStyle="1" w:styleId="Heading9Char">
    <w:name w:val="Heading 9 Char"/>
    <w:basedOn w:val="DefaultParagraphFont"/>
    <w:link w:val="Heading9"/>
    <w:semiHidden/>
    <w:rsid w:val="009B5A5E"/>
    <w:rPr>
      <w:rFonts w:ascii="Cambria" w:eastAsia="SimSun" w:hAnsi="Cambria" w:cs="Times New Roman"/>
      <w:sz w:val="22"/>
      <w:szCs w:val="22"/>
    </w:rPr>
  </w:style>
  <w:style w:type="character" w:styleId="PageNumber">
    <w:name w:val="page number"/>
    <w:basedOn w:val="DefaultParagraphFont"/>
    <w:semiHidden/>
    <w:rsid w:val="009B5A5E"/>
  </w:style>
  <w:style w:type="paragraph" w:customStyle="1" w:styleId="SMHeading">
    <w:name w:val="SM Heading"/>
    <w:basedOn w:val="Heading1"/>
    <w:qFormat/>
    <w:rsid w:val="009B5A5E"/>
  </w:style>
  <w:style w:type="paragraph" w:customStyle="1" w:styleId="SMSubheading">
    <w:name w:val="SM Subheading"/>
    <w:basedOn w:val="Normal"/>
    <w:qFormat/>
    <w:rsid w:val="009B5A5E"/>
    <w:rPr>
      <w:rFonts w:eastAsia="SimSun"/>
      <w:szCs w:val="20"/>
      <w:u w:val="words"/>
    </w:rPr>
  </w:style>
  <w:style w:type="paragraph" w:customStyle="1" w:styleId="SMText">
    <w:name w:val="SM Text"/>
    <w:basedOn w:val="Normal"/>
    <w:qFormat/>
    <w:rsid w:val="009B5A5E"/>
    <w:pPr>
      <w:ind w:firstLine="480"/>
    </w:pPr>
    <w:rPr>
      <w:rFonts w:eastAsia="SimSun"/>
      <w:szCs w:val="20"/>
    </w:rPr>
  </w:style>
  <w:style w:type="paragraph" w:customStyle="1" w:styleId="SMcaption">
    <w:name w:val="SM caption"/>
    <w:basedOn w:val="SMText"/>
    <w:qFormat/>
    <w:rsid w:val="009B5A5E"/>
    <w:pPr>
      <w:ind w:firstLine="0"/>
    </w:pPr>
  </w:style>
  <w:style w:type="paragraph" w:styleId="BlockText">
    <w:name w:val="Block Text"/>
    <w:basedOn w:val="Normal"/>
    <w:semiHidden/>
    <w:rsid w:val="009B5A5E"/>
    <w:pPr>
      <w:spacing w:after="120"/>
      <w:ind w:left="1440" w:right="1440"/>
    </w:pPr>
    <w:rPr>
      <w:rFonts w:eastAsia="SimSun"/>
      <w:szCs w:val="20"/>
    </w:rPr>
  </w:style>
  <w:style w:type="paragraph" w:styleId="BodyText">
    <w:name w:val="Body Text"/>
    <w:basedOn w:val="Normal"/>
    <w:link w:val="BodyTextChar"/>
    <w:semiHidden/>
    <w:rsid w:val="009B5A5E"/>
    <w:pPr>
      <w:spacing w:after="120"/>
    </w:pPr>
    <w:rPr>
      <w:rFonts w:eastAsia="SimSun"/>
      <w:szCs w:val="20"/>
    </w:rPr>
  </w:style>
  <w:style w:type="character" w:customStyle="1" w:styleId="BodyTextChar">
    <w:name w:val="Body Text Char"/>
    <w:basedOn w:val="DefaultParagraphFont"/>
    <w:link w:val="BodyText"/>
    <w:semiHidden/>
    <w:rsid w:val="009B5A5E"/>
    <w:rPr>
      <w:rFonts w:ascii="Times New Roman" w:eastAsia="SimSun" w:hAnsi="Times New Roman" w:cs="Times New Roman"/>
      <w:szCs w:val="20"/>
    </w:rPr>
  </w:style>
  <w:style w:type="paragraph" w:styleId="BodyText2">
    <w:name w:val="Body Text 2"/>
    <w:basedOn w:val="Normal"/>
    <w:link w:val="BodyText2Char"/>
    <w:semiHidden/>
    <w:rsid w:val="009B5A5E"/>
    <w:pPr>
      <w:spacing w:after="120" w:line="480" w:lineRule="auto"/>
    </w:pPr>
    <w:rPr>
      <w:rFonts w:eastAsia="SimSun"/>
      <w:szCs w:val="20"/>
    </w:rPr>
  </w:style>
  <w:style w:type="character" w:customStyle="1" w:styleId="BodyText2Char">
    <w:name w:val="Body Text 2 Char"/>
    <w:basedOn w:val="DefaultParagraphFont"/>
    <w:link w:val="BodyText2"/>
    <w:semiHidden/>
    <w:rsid w:val="009B5A5E"/>
    <w:rPr>
      <w:rFonts w:ascii="Times New Roman" w:eastAsia="SimSun" w:hAnsi="Times New Roman" w:cs="Times New Roman"/>
      <w:szCs w:val="20"/>
    </w:rPr>
  </w:style>
  <w:style w:type="paragraph" w:styleId="BodyText3">
    <w:name w:val="Body Text 3"/>
    <w:basedOn w:val="Normal"/>
    <w:link w:val="BodyText3Char"/>
    <w:semiHidden/>
    <w:rsid w:val="009B5A5E"/>
    <w:pPr>
      <w:spacing w:after="120"/>
    </w:pPr>
    <w:rPr>
      <w:rFonts w:eastAsia="SimSun"/>
      <w:sz w:val="16"/>
      <w:szCs w:val="16"/>
    </w:rPr>
  </w:style>
  <w:style w:type="character" w:customStyle="1" w:styleId="BodyText3Char">
    <w:name w:val="Body Text 3 Char"/>
    <w:basedOn w:val="DefaultParagraphFont"/>
    <w:link w:val="BodyText3"/>
    <w:semiHidden/>
    <w:rsid w:val="009B5A5E"/>
    <w:rPr>
      <w:rFonts w:ascii="Times New Roman" w:eastAsia="SimSun" w:hAnsi="Times New Roman" w:cs="Times New Roman"/>
      <w:sz w:val="16"/>
      <w:szCs w:val="16"/>
    </w:rPr>
  </w:style>
  <w:style w:type="paragraph" w:styleId="BodyTextFirstIndent">
    <w:name w:val="Body Text First Indent"/>
    <w:basedOn w:val="BodyText"/>
    <w:link w:val="BodyTextFirstIndentChar"/>
    <w:semiHidden/>
    <w:rsid w:val="009B5A5E"/>
    <w:pPr>
      <w:ind w:firstLine="210"/>
    </w:pPr>
  </w:style>
  <w:style w:type="character" w:customStyle="1" w:styleId="BodyTextFirstIndentChar">
    <w:name w:val="Body Text First Indent Char"/>
    <w:basedOn w:val="BodyTextChar"/>
    <w:link w:val="BodyTextFirstIndent"/>
    <w:semiHidden/>
    <w:rsid w:val="009B5A5E"/>
    <w:rPr>
      <w:rFonts w:ascii="Times New Roman" w:eastAsia="SimSun" w:hAnsi="Times New Roman" w:cs="Times New Roman"/>
      <w:szCs w:val="20"/>
    </w:rPr>
  </w:style>
  <w:style w:type="paragraph" w:styleId="BodyTextIndent">
    <w:name w:val="Body Text Indent"/>
    <w:basedOn w:val="Normal"/>
    <w:link w:val="BodyTextIndentChar"/>
    <w:semiHidden/>
    <w:rsid w:val="009B5A5E"/>
    <w:pPr>
      <w:spacing w:after="120"/>
      <w:ind w:left="360"/>
    </w:pPr>
    <w:rPr>
      <w:rFonts w:eastAsia="SimSun"/>
      <w:szCs w:val="20"/>
    </w:rPr>
  </w:style>
  <w:style w:type="character" w:customStyle="1" w:styleId="BodyTextIndentChar">
    <w:name w:val="Body Text Indent Char"/>
    <w:basedOn w:val="DefaultParagraphFont"/>
    <w:link w:val="BodyTextIndent"/>
    <w:semiHidden/>
    <w:rsid w:val="009B5A5E"/>
    <w:rPr>
      <w:rFonts w:ascii="Times New Roman" w:eastAsia="SimSun" w:hAnsi="Times New Roman" w:cs="Times New Roman"/>
      <w:szCs w:val="20"/>
    </w:rPr>
  </w:style>
  <w:style w:type="paragraph" w:styleId="BodyTextFirstIndent2">
    <w:name w:val="Body Text First Indent 2"/>
    <w:basedOn w:val="BodyTextIndent"/>
    <w:link w:val="BodyTextFirstIndent2Char"/>
    <w:semiHidden/>
    <w:rsid w:val="009B5A5E"/>
    <w:pPr>
      <w:ind w:firstLine="210"/>
    </w:pPr>
  </w:style>
  <w:style w:type="character" w:customStyle="1" w:styleId="BodyTextFirstIndent2Char">
    <w:name w:val="Body Text First Indent 2 Char"/>
    <w:basedOn w:val="BodyTextIndentChar"/>
    <w:link w:val="BodyTextFirstIndent2"/>
    <w:semiHidden/>
    <w:rsid w:val="009B5A5E"/>
    <w:rPr>
      <w:rFonts w:ascii="Times New Roman" w:eastAsia="SimSun" w:hAnsi="Times New Roman" w:cs="Times New Roman"/>
      <w:szCs w:val="20"/>
    </w:rPr>
  </w:style>
  <w:style w:type="paragraph" w:styleId="BodyTextIndent2">
    <w:name w:val="Body Text Indent 2"/>
    <w:basedOn w:val="Normal"/>
    <w:link w:val="BodyTextIndent2Char"/>
    <w:semiHidden/>
    <w:rsid w:val="009B5A5E"/>
    <w:pPr>
      <w:spacing w:after="120" w:line="480" w:lineRule="auto"/>
      <w:ind w:left="360"/>
    </w:pPr>
    <w:rPr>
      <w:rFonts w:eastAsia="SimSun"/>
      <w:szCs w:val="20"/>
    </w:rPr>
  </w:style>
  <w:style w:type="character" w:customStyle="1" w:styleId="BodyTextIndent2Char">
    <w:name w:val="Body Text Indent 2 Char"/>
    <w:basedOn w:val="DefaultParagraphFont"/>
    <w:link w:val="BodyTextIndent2"/>
    <w:semiHidden/>
    <w:rsid w:val="009B5A5E"/>
    <w:rPr>
      <w:rFonts w:ascii="Times New Roman" w:eastAsia="SimSun" w:hAnsi="Times New Roman" w:cs="Times New Roman"/>
      <w:szCs w:val="20"/>
    </w:rPr>
  </w:style>
  <w:style w:type="paragraph" w:styleId="BodyTextIndent3">
    <w:name w:val="Body Text Indent 3"/>
    <w:basedOn w:val="Normal"/>
    <w:link w:val="BodyTextIndent3Char"/>
    <w:semiHidden/>
    <w:rsid w:val="009B5A5E"/>
    <w:pPr>
      <w:spacing w:after="120"/>
      <w:ind w:left="360"/>
    </w:pPr>
    <w:rPr>
      <w:rFonts w:eastAsia="SimSun"/>
      <w:sz w:val="16"/>
      <w:szCs w:val="16"/>
    </w:rPr>
  </w:style>
  <w:style w:type="character" w:customStyle="1" w:styleId="BodyTextIndent3Char">
    <w:name w:val="Body Text Indent 3 Char"/>
    <w:basedOn w:val="DefaultParagraphFont"/>
    <w:link w:val="BodyTextIndent3"/>
    <w:semiHidden/>
    <w:rsid w:val="009B5A5E"/>
    <w:rPr>
      <w:rFonts w:ascii="Times New Roman" w:eastAsia="SimSun" w:hAnsi="Times New Roman" w:cs="Times New Roman"/>
      <w:sz w:val="16"/>
      <w:szCs w:val="16"/>
    </w:rPr>
  </w:style>
  <w:style w:type="paragraph" w:styleId="Caption">
    <w:name w:val="caption"/>
    <w:basedOn w:val="Normal"/>
    <w:next w:val="Normal"/>
    <w:semiHidden/>
    <w:qFormat/>
    <w:rsid w:val="009B5A5E"/>
    <w:rPr>
      <w:rFonts w:eastAsia="SimSun"/>
      <w:b/>
      <w:bCs/>
      <w:sz w:val="20"/>
      <w:szCs w:val="20"/>
    </w:rPr>
  </w:style>
  <w:style w:type="paragraph" w:styleId="Closing">
    <w:name w:val="Closing"/>
    <w:basedOn w:val="Normal"/>
    <w:link w:val="ClosingChar"/>
    <w:semiHidden/>
    <w:rsid w:val="009B5A5E"/>
    <w:pPr>
      <w:ind w:left="4320"/>
    </w:pPr>
    <w:rPr>
      <w:rFonts w:eastAsia="SimSun"/>
      <w:szCs w:val="20"/>
    </w:rPr>
  </w:style>
  <w:style w:type="character" w:customStyle="1" w:styleId="ClosingChar">
    <w:name w:val="Closing Char"/>
    <w:basedOn w:val="DefaultParagraphFont"/>
    <w:link w:val="Closing"/>
    <w:semiHidden/>
    <w:rsid w:val="009B5A5E"/>
    <w:rPr>
      <w:rFonts w:ascii="Times New Roman" w:eastAsia="SimSun" w:hAnsi="Times New Roman" w:cs="Times New Roman"/>
      <w:szCs w:val="20"/>
    </w:rPr>
  </w:style>
  <w:style w:type="paragraph" w:styleId="Date">
    <w:name w:val="Date"/>
    <w:basedOn w:val="Normal"/>
    <w:next w:val="Normal"/>
    <w:link w:val="DateChar"/>
    <w:semiHidden/>
    <w:rsid w:val="009B5A5E"/>
    <w:rPr>
      <w:rFonts w:eastAsia="SimSun"/>
      <w:szCs w:val="20"/>
    </w:rPr>
  </w:style>
  <w:style w:type="character" w:customStyle="1" w:styleId="DateChar">
    <w:name w:val="Date Char"/>
    <w:basedOn w:val="DefaultParagraphFont"/>
    <w:link w:val="Date"/>
    <w:semiHidden/>
    <w:rsid w:val="009B5A5E"/>
    <w:rPr>
      <w:rFonts w:ascii="Times New Roman" w:eastAsia="SimSun" w:hAnsi="Times New Roman" w:cs="Times New Roman"/>
      <w:szCs w:val="20"/>
    </w:rPr>
  </w:style>
  <w:style w:type="paragraph" w:styleId="DocumentMap">
    <w:name w:val="Document Map"/>
    <w:basedOn w:val="Normal"/>
    <w:link w:val="DocumentMapChar"/>
    <w:semiHidden/>
    <w:rsid w:val="009B5A5E"/>
    <w:rPr>
      <w:rFonts w:ascii="Tahoma" w:eastAsia="SimSun" w:hAnsi="Tahoma" w:cs="Tahoma"/>
      <w:sz w:val="16"/>
      <w:szCs w:val="16"/>
    </w:rPr>
  </w:style>
  <w:style w:type="character" w:customStyle="1" w:styleId="DocumentMapChar">
    <w:name w:val="Document Map Char"/>
    <w:basedOn w:val="DefaultParagraphFont"/>
    <w:link w:val="DocumentMap"/>
    <w:semiHidden/>
    <w:rsid w:val="009B5A5E"/>
    <w:rPr>
      <w:rFonts w:ascii="Tahoma" w:eastAsia="SimSun" w:hAnsi="Tahoma" w:cs="Tahoma"/>
      <w:sz w:val="16"/>
      <w:szCs w:val="16"/>
    </w:rPr>
  </w:style>
  <w:style w:type="paragraph" w:styleId="E-mailSignature">
    <w:name w:val="E-mail Signature"/>
    <w:basedOn w:val="Normal"/>
    <w:link w:val="E-mailSignatureChar"/>
    <w:semiHidden/>
    <w:rsid w:val="009B5A5E"/>
    <w:rPr>
      <w:rFonts w:eastAsia="SimSun"/>
      <w:szCs w:val="20"/>
    </w:rPr>
  </w:style>
  <w:style w:type="character" w:customStyle="1" w:styleId="E-mailSignatureChar">
    <w:name w:val="E-mail Signature Char"/>
    <w:basedOn w:val="DefaultParagraphFont"/>
    <w:link w:val="E-mailSignature"/>
    <w:semiHidden/>
    <w:rsid w:val="009B5A5E"/>
    <w:rPr>
      <w:rFonts w:ascii="Times New Roman" w:eastAsia="SimSun" w:hAnsi="Times New Roman" w:cs="Times New Roman"/>
      <w:szCs w:val="20"/>
    </w:rPr>
  </w:style>
  <w:style w:type="paragraph" w:styleId="EndnoteText">
    <w:name w:val="endnote text"/>
    <w:basedOn w:val="Normal"/>
    <w:link w:val="EndnoteTextChar"/>
    <w:semiHidden/>
    <w:rsid w:val="009B5A5E"/>
    <w:rPr>
      <w:rFonts w:eastAsia="SimSun"/>
      <w:sz w:val="20"/>
      <w:szCs w:val="20"/>
    </w:rPr>
  </w:style>
  <w:style w:type="character" w:customStyle="1" w:styleId="EndnoteTextChar">
    <w:name w:val="Endnote Text Char"/>
    <w:basedOn w:val="DefaultParagraphFont"/>
    <w:link w:val="EndnoteText"/>
    <w:semiHidden/>
    <w:rsid w:val="009B5A5E"/>
    <w:rPr>
      <w:rFonts w:ascii="Times New Roman" w:eastAsia="SimSun" w:hAnsi="Times New Roman" w:cs="Times New Roman"/>
      <w:sz w:val="20"/>
      <w:szCs w:val="20"/>
    </w:rPr>
  </w:style>
  <w:style w:type="paragraph" w:styleId="EnvelopeAddress">
    <w:name w:val="envelope address"/>
    <w:basedOn w:val="Normal"/>
    <w:semiHidden/>
    <w:rsid w:val="009B5A5E"/>
    <w:pPr>
      <w:framePr w:w="7920" w:h="1980" w:hRule="exact" w:hSpace="180" w:wrap="auto" w:hAnchor="page" w:xAlign="center" w:yAlign="bottom"/>
      <w:ind w:left="2880"/>
    </w:pPr>
    <w:rPr>
      <w:rFonts w:ascii="Cambria" w:eastAsia="SimSun" w:hAnsi="Cambria"/>
    </w:rPr>
  </w:style>
  <w:style w:type="paragraph" w:styleId="EnvelopeReturn">
    <w:name w:val="envelope return"/>
    <w:basedOn w:val="Normal"/>
    <w:semiHidden/>
    <w:rsid w:val="009B5A5E"/>
    <w:rPr>
      <w:rFonts w:ascii="Cambria" w:eastAsia="SimSun" w:hAnsi="Cambria"/>
      <w:sz w:val="20"/>
      <w:szCs w:val="20"/>
    </w:rPr>
  </w:style>
  <w:style w:type="paragraph" w:styleId="Footer">
    <w:name w:val="footer"/>
    <w:basedOn w:val="Normal"/>
    <w:link w:val="FooterChar"/>
    <w:semiHidden/>
    <w:rsid w:val="009B5A5E"/>
    <w:pPr>
      <w:tabs>
        <w:tab w:val="center" w:pos="4680"/>
        <w:tab w:val="right" w:pos="9360"/>
      </w:tabs>
    </w:pPr>
    <w:rPr>
      <w:rFonts w:eastAsia="SimSun"/>
      <w:szCs w:val="20"/>
    </w:rPr>
  </w:style>
  <w:style w:type="character" w:customStyle="1" w:styleId="FooterChar">
    <w:name w:val="Footer Char"/>
    <w:basedOn w:val="DefaultParagraphFont"/>
    <w:link w:val="Footer"/>
    <w:semiHidden/>
    <w:rsid w:val="009B5A5E"/>
    <w:rPr>
      <w:rFonts w:ascii="Times New Roman" w:eastAsia="SimSun" w:hAnsi="Times New Roman" w:cs="Times New Roman"/>
      <w:szCs w:val="20"/>
    </w:rPr>
  </w:style>
  <w:style w:type="paragraph" w:styleId="FootnoteText">
    <w:name w:val="footnote text"/>
    <w:basedOn w:val="Normal"/>
    <w:link w:val="FootnoteTextChar"/>
    <w:semiHidden/>
    <w:rsid w:val="009B5A5E"/>
    <w:rPr>
      <w:rFonts w:eastAsia="SimSun"/>
      <w:sz w:val="20"/>
      <w:szCs w:val="20"/>
    </w:rPr>
  </w:style>
  <w:style w:type="character" w:customStyle="1" w:styleId="FootnoteTextChar">
    <w:name w:val="Footnote Text Char"/>
    <w:basedOn w:val="DefaultParagraphFont"/>
    <w:link w:val="FootnoteText"/>
    <w:semiHidden/>
    <w:rsid w:val="009B5A5E"/>
    <w:rPr>
      <w:rFonts w:ascii="Times New Roman" w:eastAsia="SimSun" w:hAnsi="Times New Roman" w:cs="Times New Roman"/>
      <w:sz w:val="20"/>
      <w:szCs w:val="20"/>
    </w:rPr>
  </w:style>
  <w:style w:type="paragraph" w:styleId="Header">
    <w:name w:val="header"/>
    <w:basedOn w:val="Normal"/>
    <w:link w:val="HeaderChar"/>
    <w:semiHidden/>
    <w:rsid w:val="009B5A5E"/>
    <w:pPr>
      <w:tabs>
        <w:tab w:val="center" w:pos="4680"/>
        <w:tab w:val="right" w:pos="9360"/>
      </w:tabs>
    </w:pPr>
    <w:rPr>
      <w:rFonts w:eastAsia="SimSun"/>
      <w:szCs w:val="20"/>
    </w:rPr>
  </w:style>
  <w:style w:type="character" w:customStyle="1" w:styleId="HeaderChar">
    <w:name w:val="Header Char"/>
    <w:basedOn w:val="DefaultParagraphFont"/>
    <w:link w:val="Header"/>
    <w:semiHidden/>
    <w:rsid w:val="009B5A5E"/>
    <w:rPr>
      <w:rFonts w:ascii="Times New Roman" w:eastAsia="SimSun" w:hAnsi="Times New Roman" w:cs="Times New Roman"/>
      <w:szCs w:val="20"/>
    </w:rPr>
  </w:style>
  <w:style w:type="paragraph" w:styleId="HTMLAddress">
    <w:name w:val="HTML Address"/>
    <w:basedOn w:val="Normal"/>
    <w:link w:val="HTMLAddressChar"/>
    <w:semiHidden/>
    <w:rsid w:val="009B5A5E"/>
    <w:rPr>
      <w:rFonts w:eastAsia="SimSun"/>
      <w:i/>
      <w:iCs/>
      <w:szCs w:val="20"/>
    </w:rPr>
  </w:style>
  <w:style w:type="character" w:customStyle="1" w:styleId="HTMLAddressChar">
    <w:name w:val="HTML Address Char"/>
    <w:basedOn w:val="DefaultParagraphFont"/>
    <w:link w:val="HTMLAddress"/>
    <w:semiHidden/>
    <w:rsid w:val="009B5A5E"/>
    <w:rPr>
      <w:rFonts w:ascii="Times New Roman" w:eastAsia="SimSun" w:hAnsi="Times New Roman" w:cs="Times New Roman"/>
      <w:i/>
      <w:iCs/>
      <w:szCs w:val="20"/>
    </w:rPr>
  </w:style>
  <w:style w:type="paragraph" w:styleId="HTMLPreformatted">
    <w:name w:val="HTML Preformatted"/>
    <w:basedOn w:val="Normal"/>
    <w:link w:val="HTMLPreformattedChar"/>
    <w:semiHidden/>
    <w:rsid w:val="009B5A5E"/>
    <w:rPr>
      <w:rFonts w:ascii="Courier New" w:eastAsia="SimSun" w:hAnsi="Courier New" w:cs="Courier New"/>
      <w:sz w:val="20"/>
      <w:szCs w:val="20"/>
    </w:rPr>
  </w:style>
  <w:style w:type="character" w:customStyle="1" w:styleId="HTMLPreformattedChar">
    <w:name w:val="HTML Preformatted Char"/>
    <w:basedOn w:val="DefaultParagraphFont"/>
    <w:link w:val="HTMLPreformatted"/>
    <w:semiHidden/>
    <w:rsid w:val="009B5A5E"/>
    <w:rPr>
      <w:rFonts w:ascii="Courier New" w:eastAsia="SimSun" w:hAnsi="Courier New" w:cs="Courier New"/>
      <w:sz w:val="20"/>
      <w:szCs w:val="20"/>
    </w:rPr>
  </w:style>
  <w:style w:type="paragraph" w:styleId="Index1">
    <w:name w:val="index 1"/>
    <w:basedOn w:val="Normal"/>
    <w:next w:val="Normal"/>
    <w:autoRedefine/>
    <w:semiHidden/>
    <w:rsid w:val="009B5A5E"/>
    <w:pPr>
      <w:ind w:left="240" w:hanging="240"/>
    </w:pPr>
    <w:rPr>
      <w:rFonts w:eastAsia="SimSun"/>
      <w:szCs w:val="20"/>
    </w:rPr>
  </w:style>
  <w:style w:type="paragraph" w:styleId="Index2">
    <w:name w:val="index 2"/>
    <w:basedOn w:val="Normal"/>
    <w:next w:val="Normal"/>
    <w:autoRedefine/>
    <w:semiHidden/>
    <w:rsid w:val="009B5A5E"/>
    <w:pPr>
      <w:ind w:left="480" w:hanging="240"/>
    </w:pPr>
    <w:rPr>
      <w:rFonts w:eastAsia="SimSun"/>
      <w:szCs w:val="20"/>
    </w:rPr>
  </w:style>
  <w:style w:type="paragraph" w:styleId="Index3">
    <w:name w:val="index 3"/>
    <w:basedOn w:val="Normal"/>
    <w:next w:val="Normal"/>
    <w:autoRedefine/>
    <w:semiHidden/>
    <w:rsid w:val="009B5A5E"/>
    <w:pPr>
      <w:ind w:left="720" w:hanging="240"/>
    </w:pPr>
    <w:rPr>
      <w:rFonts w:eastAsia="SimSun"/>
      <w:szCs w:val="20"/>
    </w:rPr>
  </w:style>
  <w:style w:type="paragraph" w:styleId="Index4">
    <w:name w:val="index 4"/>
    <w:basedOn w:val="Normal"/>
    <w:next w:val="Normal"/>
    <w:autoRedefine/>
    <w:semiHidden/>
    <w:rsid w:val="009B5A5E"/>
    <w:pPr>
      <w:ind w:left="960" w:hanging="240"/>
    </w:pPr>
    <w:rPr>
      <w:rFonts w:eastAsia="SimSun"/>
      <w:szCs w:val="20"/>
    </w:rPr>
  </w:style>
  <w:style w:type="paragraph" w:styleId="Index5">
    <w:name w:val="index 5"/>
    <w:basedOn w:val="Normal"/>
    <w:next w:val="Normal"/>
    <w:autoRedefine/>
    <w:semiHidden/>
    <w:rsid w:val="009B5A5E"/>
    <w:pPr>
      <w:ind w:left="1200" w:hanging="240"/>
    </w:pPr>
    <w:rPr>
      <w:rFonts w:eastAsia="SimSun"/>
      <w:szCs w:val="20"/>
    </w:rPr>
  </w:style>
  <w:style w:type="paragraph" w:styleId="Index6">
    <w:name w:val="index 6"/>
    <w:basedOn w:val="Normal"/>
    <w:next w:val="Normal"/>
    <w:autoRedefine/>
    <w:semiHidden/>
    <w:rsid w:val="009B5A5E"/>
    <w:pPr>
      <w:ind w:left="1440" w:hanging="240"/>
    </w:pPr>
    <w:rPr>
      <w:rFonts w:eastAsia="SimSun"/>
      <w:szCs w:val="20"/>
    </w:rPr>
  </w:style>
  <w:style w:type="paragraph" w:styleId="Index7">
    <w:name w:val="index 7"/>
    <w:basedOn w:val="Normal"/>
    <w:next w:val="Normal"/>
    <w:autoRedefine/>
    <w:semiHidden/>
    <w:rsid w:val="009B5A5E"/>
    <w:pPr>
      <w:ind w:left="1680" w:hanging="240"/>
    </w:pPr>
    <w:rPr>
      <w:rFonts w:eastAsia="SimSun"/>
      <w:szCs w:val="20"/>
    </w:rPr>
  </w:style>
  <w:style w:type="paragraph" w:styleId="Index8">
    <w:name w:val="index 8"/>
    <w:basedOn w:val="Normal"/>
    <w:next w:val="Normal"/>
    <w:autoRedefine/>
    <w:semiHidden/>
    <w:rsid w:val="009B5A5E"/>
    <w:pPr>
      <w:ind w:left="1920" w:hanging="240"/>
    </w:pPr>
    <w:rPr>
      <w:rFonts w:eastAsia="SimSun"/>
      <w:szCs w:val="20"/>
    </w:rPr>
  </w:style>
  <w:style w:type="paragraph" w:styleId="Index9">
    <w:name w:val="index 9"/>
    <w:basedOn w:val="Normal"/>
    <w:next w:val="Normal"/>
    <w:autoRedefine/>
    <w:semiHidden/>
    <w:rsid w:val="009B5A5E"/>
    <w:pPr>
      <w:ind w:left="2160" w:hanging="240"/>
    </w:pPr>
    <w:rPr>
      <w:rFonts w:eastAsia="SimSun"/>
      <w:szCs w:val="20"/>
    </w:rPr>
  </w:style>
  <w:style w:type="paragraph" w:styleId="IndexHeading">
    <w:name w:val="index heading"/>
    <w:basedOn w:val="Normal"/>
    <w:next w:val="Index1"/>
    <w:semiHidden/>
    <w:rsid w:val="009B5A5E"/>
    <w:rPr>
      <w:rFonts w:ascii="Cambria" w:eastAsia="SimSun" w:hAnsi="Cambria"/>
      <w:b/>
      <w:bCs/>
      <w:szCs w:val="20"/>
    </w:rPr>
  </w:style>
  <w:style w:type="paragraph" w:styleId="IntenseQuote">
    <w:name w:val="Intense Quote"/>
    <w:basedOn w:val="Normal"/>
    <w:next w:val="Normal"/>
    <w:link w:val="IntenseQuoteChar"/>
    <w:uiPriority w:val="30"/>
    <w:qFormat/>
    <w:rsid w:val="009B5A5E"/>
    <w:pPr>
      <w:pBdr>
        <w:bottom w:val="single" w:sz="4" w:space="4" w:color="4F81BD"/>
      </w:pBdr>
      <w:spacing w:before="200" w:after="280"/>
      <w:ind w:left="936" w:right="936"/>
    </w:pPr>
    <w:rPr>
      <w:rFonts w:eastAsia="SimSun"/>
      <w:b/>
      <w:bCs/>
      <w:i/>
      <w:iCs/>
      <w:color w:val="4F81BD"/>
      <w:szCs w:val="20"/>
    </w:rPr>
  </w:style>
  <w:style w:type="character" w:customStyle="1" w:styleId="IntenseQuoteChar">
    <w:name w:val="Intense Quote Char"/>
    <w:basedOn w:val="DefaultParagraphFont"/>
    <w:link w:val="IntenseQuote"/>
    <w:uiPriority w:val="30"/>
    <w:rsid w:val="009B5A5E"/>
    <w:rPr>
      <w:rFonts w:ascii="Times New Roman" w:eastAsia="SimSun" w:hAnsi="Times New Roman" w:cs="Times New Roman"/>
      <w:b/>
      <w:bCs/>
      <w:i/>
      <w:iCs/>
      <w:color w:val="4F81BD"/>
      <w:szCs w:val="20"/>
    </w:rPr>
  </w:style>
  <w:style w:type="paragraph" w:styleId="List">
    <w:name w:val="List"/>
    <w:basedOn w:val="Normal"/>
    <w:semiHidden/>
    <w:rsid w:val="009B5A5E"/>
    <w:pPr>
      <w:ind w:left="360" w:hanging="360"/>
      <w:contextualSpacing/>
    </w:pPr>
    <w:rPr>
      <w:rFonts w:eastAsia="SimSun"/>
      <w:szCs w:val="20"/>
    </w:rPr>
  </w:style>
  <w:style w:type="paragraph" w:styleId="List2">
    <w:name w:val="List 2"/>
    <w:basedOn w:val="Normal"/>
    <w:semiHidden/>
    <w:rsid w:val="009B5A5E"/>
    <w:pPr>
      <w:ind w:left="720" w:hanging="360"/>
      <w:contextualSpacing/>
    </w:pPr>
    <w:rPr>
      <w:rFonts w:eastAsia="SimSun"/>
      <w:szCs w:val="20"/>
    </w:rPr>
  </w:style>
  <w:style w:type="paragraph" w:styleId="List3">
    <w:name w:val="List 3"/>
    <w:basedOn w:val="Normal"/>
    <w:semiHidden/>
    <w:rsid w:val="009B5A5E"/>
    <w:pPr>
      <w:ind w:left="1080" w:hanging="360"/>
      <w:contextualSpacing/>
    </w:pPr>
    <w:rPr>
      <w:rFonts w:eastAsia="SimSun"/>
      <w:szCs w:val="20"/>
    </w:rPr>
  </w:style>
  <w:style w:type="paragraph" w:styleId="List4">
    <w:name w:val="List 4"/>
    <w:basedOn w:val="Normal"/>
    <w:semiHidden/>
    <w:rsid w:val="009B5A5E"/>
    <w:pPr>
      <w:ind w:left="1440" w:hanging="360"/>
      <w:contextualSpacing/>
    </w:pPr>
    <w:rPr>
      <w:rFonts w:eastAsia="SimSun"/>
      <w:szCs w:val="20"/>
    </w:rPr>
  </w:style>
  <w:style w:type="paragraph" w:styleId="List5">
    <w:name w:val="List 5"/>
    <w:basedOn w:val="Normal"/>
    <w:semiHidden/>
    <w:rsid w:val="009B5A5E"/>
    <w:pPr>
      <w:ind w:left="1800" w:hanging="360"/>
      <w:contextualSpacing/>
    </w:pPr>
    <w:rPr>
      <w:rFonts w:eastAsia="SimSun"/>
      <w:szCs w:val="20"/>
    </w:rPr>
  </w:style>
  <w:style w:type="paragraph" w:styleId="ListBullet">
    <w:name w:val="List Bullet"/>
    <w:basedOn w:val="Normal"/>
    <w:semiHidden/>
    <w:rsid w:val="009B5A5E"/>
    <w:pPr>
      <w:numPr>
        <w:numId w:val="1"/>
      </w:numPr>
      <w:contextualSpacing/>
    </w:pPr>
    <w:rPr>
      <w:rFonts w:eastAsia="SimSun"/>
      <w:szCs w:val="20"/>
    </w:rPr>
  </w:style>
  <w:style w:type="paragraph" w:styleId="ListBullet2">
    <w:name w:val="List Bullet 2"/>
    <w:basedOn w:val="Normal"/>
    <w:semiHidden/>
    <w:rsid w:val="009B5A5E"/>
    <w:pPr>
      <w:numPr>
        <w:numId w:val="2"/>
      </w:numPr>
      <w:contextualSpacing/>
    </w:pPr>
    <w:rPr>
      <w:rFonts w:eastAsia="SimSun"/>
      <w:szCs w:val="20"/>
    </w:rPr>
  </w:style>
  <w:style w:type="paragraph" w:styleId="ListBullet3">
    <w:name w:val="List Bullet 3"/>
    <w:basedOn w:val="Normal"/>
    <w:semiHidden/>
    <w:rsid w:val="009B5A5E"/>
    <w:pPr>
      <w:numPr>
        <w:numId w:val="3"/>
      </w:numPr>
      <w:contextualSpacing/>
    </w:pPr>
    <w:rPr>
      <w:rFonts w:eastAsia="SimSun"/>
      <w:szCs w:val="20"/>
    </w:rPr>
  </w:style>
  <w:style w:type="paragraph" w:styleId="ListBullet4">
    <w:name w:val="List Bullet 4"/>
    <w:basedOn w:val="Normal"/>
    <w:semiHidden/>
    <w:rsid w:val="009B5A5E"/>
    <w:pPr>
      <w:numPr>
        <w:numId w:val="4"/>
      </w:numPr>
      <w:contextualSpacing/>
    </w:pPr>
    <w:rPr>
      <w:rFonts w:eastAsia="SimSun"/>
      <w:szCs w:val="20"/>
    </w:rPr>
  </w:style>
  <w:style w:type="paragraph" w:styleId="ListBullet5">
    <w:name w:val="List Bullet 5"/>
    <w:basedOn w:val="Normal"/>
    <w:semiHidden/>
    <w:rsid w:val="009B5A5E"/>
    <w:pPr>
      <w:numPr>
        <w:numId w:val="5"/>
      </w:numPr>
      <w:contextualSpacing/>
    </w:pPr>
    <w:rPr>
      <w:rFonts w:eastAsia="SimSun"/>
      <w:szCs w:val="20"/>
    </w:rPr>
  </w:style>
  <w:style w:type="paragraph" w:styleId="ListContinue">
    <w:name w:val="List Continue"/>
    <w:basedOn w:val="Normal"/>
    <w:semiHidden/>
    <w:rsid w:val="009B5A5E"/>
    <w:pPr>
      <w:spacing w:after="120"/>
      <w:ind w:left="360"/>
      <w:contextualSpacing/>
    </w:pPr>
    <w:rPr>
      <w:rFonts w:eastAsia="SimSun"/>
      <w:szCs w:val="20"/>
    </w:rPr>
  </w:style>
  <w:style w:type="paragraph" w:styleId="ListContinue2">
    <w:name w:val="List Continue 2"/>
    <w:basedOn w:val="Normal"/>
    <w:semiHidden/>
    <w:rsid w:val="009B5A5E"/>
    <w:pPr>
      <w:spacing w:after="120"/>
      <w:ind w:left="720"/>
      <w:contextualSpacing/>
    </w:pPr>
    <w:rPr>
      <w:rFonts w:eastAsia="SimSun"/>
      <w:szCs w:val="20"/>
    </w:rPr>
  </w:style>
  <w:style w:type="paragraph" w:styleId="ListContinue3">
    <w:name w:val="List Continue 3"/>
    <w:basedOn w:val="Normal"/>
    <w:semiHidden/>
    <w:rsid w:val="009B5A5E"/>
    <w:pPr>
      <w:spacing w:after="120"/>
      <w:ind w:left="1080"/>
      <w:contextualSpacing/>
    </w:pPr>
    <w:rPr>
      <w:rFonts w:eastAsia="SimSun"/>
      <w:szCs w:val="20"/>
    </w:rPr>
  </w:style>
  <w:style w:type="paragraph" w:styleId="ListContinue4">
    <w:name w:val="List Continue 4"/>
    <w:basedOn w:val="Normal"/>
    <w:semiHidden/>
    <w:rsid w:val="009B5A5E"/>
    <w:pPr>
      <w:spacing w:after="120"/>
      <w:ind w:left="1440"/>
      <w:contextualSpacing/>
    </w:pPr>
    <w:rPr>
      <w:rFonts w:eastAsia="SimSun"/>
      <w:szCs w:val="20"/>
    </w:rPr>
  </w:style>
  <w:style w:type="paragraph" w:styleId="ListContinue5">
    <w:name w:val="List Continue 5"/>
    <w:basedOn w:val="Normal"/>
    <w:semiHidden/>
    <w:rsid w:val="009B5A5E"/>
    <w:pPr>
      <w:spacing w:after="120"/>
      <w:ind w:left="1800"/>
      <w:contextualSpacing/>
    </w:pPr>
    <w:rPr>
      <w:rFonts w:eastAsia="SimSun"/>
      <w:szCs w:val="20"/>
    </w:rPr>
  </w:style>
  <w:style w:type="paragraph" w:styleId="ListNumber">
    <w:name w:val="List Number"/>
    <w:basedOn w:val="Normal"/>
    <w:semiHidden/>
    <w:rsid w:val="009B5A5E"/>
    <w:pPr>
      <w:numPr>
        <w:numId w:val="6"/>
      </w:numPr>
      <w:contextualSpacing/>
    </w:pPr>
    <w:rPr>
      <w:rFonts w:eastAsia="SimSun"/>
      <w:szCs w:val="20"/>
    </w:rPr>
  </w:style>
  <w:style w:type="paragraph" w:styleId="ListNumber2">
    <w:name w:val="List Number 2"/>
    <w:basedOn w:val="Normal"/>
    <w:semiHidden/>
    <w:rsid w:val="009B5A5E"/>
    <w:pPr>
      <w:numPr>
        <w:numId w:val="7"/>
      </w:numPr>
      <w:contextualSpacing/>
    </w:pPr>
    <w:rPr>
      <w:rFonts w:eastAsia="SimSun"/>
      <w:szCs w:val="20"/>
    </w:rPr>
  </w:style>
  <w:style w:type="paragraph" w:styleId="ListNumber3">
    <w:name w:val="List Number 3"/>
    <w:basedOn w:val="Normal"/>
    <w:semiHidden/>
    <w:rsid w:val="009B5A5E"/>
    <w:pPr>
      <w:numPr>
        <w:numId w:val="8"/>
      </w:numPr>
      <w:contextualSpacing/>
    </w:pPr>
    <w:rPr>
      <w:rFonts w:eastAsia="SimSun"/>
      <w:szCs w:val="20"/>
    </w:rPr>
  </w:style>
  <w:style w:type="paragraph" w:styleId="ListNumber4">
    <w:name w:val="List Number 4"/>
    <w:basedOn w:val="Normal"/>
    <w:semiHidden/>
    <w:rsid w:val="009B5A5E"/>
    <w:pPr>
      <w:numPr>
        <w:numId w:val="9"/>
      </w:numPr>
      <w:contextualSpacing/>
    </w:pPr>
    <w:rPr>
      <w:rFonts w:eastAsia="SimSun"/>
      <w:szCs w:val="20"/>
    </w:rPr>
  </w:style>
  <w:style w:type="paragraph" w:styleId="ListNumber5">
    <w:name w:val="List Number 5"/>
    <w:basedOn w:val="Normal"/>
    <w:semiHidden/>
    <w:rsid w:val="009B5A5E"/>
    <w:pPr>
      <w:numPr>
        <w:numId w:val="10"/>
      </w:numPr>
      <w:contextualSpacing/>
    </w:pPr>
    <w:rPr>
      <w:rFonts w:eastAsia="SimSun"/>
      <w:szCs w:val="20"/>
    </w:rPr>
  </w:style>
  <w:style w:type="paragraph" w:styleId="MacroText">
    <w:name w:val="macro"/>
    <w:link w:val="MacroTextChar"/>
    <w:semiHidden/>
    <w:rsid w:val="009B5A5E"/>
    <w:pPr>
      <w:tabs>
        <w:tab w:val="left" w:pos="480"/>
        <w:tab w:val="left" w:pos="960"/>
        <w:tab w:val="left" w:pos="1440"/>
        <w:tab w:val="left" w:pos="1920"/>
        <w:tab w:val="left" w:pos="2400"/>
        <w:tab w:val="left" w:pos="2880"/>
        <w:tab w:val="left" w:pos="3360"/>
        <w:tab w:val="left" w:pos="3840"/>
        <w:tab w:val="left" w:pos="4320"/>
      </w:tabs>
    </w:pPr>
    <w:rPr>
      <w:rFonts w:ascii="Courier New" w:eastAsia="SimSun" w:hAnsi="Courier New" w:cs="Courier New"/>
      <w:sz w:val="20"/>
      <w:szCs w:val="20"/>
    </w:rPr>
  </w:style>
  <w:style w:type="character" w:customStyle="1" w:styleId="MacroTextChar">
    <w:name w:val="Macro Text Char"/>
    <w:basedOn w:val="DefaultParagraphFont"/>
    <w:link w:val="MacroText"/>
    <w:semiHidden/>
    <w:rsid w:val="009B5A5E"/>
    <w:rPr>
      <w:rFonts w:ascii="Courier New" w:eastAsia="SimSun" w:hAnsi="Courier New" w:cs="Courier New"/>
      <w:sz w:val="20"/>
      <w:szCs w:val="20"/>
    </w:rPr>
  </w:style>
  <w:style w:type="paragraph" w:styleId="MessageHeader">
    <w:name w:val="Message Header"/>
    <w:basedOn w:val="Normal"/>
    <w:link w:val="MessageHeaderChar"/>
    <w:semiHidden/>
    <w:rsid w:val="009B5A5E"/>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SimSun" w:hAnsi="Cambria"/>
    </w:rPr>
  </w:style>
  <w:style w:type="character" w:customStyle="1" w:styleId="MessageHeaderChar">
    <w:name w:val="Message Header Char"/>
    <w:basedOn w:val="DefaultParagraphFont"/>
    <w:link w:val="MessageHeader"/>
    <w:semiHidden/>
    <w:rsid w:val="009B5A5E"/>
    <w:rPr>
      <w:rFonts w:ascii="Cambria" w:eastAsia="SimSun" w:hAnsi="Cambria" w:cs="Times New Roman"/>
      <w:shd w:val="pct20" w:color="auto" w:fill="auto"/>
    </w:rPr>
  </w:style>
  <w:style w:type="paragraph" w:styleId="NoSpacing">
    <w:name w:val="No Spacing"/>
    <w:uiPriority w:val="1"/>
    <w:qFormat/>
    <w:rsid w:val="009B5A5E"/>
    <w:rPr>
      <w:rFonts w:ascii="Times New Roman" w:eastAsia="SimSun" w:hAnsi="Times New Roman" w:cs="Times New Roman"/>
      <w:szCs w:val="20"/>
    </w:rPr>
  </w:style>
  <w:style w:type="paragraph" w:styleId="NormalWeb">
    <w:name w:val="Normal (Web)"/>
    <w:basedOn w:val="Normal"/>
    <w:semiHidden/>
    <w:rsid w:val="009B5A5E"/>
    <w:rPr>
      <w:rFonts w:eastAsia="SimSun"/>
    </w:rPr>
  </w:style>
  <w:style w:type="paragraph" w:styleId="NormalIndent">
    <w:name w:val="Normal Indent"/>
    <w:basedOn w:val="Normal"/>
    <w:semiHidden/>
    <w:rsid w:val="009B5A5E"/>
    <w:pPr>
      <w:ind w:left="720"/>
    </w:pPr>
    <w:rPr>
      <w:rFonts w:eastAsia="SimSun"/>
      <w:szCs w:val="20"/>
    </w:rPr>
  </w:style>
  <w:style w:type="paragraph" w:styleId="NoteHeading">
    <w:name w:val="Note Heading"/>
    <w:basedOn w:val="Normal"/>
    <w:next w:val="Normal"/>
    <w:link w:val="NoteHeadingChar"/>
    <w:semiHidden/>
    <w:rsid w:val="009B5A5E"/>
    <w:rPr>
      <w:rFonts w:eastAsia="SimSun"/>
      <w:szCs w:val="20"/>
    </w:rPr>
  </w:style>
  <w:style w:type="character" w:customStyle="1" w:styleId="NoteHeadingChar">
    <w:name w:val="Note Heading Char"/>
    <w:basedOn w:val="DefaultParagraphFont"/>
    <w:link w:val="NoteHeading"/>
    <w:semiHidden/>
    <w:rsid w:val="009B5A5E"/>
    <w:rPr>
      <w:rFonts w:ascii="Times New Roman" w:eastAsia="SimSun" w:hAnsi="Times New Roman" w:cs="Times New Roman"/>
      <w:szCs w:val="20"/>
    </w:rPr>
  </w:style>
  <w:style w:type="paragraph" w:styleId="PlainText">
    <w:name w:val="Plain Text"/>
    <w:basedOn w:val="Normal"/>
    <w:link w:val="PlainTextChar"/>
    <w:semiHidden/>
    <w:rsid w:val="009B5A5E"/>
    <w:rPr>
      <w:rFonts w:ascii="Courier New" w:eastAsia="SimSun" w:hAnsi="Courier New" w:cs="Courier New"/>
      <w:sz w:val="20"/>
      <w:szCs w:val="20"/>
    </w:rPr>
  </w:style>
  <w:style w:type="character" w:customStyle="1" w:styleId="PlainTextChar">
    <w:name w:val="Plain Text Char"/>
    <w:basedOn w:val="DefaultParagraphFont"/>
    <w:link w:val="PlainText"/>
    <w:semiHidden/>
    <w:rsid w:val="009B5A5E"/>
    <w:rPr>
      <w:rFonts w:ascii="Courier New" w:eastAsia="SimSun" w:hAnsi="Courier New" w:cs="Courier New"/>
      <w:sz w:val="20"/>
      <w:szCs w:val="20"/>
    </w:rPr>
  </w:style>
  <w:style w:type="paragraph" w:styleId="Quote">
    <w:name w:val="Quote"/>
    <w:basedOn w:val="Normal"/>
    <w:next w:val="Normal"/>
    <w:link w:val="QuoteChar"/>
    <w:uiPriority w:val="29"/>
    <w:qFormat/>
    <w:rsid w:val="009B5A5E"/>
    <w:rPr>
      <w:rFonts w:eastAsia="SimSun"/>
      <w:i/>
      <w:iCs/>
      <w:color w:val="000000"/>
      <w:szCs w:val="20"/>
    </w:rPr>
  </w:style>
  <w:style w:type="character" w:customStyle="1" w:styleId="QuoteChar">
    <w:name w:val="Quote Char"/>
    <w:basedOn w:val="DefaultParagraphFont"/>
    <w:link w:val="Quote"/>
    <w:uiPriority w:val="29"/>
    <w:rsid w:val="009B5A5E"/>
    <w:rPr>
      <w:rFonts w:ascii="Times New Roman" w:eastAsia="SimSun" w:hAnsi="Times New Roman" w:cs="Times New Roman"/>
      <w:i/>
      <w:iCs/>
      <w:color w:val="000000"/>
      <w:szCs w:val="20"/>
    </w:rPr>
  </w:style>
  <w:style w:type="paragraph" w:styleId="Salutation">
    <w:name w:val="Salutation"/>
    <w:basedOn w:val="Normal"/>
    <w:next w:val="Normal"/>
    <w:link w:val="SalutationChar"/>
    <w:semiHidden/>
    <w:rsid w:val="009B5A5E"/>
    <w:rPr>
      <w:rFonts w:eastAsia="SimSun"/>
      <w:szCs w:val="20"/>
    </w:rPr>
  </w:style>
  <w:style w:type="character" w:customStyle="1" w:styleId="SalutationChar">
    <w:name w:val="Salutation Char"/>
    <w:basedOn w:val="DefaultParagraphFont"/>
    <w:link w:val="Salutation"/>
    <w:semiHidden/>
    <w:rsid w:val="009B5A5E"/>
    <w:rPr>
      <w:rFonts w:ascii="Times New Roman" w:eastAsia="SimSun" w:hAnsi="Times New Roman" w:cs="Times New Roman"/>
      <w:szCs w:val="20"/>
    </w:rPr>
  </w:style>
  <w:style w:type="paragraph" w:styleId="Signature">
    <w:name w:val="Signature"/>
    <w:basedOn w:val="Normal"/>
    <w:link w:val="SignatureChar"/>
    <w:semiHidden/>
    <w:rsid w:val="009B5A5E"/>
    <w:pPr>
      <w:ind w:left="4320"/>
    </w:pPr>
    <w:rPr>
      <w:rFonts w:eastAsia="SimSun"/>
      <w:szCs w:val="20"/>
    </w:rPr>
  </w:style>
  <w:style w:type="character" w:customStyle="1" w:styleId="SignatureChar">
    <w:name w:val="Signature Char"/>
    <w:basedOn w:val="DefaultParagraphFont"/>
    <w:link w:val="Signature"/>
    <w:semiHidden/>
    <w:rsid w:val="009B5A5E"/>
    <w:rPr>
      <w:rFonts w:ascii="Times New Roman" w:eastAsia="SimSun" w:hAnsi="Times New Roman" w:cs="Times New Roman"/>
      <w:szCs w:val="20"/>
    </w:rPr>
  </w:style>
  <w:style w:type="paragraph" w:styleId="Subtitle">
    <w:name w:val="Subtitle"/>
    <w:basedOn w:val="Normal"/>
    <w:next w:val="Normal"/>
    <w:link w:val="SubtitleChar"/>
    <w:qFormat/>
    <w:rsid w:val="009B5A5E"/>
    <w:pPr>
      <w:spacing w:after="60"/>
      <w:jc w:val="center"/>
      <w:outlineLvl w:val="1"/>
    </w:pPr>
    <w:rPr>
      <w:rFonts w:ascii="Cambria" w:eastAsia="SimSun" w:hAnsi="Cambria"/>
    </w:rPr>
  </w:style>
  <w:style w:type="character" w:customStyle="1" w:styleId="SubtitleChar">
    <w:name w:val="Subtitle Char"/>
    <w:basedOn w:val="DefaultParagraphFont"/>
    <w:link w:val="Subtitle"/>
    <w:rsid w:val="009B5A5E"/>
    <w:rPr>
      <w:rFonts w:ascii="Cambria" w:eastAsia="SimSun" w:hAnsi="Cambria" w:cs="Times New Roman"/>
    </w:rPr>
  </w:style>
  <w:style w:type="paragraph" w:styleId="TableofAuthorities">
    <w:name w:val="table of authorities"/>
    <w:basedOn w:val="Normal"/>
    <w:next w:val="Normal"/>
    <w:semiHidden/>
    <w:rsid w:val="009B5A5E"/>
    <w:pPr>
      <w:ind w:left="240" w:hanging="240"/>
    </w:pPr>
    <w:rPr>
      <w:rFonts w:eastAsia="SimSun"/>
      <w:szCs w:val="20"/>
    </w:rPr>
  </w:style>
  <w:style w:type="paragraph" w:styleId="TableofFigures">
    <w:name w:val="table of figures"/>
    <w:basedOn w:val="Normal"/>
    <w:next w:val="Normal"/>
    <w:semiHidden/>
    <w:rsid w:val="009B5A5E"/>
    <w:rPr>
      <w:rFonts w:eastAsia="SimSun"/>
      <w:szCs w:val="20"/>
    </w:rPr>
  </w:style>
  <w:style w:type="paragraph" w:styleId="Title">
    <w:name w:val="Title"/>
    <w:basedOn w:val="Normal"/>
    <w:next w:val="Normal"/>
    <w:link w:val="TitleChar"/>
    <w:qFormat/>
    <w:rsid w:val="009B5A5E"/>
    <w:pPr>
      <w:spacing w:before="240" w:after="60"/>
      <w:jc w:val="center"/>
      <w:outlineLvl w:val="0"/>
    </w:pPr>
    <w:rPr>
      <w:rFonts w:ascii="Cambria" w:eastAsia="SimSun" w:hAnsi="Cambria"/>
      <w:b/>
      <w:bCs/>
      <w:kern w:val="28"/>
      <w:sz w:val="32"/>
      <w:szCs w:val="32"/>
    </w:rPr>
  </w:style>
  <w:style w:type="character" w:customStyle="1" w:styleId="TitleChar">
    <w:name w:val="Title Char"/>
    <w:basedOn w:val="DefaultParagraphFont"/>
    <w:link w:val="Title"/>
    <w:rsid w:val="009B5A5E"/>
    <w:rPr>
      <w:rFonts w:ascii="Cambria" w:eastAsia="SimSun" w:hAnsi="Cambria" w:cs="Times New Roman"/>
      <w:b/>
      <w:bCs/>
      <w:kern w:val="28"/>
      <w:sz w:val="32"/>
      <w:szCs w:val="32"/>
    </w:rPr>
  </w:style>
  <w:style w:type="paragraph" w:styleId="TOAHeading">
    <w:name w:val="toa heading"/>
    <w:basedOn w:val="Normal"/>
    <w:next w:val="Normal"/>
    <w:semiHidden/>
    <w:rsid w:val="009B5A5E"/>
    <w:pPr>
      <w:spacing w:before="120"/>
    </w:pPr>
    <w:rPr>
      <w:rFonts w:ascii="Cambria" w:eastAsia="SimSun" w:hAnsi="Cambria"/>
      <w:b/>
      <w:bCs/>
    </w:rPr>
  </w:style>
  <w:style w:type="paragraph" w:styleId="TOC1">
    <w:name w:val="toc 1"/>
    <w:basedOn w:val="Normal"/>
    <w:next w:val="Normal"/>
    <w:autoRedefine/>
    <w:rsid w:val="009B5A5E"/>
    <w:pPr>
      <w:spacing w:before="120"/>
    </w:pPr>
    <w:rPr>
      <w:rFonts w:asciiTheme="minorHAnsi" w:hAnsiTheme="minorHAnsi"/>
      <w:b/>
      <w:bCs/>
      <w:i/>
      <w:iCs/>
    </w:rPr>
  </w:style>
  <w:style w:type="paragraph" w:styleId="TOC2">
    <w:name w:val="toc 2"/>
    <w:basedOn w:val="Normal"/>
    <w:next w:val="Normal"/>
    <w:autoRedefine/>
    <w:semiHidden/>
    <w:rsid w:val="009B5A5E"/>
    <w:pPr>
      <w:spacing w:before="120"/>
      <w:ind w:left="240"/>
    </w:pPr>
    <w:rPr>
      <w:rFonts w:asciiTheme="minorHAnsi" w:hAnsiTheme="minorHAnsi"/>
      <w:b/>
      <w:bCs/>
      <w:sz w:val="22"/>
      <w:szCs w:val="22"/>
    </w:rPr>
  </w:style>
  <w:style w:type="paragraph" w:styleId="TOC3">
    <w:name w:val="toc 3"/>
    <w:basedOn w:val="Normal"/>
    <w:next w:val="Normal"/>
    <w:autoRedefine/>
    <w:semiHidden/>
    <w:rsid w:val="009B5A5E"/>
    <w:pPr>
      <w:ind w:left="480"/>
    </w:pPr>
    <w:rPr>
      <w:rFonts w:asciiTheme="minorHAnsi" w:hAnsiTheme="minorHAnsi"/>
      <w:sz w:val="20"/>
      <w:szCs w:val="20"/>
    </w:rPr>
  </w:style>
  <w:style w:type="paragraph" w:styleId="TOC4">
    <w:name w:val="toc 4"/>
    <w:basedOn w:val="Normal"/>
    <w:next w:val="Normal"/>
    <w:autoRedefine/>
    <w:semiHidden/>
    <w:rsid w:val="009B5A5E"/>
    <w:pPr>
      <w:ind w:left="720"/>
    </w:pPr>
    <w:rPr>
      <w:rFonts w:asciiTheme="minorHAnsi" w:hAnsiTheme="minorHAnsi"/>
      <w:sz w:val="20"/>
      <w:szCs w:val="20"/>
    </w:rPr>
  </w:style>
  <w:style w:type="paragraph" w:styleId="TOC5">
    <w:name w:val="toc 5"/>
    <w:basedOn w:val="Normal"/>
    <w:next w:val="Normal"/>
    <w:autoRedefine/>
    <w:semiHidden/>
    <w:rsid w:val="009B5A5E"/>
    <w:pPr>
      <w:ind w:left="960"/>
    </w:pPr>
    <w:rPr>
      <w:rFonts w:asciiTheme="minorHAnsi" w:hAnsiTheme="minorHAnsi"/>
      <w:sz w:val="20"/>
      <w:szCs w:val="20"/>
    </w:rPr>
  </w:style>
  <w:style w:type="paragraph" w:styleId="TOC6">
    <w:name w:val="toc 6"/>
    <w:basedOn w:val="Normal"/>
    <w:next w:val="Normal"/>
    <w:autoRedefine/>
    <w:semiHidden/>
    <w:rsid w:val="009B5A5E"/>
    <w:pPr>
      <w:ind w:left="1200"/>
    </w:pPr>
    <w:rPr>
      <w:rFonts w:asciiTheme="minorHAnsi" w:hAnsiTheme="minorHAnsi"/>
      <w:sz w:val="20"/>
      <w:szCs w:val="20"/>
    </w:rPr>
  </w:style>
  <w:style w:type="paragraph" w:styleId="TOC7">
    <w:name w:val="toc 7"/>
    <w:basedOn w:val="Normal"/>
    <w:next w:val="Normal"/>
    <w:autoRedefine/>
    <w:semiHidden/>
    <w:rsid w:val="009B5A5E"/>
    <w:pPr>
      <w:ind w:left="1440"/>
    </w:pPr>
    <w:rPr>
      <w:rFonts w:asciiTheme="minorHAnsi" w:hAnsiTheme="minorHAnsi"/>
      <w:sz w:val="20"/>
      <w:szCs w:val="20"/>
    </w:rPr>
  </w:style>
  <w:style w:type="paragraph" w:styleId="TOC8">
    <w:name w:val="toc 8"/>
    <w:basedOn w:val="Normal"/>
    <w:next w:val="Normal"/>
    <w:autoRedefine/>
    <w:semiHidden/>
    <w:rsid w:val="009B5A5E"/>
    <w:pPr>
      <w:ind w:left="1680"/>
    </w:pPr>
    <w:rPr>
      <w:rFonts w:asciiTheme="minorHAnsi" w:hAnsiTheme="minorHAnsi"/>
      <w:sz w:val="20"/>
      <w:szCs w:val="20"/>
    </w:rPr>
  </w:style>
  <w:style w:type="paragraph" w:styleId="TOC9">
    <w:name w:val="toc 9"/>
    <w:basedOn w:val="Normal"/>
    <w:next w:val="Normal"/>
    <w:autoRedefine/>
    <w:semiHidden/>
    <w:rsid w:val="009B5A5E"/>
    <w:pPr>
      <w:ind w:left="1920"/>
    </w:pPr>
    <w:rPr>
      <w:rFonts w:asciiTheme="minorHAnsi" w:hAnsiTheme="minorHAnsi"/>
      <w:sz w:val="20"/>
      <w:szCs w:val="20"/>
    </w:rPr>
  </w:style>
  <w:style w:type="paragraph" w:styleId="TOCHeading">
    <w:name w:val="TOC Heading"/>
    <w:basedOn w:val="Heading1"/>
    <w:next w:val="Normal"/>
    <w:uiPriority w:val="39"/>
    <w:unhideWhenUsed/>
    <w:qFormat/>
    <w:rsid w:val="009B5A5E"/>
    <w:pPr>
      <w:outlineLvl w:val="9"/>
    </w:pPr>
    <w:rPr>
      <w:rFonts w:ascii="Cambria" w:hAnsi="Cambria"/>
      <w:sz w:val="32"/>
      <w:szCs w:val="32"/>
    </w:rPr>
  </w:style>
  <w:style w:type="table" w:styleId="TableGrid">
    <w:name w:val="Table Grid"/>
    <w:basedOn w:val="TableNormal"/>
    <w:uiPriority w:val="39"/>
    <w:rsid w:val="009B5A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B5A5E"/>
    <w:rPr>
      <w:color w:val="808080"/>
    </w:rPr>
  </w:style>
  <w:style w:type="paragraph" w:customStyle="1" w:styleId="p">
    <w:name w:val="p"/>
    <w:rsid w:val="009B5A5E"/>
    <w:pPr>
      <w:spacing w:after="360" w:line="480" w:lineRule="atLeast"/>
      <w:ind w:firstLine="567"/>
    </w:pPr>
    <w:rPr>
      <w:rFonts w:ascii="Times New Roman" w:eastAsia="SimSun" w:hAnsi="Times New Roman" w:cs="Times New Roman"/>
      <w:szCs w:val="20"/>
      <w:lang w:val="en-GB"/>
    </w:rPr>
  </w:style>
  <w:style w:type="paragraph" w:customStyle="1" w:styleId="Referencesandnotes">
    <w:name w:val="References and notes"/>
    <w:basedOn w:val="Normal"/>
    <w:rsid w:val="009B5A5E"/>
    <w:pPr>
      <w:spacing w:before="120"/>
      <w:ind w:left="720" w:hanging="720"/>
    </w:pPr>
    <w:rPr>
      <w:rFonts w:eastAsia="SimSun"/>
    </w:rPr>
  </w:style>
  <w:style w:type="table" w:customStyle="1" w:styleId="TableGrid1">
    <w:name w:val="Table Grid1"/>
    <w:basedOn w:val="TableNormal"/>
    <w:next w:val="TableGrid"/>
    <w:uiPriority w:val="59"/>
    <w:rsid w:val="009B5A5E"/>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5A5E"/>
    <w:pPr>
      <w:autoSpaceDE w:val="0"/>
      <w:autoSpaceDN w:val="0"/>
      <w:adjustRightInd w:val="0"/>
    </w:pPr>
    <w:rPr>
      <w:rFonts w:ascii="Calibri" w:eastAsiaTheme="minorHAnsi" w:hAnsi="Calibri" w:cs="Calibri"/>
      <w:color w:val="000000"/>
    </w:rPr>
  </w:style>
  <w:style w:type="table" w:styleId="PlainTable4">
    <w:name w:val="Plain Table 4"/>
    <w:basedOn w:val="TableNormal"/>
    <w:uiPriority w:val="44"/>
    <w:rsid w:val="009B5A5E"/>
    <w:rPr>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ineNumber">
    <w:name w:val="line number"/>
    <w:basedOn w:val="DefaultParagraphFont"/>
    <w:uiPriority w:val="99"/>
    <w:semiHidden/>
    <w:unhideWhenUsed/>
    <w:rsid w:val="00B4798E"/>
  </w:style>
  <w:style w:type="character" w:styleId="UnresolvedMention">
    <w:name w:val="Unresolved Mention"/>
    <w:basedOn w:val="DefaultParagraphFont"/>
    <w:uiPriority w:val="99"/>
    <w:semiHidden/>
    <w:unhideWhenUsed/>
    <w:rsid w:val="004F3F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6405">
      <w:bodyDiv w:val="1"/>
      <w:marLeft w:val="0"/>
      <w:marRight w:val="0"/>
      <w:marTop w:val="0"/>
      <w:marBottom w:val="0"/>
      <w:divBdr>
        <w:top w:val="none" w:sz="0" w:space="0" w:color="auto"/>
        <w:left w:val="none" w:sz="0" w:space="0" w:color="auto"/>
        <w:bottom w:val="none" w:sz="0" w:space="0" w:color="auto"/>
        <w:right w:val="none" w:sz="0" w:space="0" w:color="auto"/>
      </w:divBdr>
      <w:divsChild>
        <w:div w:id="1849785760">
          <w:marLeft w:val="0"/>
          <w:marRight w:val="0"/>
          <w:marTop w:val="0"/>
          <w:marBottom w:val="0"/>
          <w:divBdr>
            <w:top w:val="none" w:sz="0" w:space="0" w:color="auto"/>
            <w:left w:val="none" w:sz="0" w:space="0" w:color="auto"/>
            <w:bottom w:val="none" w:sz="0" w:space="0" w:color="auto"/>
            <w:right w:val="none" w:sz="0" w:space="0" w:color="auto"/>
          </w:divBdr>
          <w:divsChild>
            <w:div w:id="910038544">
              <w:marLeft w:val="0"/>
              <w:marRight w:val="0"/>
              <w:marTop w:val="0"/>
              <w:marBottom w:val="0"/>
              <w:divBdr>
                <w:top w:val="none" w:sz="0" w:space="0" w:color="auto"/>
                <w:left w:val="none" w:sz="0" w:space="0" w:color="auto"/>
                <w:bottom w:val="none" w:sz="0" w:space="0" w:color="auto"/>
                <w:right w:val="none" w:sz="0" w:space="0" w:color="auto"/>
              </w:divBdr>
              <w:divsChild>
                <w:div w:id="56113927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1051641">
      <w:bodyDiv w:val="1"/>
      <w:marLeft w:val="0"/>
      <w:marRight w:val="0"/>
      <w:marTop w:val="0"/>
      <w:marBottom w:val="0"/>
      <w:divBdr>
        <w:top w:val="none" w:sz="0" w:space="0" w:color="auto"/>
        <w:left w:val="none" w:sz="0" w:space="0" w:color="auto"/>
        <w:bottom w:val="none" w:sz="0" w:space="0" w:color="auto"/>
        <w:right w:val="none" w:sz="0" w:space="0" w:color="auto"/>
      </w:divBdr>
      <w:divsChild>
        <w:div w:id="2881232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8331691">
              <w:marLeft w:val="0"/>
              <w:marRight w:val="0"/>
              <w:marTop w:val="0"/>
              <w:marBottom w:val="0"/>
              <w:divBdr>
                <w:top w:val="none" w:sz="0" w:space="0" w:color="auto"/>
                <w:left w:val="none" w:sz="0" w:space="0" w:color="auto"/>
                <w:bottom w:val="none" w:sz="0" w:space="0" w:color="auto"/>
                <w:right w:val="none" w:sz="0" w:space="0" w:color="auto"/>
              </w:divBdr>
              <w:divsChild>
                <w:div w:id="8500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26129">
      <w:bodyDiv w:val="1"/>
      <w:marLeft w:val="0"/>
      <w:marRight w:val="0"/>
      <w:marTop w:val="0"/>
      <w:marBottom w:val="0"/>
      <w:divBdr>
        <w:top w:val="none" w:sz="0" w:space="0" w:color="auto"/>
        <w:left w:val="none" w:sz="0" w:space="0" w:color="auto"/>
        <w:bottom w:val="none" w:sz="0" w:space="0" w:color="auto"/>
        <w:right w:val="none" w:sz="0" w:space="0" w:color="auto"/>
      </w:divBdr>
    </w:div>
    <w:div w:id="157812486">
      <w:bodyDiv w:val="1"/>
      <w:marLeft w:val="0"/>
      <w:marRight w:val="0"/>
      <w:marTop w:val="0"/>
      <w:marBottom w:val="0"/>
      <w:divBdr>
        <w:top w:val="none" w:sz="0" w:space="0" w:color="auto"/>
        <w:left w:val="none" w:sz="0" w:space="0" w:color="auto"/>
        <w:bottom w:val="none" w:sz="0" w:space="0" w:color="auto"/>
        <w:right w:val="none" w:sz="0" w:space="0" w:color="auto"/>
      </w:divBdr>
    </w:div>
    <w:div w:id="192109706">
      <w:bodyDiv w:val="1"/>
      <w:marLeft w:val="0"/>
      <w:marRight w:val="0"/>
      <w:marTop w:val="0"/>
      <w:marBottom w:val="0"/>
      <w:divBdr>
        <w:top w:val="none" w:sz="0" w:space="0" w:color="auto"/>
        <w:left w:val="none" w:sz="0" w:space="0" w:color="auto"/>
        <w:bottom w:val="none" w:sz="0" w:space="0" w:color="auto"/>
        <w:right w:val="none" w:sz="0" w:space="0" w:color="auto"/>
      </w:divBdr>
    </w:div>
    <w:div w:id="192689644">
      <w:bodyDiv w:val="1"/>
      <w:marLeft w:val="0"/>
      <w:marRight w:val="0"/>
      <w:marTop w:val="0"/>
      <w:marBottom w:val="0"/>
      <w:divBdr>
        <w:top w:val="none" w:sz="0" w:space="0" w:color="auto"/>
        <w:left w:val="none" w:sz="0" w:space="0" w:color="auto"/>
        <w:bottom w:val="none" w:sz="0" w:space="0" w:color="auto"/>
        <w:right w:val="none" w:sz="0" w:space="0" w:color="auto"/>
      </w:divBdr>
    </w:div>
    <w:div w:id="234703578">
      <w:bodyDiv w:val="1"/>
      <w:marLeft w:val="0"/>
      <w:marRight w:val="0"/>
      <w:marTop w:val="0"/>
      <w:marBottom w:val="0"/>
      <w:divBdr>
        <w:top w:val="none" w:sz="0" w:space="0" w:color="auto"/>
        <w:left w:val="none" w:sz="0" w:space="0" w:color="auto"/>
        <w:bottom w:val="none" w:sz="0" w:space="0" w:color="auto"/>
        <w:right w:val="none" w:sz="0" w:space="0" w:color="auto"/>
      </w:divBdr>
    </w:div>
    <w:div w:id="409163361">
      <w:bodyDiv w:val="1"/>
      <w:marLeft w:val="0"/>
      <w:marRight w:val="0"/>
      <w:marTop w:val="0"/>
      <w:marBottom w:val="0"/>
      <w:divBdr>
        <w:top w:val="none" w:sz="0" w:space="0" w:color="auto"/>
        <w:left w:val="none" w:sz="0" w:space="0" w:color="auto"/>
        <w:bottom w:val="none" w:sz="0" w:space="0" w:color="auto"/>
        <w:right w:val="none" w:sz="0" w:space="0" w:color="auto"/>
      </w:divBdr>
    </w:div>
    <w:div w:id="432212719">
      <w:bodyDiv w:val="1"/>
      <w:marLeft w:val="0"/>
      <w:marRight w:val="0"/>
      <w:marTop w:val="0"/>
      <w:marBottom w:val="0"/>
      <w:divBdr>
        <w:top w:val="none" w:sz="0" w:space="0" w:color="auto"/>
        <w:left w:val="none" w:sz="0" w:space="0" w:color="auto"/>
        <w:bottom w:val="none" w:sz="0" w:space="0" w:color="auto"/>
        <w:right w:val="none" w:sz="0" w:space="0" w:color="auto"/>
      </w:divBdr>
    </w:div>
    <w:div w:id="456490114">
      <w:bodyDiv w:val="1"/>
      <w:marLeft w:val="0"/>
      <w:marRight w:val="0"/>
      <w:marTop w:val="0"/>
      <w:marBottom w:val="0"/>
      <w:divBdr>
        <w:top w:val="none" w:sz="0" w:space="0" w:color="auto"/>
        <w:left w:val="none" w:sz="0" w:space="0" w:color="auto"/>
        <w:bottom w:val="none" w:sz="0" w:space="0" w:color="auto"/>
        <w:right w:val="none" w:sz="0" w:space="0" w:color="auto"/>
      </w:divBdr>
    </w:div>
    <w:div w:id="936593774">
      <w:bodyDiv w:val="1"/>
      <w:marLeft w:val="0"/>
      <w:marRight w:val="0"/>
      <w:marTop w:val="0"/>
      <w:marBottom w:val="0"/>
      <w:divBdr>
        <w:top w:val="none" w:sz="0" w:space="0" w:color="auto"/>
        <w:left w:val="none" w:sz="0" w:space="0" w:color="auto"/>
        <w:bottom w:val="none" w:sz="0" w:space="0" w:color="auto"/>
        <w:right w:val="none" w:sz="0" w:space="0" w:color="auto"/>
      </w:divBdr>
    </w:div>
    <w:div w:id="1213733126">
      <w:bodyDiv w:val="1"/>
      <w:marLeft w:val="0"/>
      <w:marRight w:val="0"/>
      <w:marTop w:val="0"/>
      <w:marBottom w:val="0"/>
      <w:divBdr>
        <w:top w:val="none" w:sz="0" w:space="0" w:color="auto"/>
        <w:left w:val="none" w:sz="0" w:space="0" w:color="auto"/>
        <w:bottom w:val="none" w:sz="0" w:space="0" w:color="auto"/>
        <w:right w:val="none" w:sz="0" w:space="0" w:color="auto"/>
      </w:divBdr>
    </w:div>
    <w:div w:id="1223326276">
      <w:bodyDiv w:val="1"/>
      <w:marLeft w:val="0"/>
      <w:marRight w:val="0"/>
      <w:marTop w:val="0"/>
      <w:marBottom w:val="0"/>
      <w:divBdr>
        <w:top w:val="none" w:sz="0" w:space="0" w:color="auto"/>
        <w:left w:val="none" w:sz="0" w:space="0" w:color="auto"/>
        <w:bottom w:val="none" w:sz="0" w:space="0" w:color="auto"/>
        <w:right w:val="none" w:sz="0" w:space="0" w:color="auto"/>
      </w:divBdr>
    </w:div>
    <w:div w:id="1242177290">
      <w:bodyDiv w:val="1"/>
      <w:marLeft w:val="0"/>
      <w:marRight w:val="0"/>
      <w:marTop w:val="0"/>
      <w:marBottom w:val="0"/>
      <w:divBdr>
        <w:top w:val="none" w:sz="0" w:space="0" w:color="auto"/>
        <w:left w:val="none" w:sz="0" w:space="0" w:color="auto"/>
        <w:bottom w:val="none" w:sz="0" w:space="0" w:color="auto"/>
        <w:right w:val="none" w:sz="0" w:space="0" w:color="auto"/>
      </w:divBdr>
    </w:div>
    <w:div w:id="1463963963">
      <w:bodyDiv w:val="1"/>
      <w:marLeft w:val="0"/>
      <w:marRight w:val="0"/>
      <w:marTop w:val="0"/>
      <w:marBottom w:val="0"/>
      <w:divBdr>
        <w:top w:val="none" w:sz="0" w:space="0" w:color="auto"/>
        <w:left w:val="none" w:sz="0" w:space="0" w:color="auto"/>
        <w:bottom w:val="none" w:sz="0" w:space="0" w:color="auto"/>
        <w:right w:val="none" w:sz="0" w:space="0" w:color="auto"/>
      </w:divBdr>
      <w:divsChild>
        <w:div w:id="2396800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153571">
              <w:marLeft w:val="0"/>
              <w:marRight w:val="0"/>
              <w:marTop w:val="0"/>
              <w:marBottom w:val="0"/>
              <w:divBdr>
                <w:top w:val="none" w:sz="0" w:space="0" w:color="auto"/>
                <w:left w:val="none" w:sz="0" w:space="0" w:color="auto"/>
                <w:bottom w:val="none" w:sz="0" w:space="0" w:color="auto"/>
                <w:right w:val="none" w:sz="0" w:space="0" w:color="auto"/>
              </w:divBdr>
              <w:divsChild>
                <w:div w:id="160314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9448">
      <w:bodyDiv w:val="1"/>
      <w:marLeft w:val="0"/>
      <w:marRight w:val="0"/>
      <w:marTop w:val="0"/>
      <w:marBottom w:val="0"/>
      <w:divBdr>
        <w:top w:val="none" w:sz="0" w:space="0" w:color="auto"/>
        <w:left w:val="none" w:sz="0" w:space="0" w:color="auto"/>
        <w:bottom w:val="none" w:sz="0" w:space="0" w:color="auto"/>
        <w:right w:val="none" w:sz="0" w:space="0" w:color="auto"/>
      </w:divBdr>
    </w:div>
    <w:div w:id="1759522950">
      <w:bodyDiv w:val="1"/>
      <w:marLeft w:val="0"/>
      <w:marRight w:val="0"/>
      <w:marTop w:val="0"/>
      <w:marBottom w:val="0"/>
      <w:divBdr>
        <w:top w:val="none" w:sz="0" w:space="0" w:color="auto"/>
        <w:left w:val="none" w:sz="0" w:space="0" w:color="auto"/>
        <w:bottom w:val="none" w:sz="0" w:space="0" w:color="auto"/>
        <w:right w:val="none" w:sz="0" w:space="0" w:color="auto"/>
      </w:divBdr>
    </w:div>
    <w:div w:id="1816338552">
      <w:bodyDiv w:val="1"/>
      <w:marLeft w:val="0"/>
      <w:marRight w:val="0"/>
      <w:marTop w:val="0"/>
      <w:marBottom w:val="0"/>
      <w:divBdr>
        <w:top w:val="none" w:sz="0" w:space="0" w:color="auto"/>
        <w:left w:val="none" w:sz="0" w:space="0" w:color="auto"/>
        <w:bottom w:val="none" w:sz="0" w:space="0" w:color="auto"/>
        <w:right w:val="none" w:sz="0" w:space="0" w:color="auto"/>
      </w:divBdr>
    </w:div>
    <w:div w:id="1938058385">
      <w:bodyDiv w:val="1"/>
      <w:marLeft w:val="0"/>
      <w:marRight w:val="0"/>
      <w:marTop w:val="0"/>
      <w:marBottom w:val="0"/>
      <w:divBdr>
        <w:top w:val="none" w:sz="0" w:space="0" w:color="auto"/>
        <w:left w:val="none" w:sz="0" w:space="0" w:color="auto"/>
        <w:bottom w:val="none" w:sz="0" w:space="0" w:color="auto"/>
        <w:right w:val="none" w:sz="0" w:space="0" w:color="auto"/>
      </w:divBdr>
    </w:div>
    <w:div w:id="2033527876">
      <w:bodyDiv w:val="1"/>
      <w:marLeft w:val="0"/>
      <w:marRight w:val="0"/>
      <w:marTop w:val="0"/>
      <w:marBottom w:val="0"/>
      <w:divBdr>
        <w:top w:val="none" w:sz="0" w:space="0" w:color="auto"/>
        <w:left w:val="none" w:sz="0" w:space="0" w:color="auto"/>
        <w:bottom w:val="none" w:sz="0" w:space="0" w:color="auto"/>
        <w:right w:val="none" w:sz="0" w:space="0" w:color="auto"/>
      </w:divBdr>
    </w:div>
    <w:div w:id="2109613355">
      <w:bodyDiv w:val="1"/>
      <w:marLeft w:val="0"/>
      <w:marRight w:val="0"/>
      <w:marTop w:val="0"/>
      <w:marBottom w:val="0"/>
      <w:divBdr>
        <w:top w:val="none" w:sz="0" w:space="0" w:color="auto"/>
        <w:left w:val="none" w:sz="0" w:space="0" w:color="auto"/>
        <w:bottom w:val="none" w:sz="0" w:space="0" w:color="auto"/>
        <w:right w:val="none" w:sz="0" w:space="0" w:color="auto"/>
      </w:divBdr>
    </w:div>
    <w:div w:id="2113473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3449@cumc.columbia.edu" TargetMode="External"/><Relationship Id="rId13" Type="http://schemas.openxmlformats.org/officeDocument/2006/relationships/hyperlink" Target="https://data.cityofnewyork.us/Health/Modified-Zip-Code-Tabulation-Areas-MODZCTA-/pri4-ifjk" TargetMode="Externa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yperlink" Target="https://safegraph.com/" TargetMode="Externa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nychealth/covid-vaccine-dat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2.xml"/><Relationship Id="rId10" Type="http://schemas.openxmlformats.org/officeDocument/2006/relationships/hyperlink" Target="https://github.com/nychealth/coronavirus-data"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s://www.census.gov/programs-surveys/acs/data.html" TargetMode="External"/><Relationship Id="rId14" Type="http://schemas.openxmlformats.org/officeDocument/2006/relationships/image" Target="media/image1.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D0258-6F20-4FA1-8525-36E77F551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9023</Words>
  <Characters>51436</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Shaman, Jeffrey L.</dc:creator>
  <cp:keywords/>
  <dc:description/>
  <cp:lastModifiedBy>Pei, Sen</cp:lastModifiedBy>
  <cp:revision>5</cp:revision>
  <cp:lastPrinted>2021-08-07T02:18:00Z</cp:lastPrinted>
  <dcterms:created xsi:type="dcterms:W3CDTF">2022-07-08T08:26:00Z</dcterms:created>
  <dcterms:modified xsi:type="dcterms:W3CDTF">2022-07-08T15:37:00Z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zotero-version="6.0.9"&gt;&lt;session id="kkrrVgne"/&gt;&lt;style id="http://www.zotero.org/styles/nature" hasBibliography="1" bibliographyStyleHasBeenSet="1"/&gt;&lt;prefs&gt;&lt;pref name="fieldType" value="Field"/&gt;&lt;pref name="automaticJournalAbbreviatio</vt:lpwstr>
  </property>
  <property fmtid="{D5CDD505-2E9C-101B-9397-08002B2CF9AE}" pid="3" name="ZOTERO_PREF_2">
    <vt:lpwstr>ns" value="true"/&gt;&lt;/prefs&gt;&lt;/data&gt;</vt:lpwstr>
  </property>
</Properties>
</file>