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994174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</w:rPr>
        <w:drawing>
          <wp:inline distT="0" distB="0" distL="114300" distR="114300" wp14:anchorId="53C18CCB" wp14:editId="434326E8">
            <wp:extent cx="5268595" cy="3005455"/>
            <wp:effectExtent l="0" t="0" r="0" b="0"/>
            <wp:docPr id="15" name="图片 15" descr="sup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up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0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70F7DA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28E13193" w14:textId="77777777" w:rsidR="00956ECD" w:rsidRDefault="00956ECD" w:rsidP="00956ECD">
      <w:pPr>
        <w:widowControl/>
        <w:spacing w:line="480" w:lineRule="auto"/>
        <w:jc w:val="left"/>
        <w:rPr>
          <w:sz w:val="24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Supplementary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Fig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ure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1. Flow diagram for the patients in this study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.</w:t>
      </w:r>
    </w:p>
    <w:p w14:paraId="6237A3E6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0B97A40C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37D0CA4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7F5AD6D3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AF06864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3E1BB63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15DEB6DC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1C19CCFF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24DA1985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E11D6B6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6D66E453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1F5226AF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</w:rPr>
        <w:drawing>
          <wp:inline distT="0" distB="0" distL="114300" distR="114300" wp14:anchorId="02385FFC" wp14:editId="47C707E2">
            <wp:extent cx="5273040" cy="2277745"/>
            <wp:effectExtent l="0" t="0" r="10160" b="8255"/>
            <wp:docPr id="14" name="图片 14" descr="sup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sup 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7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2DC05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BDF7A7D" w14:textId="77777777" w:rsidR="00956ECD" w:rsidRDefault="00956ECD" w:rsidP="00956ECD">
      <w:pPr>
        <w:widowControl/>
        <w:spacing w:line="480" w:lineRule="auto"/>
        <w:jc w:val="left"/>
        <w:rPr>
          <w:sz w:val="24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Supplementary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Fig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ure 2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The endoscopic submucosal dissection for early gastric cardiac cancer. A: White-light endoscopy (WLE) image of an early gastric cardiac cancer. B: The edge of the tumor lesion in magnifying endoscopy with narrow-banding imaging (ME-NBI). C: The destructive microstructures and fine reticular microvascular morphology in ME-NBI. D: Marking the edge of tumor margin. E: Cut around the marking points. F: Submucosal dissection. G: Wound surface after dissection. H</w:t>
      </w:r>
      <w:r>
        <w:rPr>
          <w:rFonts w:ascii="SimSun" w:eastAsia="SimSun" w:hAnsi="SimSun" w:cs="SimSun" w:hint="eastAsia"/>
          <w:color w:val="000000"/>
          <w:kern w:val="0"/>
          <w:sz w:val="24"/>
          <w:lang w:bidi="ar"/>
        </w:rPr>
        <w:t>：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The resected specimen.</w:t>
      </w:r>
    </w:p>
    <w:p w14:paraId="276B02F9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4F5DE412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600369AB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7DF9AADF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6E1D2079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6E73BEB6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69683697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E031D0A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387DEED6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240584A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</w:rPr>
        <w:drawing>
          <wp:inline distT="0" distB="0" distL="114300" distR="114300" wp14:anchorId="398651EE" wp14:editId="7101E65C">
            <wp:extent cx="5262245" cy="3154045"/>
            <wp:effectExtent l="0" t="0" r="0" b="0"/>
            <wp:docPr id="13" name="图片 13" descr="sup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up fig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15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7F2D7" w14:textId="77777777" w:rsidR="00956ECD" w:rsidRDefault="00956ECD" w:rsidP="00956ECD">
      <w:pPr>
        <w:widowControl/>
        <w:spacing w:line="480" w:lineRule="auto"/>
        <w:jc w:val="left"/>
        <w:rPr>
          <w:sz w:val="24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Supplementary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Fig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ure 3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Patient treatment flow chart</w:t>
      </w:r>
    </w:p>
    <w:p w14:paraId="3F7BE16C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0E83B25F" w14:textId="77777777" w:rsidR="00956ECD" w:rsidRDefault="00956ECD" w:rsidP="00956ECD">
      <w:pPr>
        <w:spacing w:line="480" w:lineRule="auto"/>
        <w:rPr>
          <w:sz w:val="24"/>
        </w:rPr>
      </w:pPr>
      <w:r>
        <w:rPr>
          <w:sz w:val="24"/>
        </w:rPr>
        <w:br w:type="page"/>
      </w:r>
    </w:p>
    <w:p w14:paraId="6D5E9A96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70EF3B86" wp14:editId="24CB774C">
            <wp:extent cx="5280660" cy="17037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5143" cy="1724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D4F8C" w14:textId="77777777" w:rsidR="00956ECD" w:rsidRDefault="00956ECD" w:rsidP="00956EC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Supplementary table 1 Disease specific survival at 3 and 5 years among BEI patients with or without additional surgery after ESD for EGCC which were divided into three risk categories according to the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eCura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system</w:t>
      </w:r>
    </w:p>
    <w:p w14:paraId="7A7B3D7D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ECD"/>
    <w:rsid w:val="00956EC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2AA32"/>
  <w15:chartTrackingRefBased/>
  <w15:docId w15:val="{CF171BE5-49C8-41C2-AEF2-997989A66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ECD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2020-08-20T03:03:00Z</dcterms:created>
  <dcterms:modified xsi:type="dcterms:W3CDTF">2020-08-20T03:03:00Z</dcterms:modified>
</cp:coreProperties>
</file>