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385"/>
        <w:tblW w:w="3997" w:type="pct"/>
        <w:tblBorders>
          <w:top w:val="nil"/>
          <w:left w:val="nil"/>
          <w:right w:val="nil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967"/>
        <w:gridCol w:w="1108"/>
        <w:gridCol w:w="221"/>
        <w:gridCol w:w="966"/>
        <w:gridCol w:w="1104"/>
        <w:gridCol w:w="219"/>
        <w:gridCol w:w="966"/>
        <w:gridCol w:w="1099"/>
      </w:tblGrid>
      <w:tr w:rsidR="00466FB2" w:rsidRPr="00EA1F05" w14:paraId="3F2E4078" w14:textId="77777777" w:rsidTr="00466FB2">
        <w:tc>
          <w:tcPr>
            <w:tcW w:w="5000" w:type="pct"/>
            <w:gridSpan w:val="9"/>
            <w:tcBorders>
              <w:top w:val="nil"/>
              <w:bottom w:val="single" w:sz="4" w:space="0" w:color="000000"/>
            </w:tcBorders>
          </w:tcPr>
          <w:p w14:paraId="519AEACB" w14:textId="07C47298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commentRangeStart w:id="0"/>
            <w:r w:rsidRPr="008455A6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Supplementary </w:t>
            </w:r>
            <w:r w:rsidRPr="008455A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Table 1</w:t>
            </w:r>
            <w:commentRangeEnd w:id="0"/>
            <w:r w:rsidR="00904008">
              <w:rPr>
                <w:rStyle w:val="CommentReference"/>
              </w:rPr>
              <w:commentReference w:id="0"/>
            </w:r>
            <w:r w:rsidR="00751B5B" w:rsidRPr="008455A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</w:t>
            </w:r>
            <w:r w:rsidRPr="00EA1F05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Association </w:t>
            </w:r>
            <w:r w:rsidR="00751B5B"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between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ABO blood group </w:t>
            </w:r>
            <w:r w:rsidR="00751B5B"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and incidence of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death, </w:t>
            </w: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IMV usage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, and </w:t>
            </w:r>
            <w:r w:rsidR="00751B5B"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ICU </w:t>
            </w: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treatment</w:t>
            </w:r>
          </w:p>
        </w:tc>
      </w:tr>
      <w:tr w:rsidR="00466FB2" w:rsidRPr="00EA1F05" w14:paraId="5443D9C1" w14:textId="77777777" w:rsidTr="00466FB2">
        <w:tblPrEx>
          <w:tblBorders>
            <w:top w:val="none" w:sz="0" w:space="0" w:color="auto"/>
          </w:tblBorders>
        </w:tblPrEx>
        <w:tc>
          <w:tcPr>
            <w:tcW w:w="1026" w:type="pct"/>
            <w:vMerge w:val="restart"/>
            <w:vAlign w:val="center"/>
          </w:tcPr>
          <w:p w14:paraId="6C6C0373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ABO blood group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  <w:vAlign w:val="center"/>
          </w:tcPr>
          <w:p w14:paraId="06CD340A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Death</w:t>
            </w:r>
          </w:p>
        </w:tc>
        <w:tc>
          <w:tcPr>
            <w:tcW w:w="132" w:type="pct"/>
            <w:tcBorders>
              <w:bottom w:val="nil"/>
            </w:tcBorders>
            <w:vAlign w:val="center"/>
          </w:tcPr>
          <w:p w14:paraId="09520E6C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pct"/>
            <w:gridSpan w:val="2"/>
            <w:tcBorders>
              <w:bottom w:val="single" w:sz="4" w:space="0" w:color="auto"/>
            </w:tcBorders>
            <w:vAlign w:val="center"/>
          </w:tcPr>
          <w:p w14:paraId="2BFFEDD9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IMV usage</w:t>
            </w:r>
          </w:p>
        </w:tc>
        <w:tc>
          <w:tcPr>
            <w:tcW w:w="131" w:type="pct"/>
            <w:tcBorders>
              <w:bottom w:val="nil"/>
            </w:tcBorders>
            <w:vAlign w:val="center"/>
          </w:tcPr>
          <w:p w14:paraId="1454628B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vAlign w:val="center"/>
          </w:tcPr>
          <w:p w14:paraId="045537A1" w14:textId="692422A1" w:rsidR="00466FB2" w:rsidRPr="00EA1F05" w:rsidRDefault="00751B5B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ICU t</w:t>
            </w:r>
            <w:r w:rsidR="00466FB2"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reatment</w:t>
            </w:r>
          </w:p>
        </w:tc>
      </w:tr>
      <w:tr w:rsidR="00466FB2" w:rsidRPr="00EA1F05" w14:paraId="1978CE4F" w14:textId="77777777" w:rsidTr="00466FB2">
        <w:tblPrEx>
          <w:tblBorders>
            <w:top w:val="none" w:sz="0" w:space="0" w:color="auto"/>
          </w:tblBorders>
        </w:tblPrEx>
        <w:tc>
          <w:tcPr>
            <w:tcW w:w="1026" w:type="pct"/>
            <w:vMerge/>
            <w:tcBorders>
              <w:bottom w:val="single" w:sz="4" w:space="0" w:color="auto"/>
            </w:tcBorders>
            <w:vAlign w:val="center"/>
          </w:tcPr>
          <w:p w14:paraId="4A0598C7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53C2F810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9B35B9F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14:paraId="70CECC7C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8879646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149CE48F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14:paraId="61F8EF5B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60352BF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88A374F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</w:tr>
      <w:tr w:rsidR="00466FB2" w:rsidRPr="00EA1F05" w14:paraId="35F5DA9A" w14:textId="77777777" w:rsidTr="00466FB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26" w:type="pct"/>
            <w:tcBorders>
              <w:top w:val="single" w:sz="4" w:space="0" w:color="auto"/>
            </w:tcBorders>
            <w:vAlign w:val="center"/>
          </w:tcPr>
          <w:p w14:paraId="4A8F62CC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79CE0B7D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</w:tcBorders>
            <w:vAlign w:val="center"/>
          </w:tcPr>
          <w:p w14:paraId="709BC360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center"/>
          </w:tcPr>
          <w:p w14:paraId="22A33B94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6B31606C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604D1042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14:paraId="0775AC17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4857A85A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65E24ECC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</w:tr>
      <w:tr w:rsidR="00466FB2" w:rsidRPr="00EA1F05" w14:paraId="03CEE387" w14:textId="77777777" w:rsidTr="00466FB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26" w:type="pct"/>
            <w:vAlign w:val="center"/>
          </w:tcPr>
          <w:p w14:paraId="33D00E67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78" w:type="pct"/>
            <w:vAlign w:val="center"/>
          </w:tcPr>
          <w:p w14:paraId="4FC551B2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62" w:type="pct"/>
            <w:vAlign w:val="center"/>
          </w:tcPr>
          <w:p w14:paraId="5FDBF00E" w14:textId="2A516869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0.34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2.35</w:t>
            </w:r>
          </w:p>
        </w:tc>
        <w:tc>
          <w:tcPr>
            <w:tcW w:w="132" w:type="pct"/>
            <w:vAlign w:val="center"/>
          </w:tcPr>
          <w:p w14:paraId="1395337D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5DE4F330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1.19</w:t>
            </w:r>
          </w:p>
        </w:tc>
        <w:tc>
          <w:tcPr>
            <w:tcW w:w="660" w:type="pct"/>
            <w:vAlign w:val="center"/>
          </w:tcPr>
          <w:p w14:paraId="33525BCB" w14:textId="101F4988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0.73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1.93</w:t>
            </w:r>
          </w:p>
        </w:tc>
        <w:tc>
          <w:tcPr>
            <w:tcW w:w="131" w:type="pct"/>
            <w:vAlign w:val="center"/>
          </w:tcPr>
          <w:p w14:paraId="79984F0A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631D19BB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1.46</w:t>
            </w:r>
          </w:p>
        </w:tc>
        <w:tc>
          <w:tcPr>
            <w:tcW w:w="657" w:type="pct"/>
            <w:vAlign w:val="center"/>
          </w:tcPr>
          <w:p w14:paraId="6E7118BC" w14:textId="1B54A18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0.99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2.16</w:t>
            </w:r>
          </w:p>
        </w:tc>
      </w:tr>
      <w:tr w:rsidR="00466FB2" w:rsidRPr="00EA1F05" w14:paraId="7F0653CB" w14:textId="77777777" w:rsidTr="00466FB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26" w:type="pct"/>
            <w:tcBorders>
              <w:bottom w:val="nil"/>
            </w:tcBorders>
            <w:vAlign w:val="center"/>
          </w:tcPr>
          <w:p w14:paraId="32FB7601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78" w:type="pct"/>
            <w:tcBorders>
              <w:bottom w:val="nil"/>
            </w:tcBorders>
            <w:vAlign w:val="center"/>
          </w:tcPr>
          <w:p w14:paraId="73EAD489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12E87340" w14:textId="18C57796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0.46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3.60</w:t>
            </w:r>
          </w:p>
        </w:tc>
        <w:tc>
          <w:tcPr>
            <w:tcW w:w="132" w:type="pct"/>
            <w:tcBorders>
              <w:bottom w:val="nil"/>
            </w:tcBorders>
            <w:vAlign w:val="center"/>
          </w:tcPr>
          <w:p w14:paraId="7A9A0BE1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nil"/>
            </w:tcBorders>
            <w:vAlign w:val="center"/>
          </w:tcPr>
          <w:p w14:paraId="02C6A855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1.09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1A348672" w14:textId="6A896A2A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0.62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1.91</w:t>
            </w:r>
          </w:p>
        </w:tc>
        <w:tc>
          <w:tcPr>
            <w:tcW w:w="131" w:type="pct"/>
            <w:tcBorders>
              <w:bottom w:val="nil"/>
            </w:tcBorders>
            <w:vAlign w:val="center"/>
          </w:tcPr>
          <w:p w14:paraId="6C16746B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nil"/>
            </w:tcBorders>
            <w:vAlign w:val="center"/>
          </w:tcPr>
          <w:p w14:paraId="347D15C6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1.21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3DB90BCC" w14:textId="34BAC1B3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0.76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1.91</w:t>
            </w:r>
          </w:p>
        </w:tc>
      </w:tr>
      <w:tr w:rsidR="00466FB2" w:rsidRPr="00EA1F05" w14:paraId="7442CAEC" w14:textId="77777777" w:rsidTr="00466FB2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26" w:type="pct"/>
            <w:tcBorders>
              <w:bottom w:val="nil"/>
            </w:tcBorders>
            <w:vAlign w:val="center"/>
          </w:tcPr>
          <w:p w14:paraId="30C985EA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Meiryo" w:hAnsi="Times New Roman"/>
                <w:color w:val="000000" w:themeColor="text1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78" w:type="pct"/>
            <w:tcBorders>
              <w:bottom w:val="nil"/>
            </w:tcBorders>
            <w:vAlign w:val="center"/>
          </w:tcPr>
          <w:p w14:paraId="3E231C87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2.60</w:t>
            </w: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640A3B8F" w14:textId="7BA5ADD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0.88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7.69</w:t>
            </w:r>
          </w:p>
        </w:tc>
        <w:tc>
          <w:tcPr>
            <w:tcW w:w="132" w:type="pct"/>
            <w:tcBorders>
              <w:bottom w:val="nil"/>
            </w:tcBorders>
            <w:vAlign w:val="center"/>
          </w:tcPr>
          <w:p w14:paraId="779BD8F4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nil"/>
            </w:tcBorders>
            <w:vAlign w:val="center"/>
          </w:tcPr>
          <w:p w14:paraId="30DEFA15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1.36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752CD1C4" w14:textId="1E0B0BB1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0.70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2.63</w:t>
            </w:r>
          </w:p>
        </w:tc>
        <w:tc>
          <w:tcPr>
            <w:tcW w:w="131" w:type="pct"/>
            <w:tcBorders>
              <w:bottom w:val="nil"/>
            </w:tcBorders>
            <w:vAlign w:val="center"/>
          </w:tcPr>
          <w:p w14:paraId="537839BF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bottom w:val="nil"/>
            </w:tcBorders>
            <w:vAlign w:val="center"/>
          </w:tcPr>
          <w:p w14:paraId="464C43CE" w14:textId="77777777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657" w:type="pct"/>
            <w:tcBorders>
              <w:bottom w:val="nil"/>
            </w:tcBorders>
            <w:vAlign w:val="center"/>
          </w:tcPr>
          <w:p w14:paraId="76D2137E" w14:textId="28CC3F12" w:rsidR="00466FB2" w:rsidRPr="00EA1F05" w:rsidRDefault="00466FB2" w:rsidP="00466F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0.97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2.80</w:t>
            </w:r>
          </w:p>
        </w:tc>
      </w:tr>
      <w:tr w:rsidR="00466FB2" w:rsidRPr="00EA1F05" w14:paraId="6A95E784" w14:textId="77777777" w:rsidTr="00466FB2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FAD34" w14:textId="12ABCAF0" w:rsidR="00466FB2" w:rsidRPr="00EA1F05" w:rsidRDefault="00466FB2" w:rsidP="00466FB2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The adjusted odds ratio is estimated by logistic regression </w:t>
            </w:r>
            <w:r w:rsidR="00751B5B"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after</w:t>
            </w: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 adjustment for age, sex, body mass index, hypertension, diabetes mellitus, cardiovascular disease, malignancy, chronic obstructive pulmonary disease, asthma, chronic liver disease, and chronic kidney disease.</w:t>
            </w:r>
          </w:p>
          <w:p w14:paraId="74548C43" w14:textId="63952084" w:rsidR="00466FB2" w:rsidRPr="00EA1F05" w:rsidRDefault="00751B5B" w:rsidP="00466FB2">
            <w:pPr>
              <w:widowControl/>
              <w:spacing w:line="280" w:lineRule="exact"/>
              <w:jc w:val="left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aOR, adjusted odds ratio; </w:t>
            </w:r>
            <w:r w:rsidR="00466FB2"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95% CI, 95% confidence interval;</w:t>
            </w: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 ICU, intensive care unit; IMV,</w:t>
            </w:r>
            <w:r w:rsidRPr="00EA1F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invasive mechanical ventilation; ref., reference.</w:t>
            </w:r>
          </w:p>
        </w:tc>
      </w:tr>
    </w:tbl>
    <w:p w14:paraId="30DBDCEF" w14:textId="327E7D66" w:rsidR="00972F28" w:rsidRPr="008455A6" w:rsidRDefault="00972F2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41FD4DE9" w14:textId="21F32CAF" w:rsidR="00C17694" w:rsidRPr="008455A6" w:rsidRDefault="00C17694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090604C7" w14:textId="46F1F98B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4BFF2CA0" w14:textId="175FDBE1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538313D7" w14:textId="669CF56C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2E8013AA" w14:textId="027F3C06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62E6ECB" w14:textId="1E5D5FEE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7F35F371" w14:textId="53C928EA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7338461" w14:textId="3E6A623E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1247B8AC" w14:textId="64845149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432F3D34" w14:textId="064BCC03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24DE3395" w14:textId="7B6DA036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37A82397" w14:textId="486A27F4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2B8B9C26" w14:textId="25F235D9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06A94CE9" w14:textId="27F8443D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  <w:r w:rsidRPr="008455A6">
        <w:rPr>
          <w:rFonts w:ascii="Times New Roman" w:hAnsi="Times New Roman"/>
          <w:sz w:val="18"/>
          <w:szCs w:val="18"/>
        </w:rPr>
        <w:br w:type="page"/>
      </w:r>
    </w:p>
    <w:tbl>
      <w:tblPr>
        <w:tblpPr w:leftFromText="142" w:rightFromText="142" w:vertAnchor="text" w:horzAnchor="margin" w:tblpY="-258"/>
        <w:tblW w:w="3913" w:type="pct"/>
        <w:tblBorders>
          <w:top w:val="nil"/>
          <w:left w:val="nil"/>
          <w:right w:val="nil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967"/>
        <w:gridCol w:w="1048"/>
        <w:gridCol w:w="220"/>
        <w:gridCol w:w="965"/>
        <w:gridCol w:w="1048"/>
        <w:gridCol w:w="220"/>
        <w:gridCol w:w="965"/>
        <w:gridCol w:w="1044"/>
      </w:tblGrid>
      <w:tr w:rsidR="00CA7A0A" w:rsidRPr="00EA1F05" w14:paraId="5D4C5F04" w14:textId="77777777" w:rsidTr="00CA7A0A">
        <w:tc>
          <w:tcPr>
            <w:tcW w:w="5000" w:type="pct"/>
            <w:gridSpan w:val="9"/>
            <w:tcBorders>
              <w:top w:val="nil"/>
              <w:bottom w:val="single" w:sz="4" w:space="0" w:color="000000"/>
            </w:tcBorders>
          </w:tcPr>
          <w:p w14:paraId="1DF50EFA" w14:textId="1BE0BC1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455A6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lastRenderedPageBreak/>
              <w:t xml:space="preserve">Supplementary </w:t>
            </w:r>
            <w:r w:rsidRPr="008455A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Table </w:t>
            </w:r>
            <w:r w:rsidR="00466FB2" w:rsidRPr="008455A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 w:rsidR="00751B5B" w:rsidRPr="008455A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.</w:t>
            </w:r>
            <w:r w:rsidRPr="00EA1F05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Association </w:t>
            </w:r>
            <w:r w:rsidR="00E56C0D"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between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ABO genotype </w:t>
            </w:r>
            <w:r w:rsidR="00E56C0D"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and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56C0D"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incidence of 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death, </w:t>
            </w: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IMV usage</w:t>
            </w: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 and</w:t>
            </w:r>
            <w:r w:rsidR="00E56C0D"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ICU </w:t>
            </w: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treatment</w:t>
            </w:r>
          </w:p>
        </w:tc>
      </w:tr>
      <w:tr w:rsidR="00CA7A0A" w:rsidRPr="00EA1F05" w14:paraId="18BC7A85" w14:textId="77777777" w:rsidTr="00CA7A0A">
        <w:tblPrEx>
          <w:tblBorders>
            <w:top w:val="none" w:sz="0" w:space="0" w:color="auto"/>
          </w:tblBorders>
        </w:tblPrEx>
        <w:tc>
          <w:tcPr>
            <w:tcW w:w="1047" w:type="pct"/>
            <w:vMerge w:val="restart"/>
            <w:vAlign w:val="center"/>
          </w:tcPr>
          <w:p w14:paraId="55E60042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ABO genotype</w:t>
            </w:r>
          </w:p>
        </w:tc>
        <w:tc>
          <w:tcPr>
            <w:tcW w:w="1230" w:type="pct"/>
            <w:gridSpan w:val="2"/>
            <w:tcBorders>
              <w:bottom w:val="single" w:sz="4" w:space="0" w:color="auto"/>
            </w:tcBorders>
            <w:vAlign w:val="center"/>
          </w:tcPr>
          <w:p w14:paraId="73A4BBB7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Death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11C25039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tcBorders>
              <w:bottom w:val="single" w:sz="4" w:space="0" w:color="auto"/>
            </w:tcBorders>
            <w:vAlign w:val="center"/>
          </w:tcPr>
          <w:p w14:paraId="668C4E2E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IMV usage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2FA032BF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pct"/>
            <w:gridSpan w:val="2"/>
            <w:tcBorders>
              <w:bottom w:val="single" w:sz="4" w:space="0" w:color="auto"/>
            </w:tcBorders>
            <w:vAlign w:val="center"/>
          </w:tcPr>
          <w:p w14:paraId="2FC7A2C7" w14:textId="69575812" w:rsidR="00CA7A0A" w:rsidRPr="00EA1F05" w:rsidRDefault="00E56C0D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ICU t</w:t>
            </w:r>
            <w:r w:rsidR="00CA7A0A"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reatment</w:t>
            </w:r>
          </w:p>
        </w:tc>
      </w:tr>
      <w:tr w:rsidR="00CA7A0A" w:rsidRPr="00EA1F05" w14:paraId="2B61B0D5" w14:textId="77777777" w:rsidTr="00CA7A0A">
        <w:tblPrEx>
          <w:tblBorders>
            <w:top w:val="none" w:sz="0" w:space="0" w:color="auto"/>
          </w:tblBorders>
        </w:tblPrEx>
        <w:tc>
          <w:tcPr>
            <w:tcW w:w="1047" w:type="pct"/>
            <w:vMerge/>
            <w:tcBorders>
              <w:bottom w:val="single" w:sz="4" w:space="0" w:color="auto"/>
            </w:tcBorders>
            <w:vAlign w:val="center"/>
          </w:tcPr>
          <w:p w14:paraId="11B50C12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699CDA84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4177DAD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2E131843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D9697FC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055169A1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1F4DF91E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0D5AAD2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aOR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6AB1359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95% CI</w:t>
            </w:r>
          </w:p>
        </w:tc>
      </w:tr>
      <w:tr w:rsidR="00CA7A0A" w:rsidRPr="00EA1F05" w14:paraId="56C43CD8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14:paraId="5DC9A01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OO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14:paraId="1B0F5B7D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373588AD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1BC92C84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0FBD8B5D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7598263B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68FF8F28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2F23D6C3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0CF2B988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ref.</w:t>
            </w:r>
          </w:p>
        </w:tc>
      </w:tr>
      <w:tr w:rsidR="00CA7A0A" w:rsidRPr="00EA1F05" w14:paraId="02BA1FC7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vAlign w:val="center"/>
          </w:tcPr>
          <w:p w14:paraId="415F0B47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590" w:type="pct"/>
            <w:vAlign w:val="center"/>
          </w:tcPr>
          <w:p w14:paraId="76407057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1.52</w:t>
            </w:r>
          </w:p>
        </w:tc>
        <w:tc>
          <w:tcPr>
            <w:tcW w:w="640" w:type="pct"/>
            <w:vAlign w:val="center"/>
          </w:tcPr>
          <w:p w14:paraId="2122B9BC" w14:textId="56DAACEA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0.41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5.67</w:t>
            </w:r>
          </w:p>
        </w:tc>
        <w:tc>
          <w:tcPr>
            <w:tcW w:w="134" w:type="pct"/>
            <w:vAlign w:val="center"/>
          </w:tcPr>
          <w:p w14:paraId="4C3C2C2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3B769941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40" w:type="pct"/>
            <w:vAlign w:val="center"/>
          </w:tcPr>
          <w:p w14:paraId="4FE21839" w14:textId="1E2868F2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0.47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2.08</w:t>
            </w:r>
          </w:p>
        </w:tc>
        <w:tc>
          <w:tcPr>
            <w:tcW w:w="134" w:type="pct"/>
            <w:vAlign w:val="center"/>
          </w:tcPr>
          <w:p w14:paraId="2FC812BB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29836979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1.38</w:t>
            </w:r>
          </w:p>
        </w:tc>
        <w:tc>
          <w:tcPr>
            <w:tcW w:w="636" w:type="pct"/>
            <w:vAlign w:val="center"/>
          </w:tcPr>
          <w:p w14:paraId="3172231F" w14:textId="0F4EE0E3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0.78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2.44</w:t>
            </w:r>
          </w:p>
        </w:tc>
      </w:tr>
      <w:tr w:rsidR="00CA7A0A" w:rsidRPr="00EA1F05" w14:paraId="5235FD6B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tcBorders>
              <w:bottom w:val="nil"/>
            </w:tcBorders>
            <w:vAlign w:val="center"/>
          </w:tcPr>
          <w:p w14:paraId="3961BBA8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AO</w:t>
            </w:r>
          </w:p>
        </w:tc>
        <w:tc>
          <w:tcPr>
            <w:tcW w:w="590" w:type="pct"/>
            <w:tcBorders>
              <w:bottom w:val="nil"/>
            </w:tcBorders>
            <w:vAlign w:val="center"/>
          </w:tcPr>
          <w:p w14:paraId="7568F5DF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56AD54AF" w14:textId="60161731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0.25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2.13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5296B45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7A911D42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2C1C5AE6" w14:textId="4A848B84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0.76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2.08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56D7EF03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34F92E8A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1.49</w:t>
            </w:r>
          </w:p>
        </w:tc>
        <w:tc>
          <w:tcPr>
            <w:tcW w:w="636" w:type="pct"/>
            <w:tcBorders>
              <w:bottom w:val="nil"/>
            </w:tcBorders>
            <w:vAlign w:val="center"/>
          </w:tcPr>
          <w:p w14:paraId="567B45EA" w14:textId="59E92330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0.99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2.24</w:t>
            </w:r>
          </w:p>
        </w:tc>
      </w:tr>
      <w:tr w:rsidR="00CA7A0A" w:rsidRPr="00EA1F05" w14:paraId="4318F8F8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tcBorders>
              <w:bottom w:val="nil"/>
            </w:tcBorders>
            <w:vAlign w:val="center"/>
          </w:tcPr>
          <w:p w14:paraId="7C47E2C9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Meiryo" w:hAnsi="Times New Roman"/>
                <w:color w:val="000000" w:themeColor="text1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90" w:type="pct"/>
            <w:tcBorders>
              <w:bottom w:val="nil"/>
            </w:tcBorders>
            <w:vAlign w:val="center"/>
          </w:tcPr>
          <w:p w14:paraId="6CD42EF4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2.63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231A4340" w14:textId="5FF7D94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0.89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7.79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4192A46C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31BAA99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1.36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6108BDFA" w14:textId="425767C3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0.70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2.62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276CFB89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1AFA76D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636" w:type="pct"/>
            <w:tcBorders>
              <w:bottom w:val="nil"/>
            </w:tcBorders>
            <w:vAlign w:val="center"/>
          </w:tcPr>
          <w:p w14:paraId="15ADAED6" w14:textId="2E347E0E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0.97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2.79</w:t>
            </w:r>
          </w:p>
        </w:tc>
      </w:tr>
      <w:tr w:rsidR="00CA7A0A" w:rsidRPr="00EA1F05" w14:paraId="009B28E7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tcBorders>
              <w:bottom w:val="nil"/>
            </w:tcBorders>
            <w:vAlign w:val="center"/>
          </w:tcPr>
          <w:p w14:paraId="301428E6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Meiryo" w:hAnsi="Times New Roman"/>
                <w:color w:val="000000" w:themeColor="text1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BB</w:t>
            </w:r>
          </w:p>
        </w:tc>
        <w:tc>
          <w:tcPr>
            <w:tcW w:w="590" w:type="pct"/>
            <w:tcBorders>
              <w:bottom w:val="nil"/>
            </w:tcBorders>
            <w:vAlign w:val="center"/>
          </w:tcPr>
          <w:p w14:paraId="1071BB20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2.56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76247D9C" w14:textId="2ED4AD3D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0.47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13.8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70F3B258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500DD0BB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2.11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14:paraId="3D0D6C07" w14:textId="3006C1F2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0.76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5.82</w:t>
            </w:r>
          </w:p>
        </w:tc>
        <w:tc>
          <w:tcPr>
            <w:tcW w:w="134" w:type="pct"/>
            <w:tcBorders>
              <w:bottom w:val="nil"/>
            </w:tcBorders>
            <w:vAlign w:val="center"/>
          </w:tcPr>
          <w:p w14:paraId="46F61711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14:paraId="69DFCECD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636" w:type="pct"/>
            <w:tcBorders>
              <w:bottom w:val="nil"/>
            </w:tcBorders>
            <w:vAlign w:val="center"/>
          </w:tcPr>
          <w:p w14:paraId="4A0D7054" w14:textId="0E4B3104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0.48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3.28</w:t>
            </w:r>
          </w:p>
        </w:tc>
      </w:tr>
      <w:tr w:rsidR="00CA7A0A" w:rsidRPr="00EA1F05" w14:paraId="010A72EA" w14:textId="77777777" w:rsidTr="00CA7A0A">
        <w:tblPrEx>
          <w:tblBorders>
            <w:top w:val="none" w:sz="0" w:space="0" w:color="auto"/>
          </w:tblBorders>
        </w:tblPrEx>
        <w:trPr>
          <w:trHeight w:val="340"/>
        </w:trPr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B7CC5FC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BO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5CC44ADC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1.14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7178B7F4" w14:textId="75A42098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0.38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3.38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3F360A45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734D202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60696181" w14:textId="348365A0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0.53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1.75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45CE7658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C9ED7B3" w14:textId="77777777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1.20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14C5BDAE" w14:textId="2FDE6F16" w:rsidR="00CA7A0A" w:rsidRPr="00EA1F05" w:rsidRDefault="00CA7A0A" w:rsidP="00CB27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0.75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–</w:t>
            </w:r>
            <w:r w:rsidRPr="00EA1F05">
              <w:rPr>
                <w:rFonts w:ascii="Times New Roman" w:eastAsia="Yu Gothic" w:hAnsi="Times New Roman"/>
                <w:color w:val="000000"/>
                <w:kern w:val="24"/>
                <w:sz w:val="18"/>
                <w:szCs w:val="18"/>
              </w:rPr>
              <w:t>1.93</w:t>
            </w:r>
          </w:p>
        </w:tc>
      </w:tr>
      <w:tr w:rsidR="00CA7A0A" w:rsidRPr="00EA1F05" w14:paraId="5E846E42" w14:textId="77777777" w:rsidTr="00CA7A0A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71F0D" w14:textId="72AD85BB" w:rsidR="00CA7A0A" w:rsidRPr="00EA1F05" w:rsidRDefault="00CA7A0A" w:rsidP="00CB27CE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The adjusted odds ratio is estimated by logistic regression </w:t>
            </w:r>
            <w:r w:rsidR="00E56C0D"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after</w:t>
            </w: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 adjustment for age, sex, body mass index, hypertension, diabetes mellitus, cardiovascular disease, malignancy, chronic obstructive pulmonary disease, asthma, chronic liver disease, and chronic kidney disease.</w:t>
            </w:r>
          </w:p>
          <w:p w14:paraId="259EF75D" w14:textId="05F05138" w:rsidR="00CA7A0A" w:rsidRPr="00EA1F05" w:rsidRDefault="00E56C0D" w:rsidP="00CB27CE">
            <w:pPr>
              <w:widowControl/>
              <w:spacing w:line="280" w:lineRule="exact"/>
              <w:jc w:val="left"/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</w:pP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aOR, adjusted odds ratio;</w:t>
            </w:r>
            <w:r w:rsidRPr="008455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7A0A"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 xml:space="preserve">95% CI, 95% confidence interval; </w:t>
            </w:r>
            <w:r w:rsidRPr="00EA1F05">
              <w:rPr>
                <w:rFonts w:ascii="Times New Roman" w:eastAsia="Yu Gothic" w:hAnsi="Times New Roman"/>
                <w:color w:val="000000"/>
                <w:kern w:val="0"/>
                <w:sz w:val="18"/>
                <w:szCs w:val="18"/>
              </w:rPr>
              <w:t>ICU, intensive care unit; IMV, invasive mechanical ventilation; ref., reference.</w:t>
            </w:r>
          </w:p>
        </w:tc>
      </w:tr>
    </w:tbl>
    <w:p w14:paraId="7A5E9779" w14:textId="77777777" w:rsidR="00CA7A0A" w:rsidRPr="008455A6" w:rsidRDefault="00CA7A0A">
      <w:pPr>
        <w:widowControl/>
        <w:jc w:val="left"/>
        <w:rPr>
          <w:rFonts w:ascii="Times New Roman" w:hAnsi="Times New Roman"/>
          <w:sz w:val="18"/>
          <w:szCs w:val="18"/>
        </w:rPr>
      </w:pPr>
    </w:p>
    <w:sectPr w:rsidR="00CA7A0A" w:rsidRPr="008455A6" w:rsidSect="00972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hor" w:initials="A">
    <w:p w14:paraId="0A18A4CD" w14:textId="121D84B5" w:rsidR="00904008" w:rsidRDefault="00904008">
      <w:pPr>
        <w:pStyle w:val="CommentText"/>
      </w:pPr>
      <w:r>
        <w:rPr>
          <w:rStyle w:val="CommentReference"/>
        </w:rPr>
        <w:annotationRef/>
      </w:r>
      <w:r>
        <w:t xml:space="preserve">Please note that there were no journal-specific formatting requirements for the supplementary material. Thus, no change was required in these files.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18A4C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1D5D" w14:textId="77777777" w:rsidR="007B4E0A" w:rsidRDefault="007B4E0A" w:rsidP="00680FAA">
      <w:r>
        <w:separator/>
      </w:r>
    </w:p>
  </w:endnote>
  <w:endnote w:type="continuationSeparator" w:id="0">
    <w:p w14:paraId="3284E2A9" w14:textId="77777777" w:rsidR="007B4E0A" w:rsidRDefault="007B4E0A" w:rsidP="0068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1E7F" w14:textId="77777777" w:rsidR="00680FAA" w:rsidRDefault="00680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45BA" w14:textId="77777777" w:rsidR="00680FAA" w:rsidRPr="00680FAA" w:rsidRDefault="00680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ED5A4" w14:textId="77777777" w:rsidR="00680FAA" w:rsidRPr="00680FAA" w:rsidRDefault="0068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F9C2C" w14:textId="77777777" w:rsidR="007B4E0A" w:rsidRDefault="007B4E0A" w:rsidP="00680FAA">
      <w:r>
        <w:separator/>
      </w:r>
    </w:p>
  </w:footnote>
  <w:footnote w:type="continuationSeparator" w:id="0">
    <w:p w14:paraId="5C0F0091" w14:textId="77777777" w:rsidR="007B4E0A" w:rsidRDefault="007B4E0A" w:rsidP="0068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02041" w14:textId="77777777" w:rsidR="00680FAA" w:rsidRDefault="00680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C933" w14:textId="77777777" w:rsidR="00680FAA" w:rsidRPr="00680FAA" w:rsidRDefault="00680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46E5" w14:textId="77777777" w:rsidR="00680FAA" w:rsidRPr="00680FAA" w:rsidRDefault="00680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GB" w:vendorID="64" w:dllVersion="409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0B"/>
    <w:rsid w:val="00001BDC"/>
    <w:rsid w:val="0000520F"/>
    <w:rsid w:val="00006E00"/>
    <w:rsid w:val="00013A2D"/>
    <w:rsid w:val="0001432D"/>
    <w:rsid w:val="000216EA"/>
    <w:rsid w:val="000221CA"/>
    <w:rsid w:val="00027D70"/>
    <w:rsid w:val="00032F0D"/>
    <w:rsid w:val="00040775"/>
    <w:rsid w:val="00063598"/>
    <w:rsid w:val="00082B3C"/>
    <w:rsid w:val="0008357E"/>
    <w:rsid w:val="00093F23"/>
    <w:rsid w:val="000A5524"/>
    <w:rsid w:val="000A78E8"/>
    <w:rsid w:val="000B3BCB"/>
    <w:rsid w:val="000D1D29"/>
    <w:rsid w:val="000F35F4"/>
    <w:rsid w:val="001108FB"/>
    <w:rsid w:val="001128DF"/>
    <w:rsid w:val="00120C98"/>
    <w:rsid w:val="001460C3"/>
    <w:rsid w:val="00156F53"/>
    <w:rsid w:val="0015787D"/>
    <w:rsid w:val="00160933"/>
    <w:rsid w:val="001644BF"/>
    <w:rsid w:val="001670BA"/>
    <w:rsid w:val="001864FE"/>
    <w:rsid w:val="001E38A2"/>
    <w:rsid w:val="001F5762"/>
    <w:rsid w:val="00214246"/>
    <w:rsid w:val="002338FF"/>
    <w:rsid w:val="00236A71"/>
    <w:rsid w:val="00241FD6"/>
    <w:rsid w:val="002421C5"/>
    <w:rsid w:val="00243C5B"/>
    <w:rsid w:val="002471F2"/>
    <w:rsid w:val="00254483"/>
    <w:rsid w:val="0025657C"/>
    <w:rsid w:val="00271509"/>
    <w:rsid w:val="00276F4C"/>
    <w:rsid w:val="00277C99"/>
    <w:rsid w:val="0028423B"/>
    <w:rsid w:val="00284E6D"/>
    <w:rsid w:val="00294A3F"/>
    <w:rsid w:val="002959AA"/>
    <w:rsid w:val="002A2514"/>
    <w:rsid w:val="002B0BCD"/>
    <w:rsid w:val="002B120B"/>
    <w:rsid w:val="002B32FB"/>
    <w:rsid w:val="002B6A17"/>
    <w:rsid w:val="002B6AF5"/>
    <w:rsid w:val="002C5900"/>
    <w:rsid w:val="002D6C55"/>
    <w:rsid w:val="002E3E5B"/>
    <w:rsid w:val="0030128D"/>
    <w:rsid w:val="0031728B"/>
    <w:rsid w:val="00333383"/>
    <w:rsid w:val="00336761"/>
    <w:rsid w:val="003728CB"/>
    <w:rsid w:val="00381904"/>
    <w:rsid w:val="00392918"/>
    <w:rsid w:val="00397442"/>
    <w:rsid w:val="003A3B63"/>
    <w:rsid w:val="003A504D"/>
    <w:rsid w:val="003B2589"/>
    <w:rsid w:val="003B7E75"/>
    <w:rsid w:val="003C66A4"/>
    <w:rsid w:val="003D0EE7"/>
    <w:rsid w:val="003D72D3"/>
    <w:rsid w:val="003F6C6E"/>
    <w:rsid w:val="0041622C"/>
    <w:rsid w:val="0042357B"/>
    <w:rsid w:val="00426E4A"/>
    <w:rsid w:val="00433844"/>
    <w:rsid w:val="00446890"/>
    <w:rsid w:val="0045506F"/>
    <w:rsid w:val="00456B17"/>
    <w:rsid w:val="00463120"/>
    <w:rsid w:val="00464471"/>
    <w:rsid w:val="0046454B"/>
    <w:rsid w:val="00466FB2"/>
    <w:rsid w:val="00474735"/>
    <w:rsid w:val="004841E8"/>
    <w:rsid w:val="004A044E"/>
    <w:rsid w:val="004A49AB"/>
    <w:rsid w:val="004A63B7"/>
    <w:rsid w:val="004B226F"/>
    <w:rsid w:val="004E4F5F"/>
    <w:rsid w:val="004F756A"/>
    <w:rsid w:val="005114B7"/>
    <w:rsid w:val="005131C6"/>
    <w:rsid w:val="00514CA1"/>
    <w:rsid w:val="0053172B"/>
    <w:rsid w:val="0053208B"/>
    <w:rsid w:val="0054163C"/>
    <w:rsid w:val="00546CE5"/>
    <w:rsid w:val="00563679"/>
    <w:rsid w:val="00565DB5"/>
    <w:rsid w:val="00577B95"/>
    <w:rsid w:val="005A0435"/>
    <w:rsid w:val="005A278D"/>
    <w:rsid w:val="005A6038"/>
    <w:rsid w:val="005B1138"/>
    <w:rsid w:val="005B50B0"/>
    <w:rsid w:val="005C0BC8"/>
    <w:rsid w:val="005E13F7"/>
    <w:rsid w:val="00601B83"/>
    <w:rsid w:val="00602FC5"/>
    <w:rsid w:val="006141CA"/>
    <w:rsid w:val="00646027"/>
    <w:rsid w:val="00647E9C"/>
    <w:rsid w:val="00662E3A"/>
    <w:rsid w:val="00671C77"/>
    <w:rsid w:val="00677CFB"/>
    <w:rsid w:val="006802F3"/>
    <w:rsid w:val="00680FAA"/>
    <w:rsid w:val="006828AF"/>
    <w:rsid w:val="006854E9"/>
    <w:rsid w:val="0068664E"/>
    <w:rsid w:val="006B4132"/>
    <w:rsid w:val="006B5391"/>
    <w:rsid w:val="006F0674"/>
    <w:rsid w:val="006F51CB"/>
    <w:rsid w:val="006F796A"/>
    <w:rsid w:val="00721D64"/>
    <w:rsid w:val="00723A52"/>
    <w:rsid w:val="00723BE7"/>
    <w:rsid w:val="00744412"/>
    <w:rsid w:val="0074612D"/>
    <w:rsid w:val="00751B5B"/>
    <w:rsid w:val="00752E88"/>
    <w:rsid w:val="0076076D"/>
    <w:rsid w:val="00763F5D"/>
    <w:rsid w:val="00771DD2"/>
    <w:rsid w:val="0077707A"/>
    <w:rsid w:val="00790567"/>
    <w:rsid w:val="007909F1"/>
    <w:rsid w:val="00790EA1"/>
    <w:rsid w:val="00793CA6"/>
    <w:rsid w:val="00795632"/>
    <w:rsid w:val="00797543"/>
    <w:rsid w:val="00797591"/>
    <w:rsid w:val="007B4E0A"/>
    <w:rsid w:val="007C2261"/>
    <w:rsid w:val="007F4220"/>
    <w:rsid w:val="007F45EA"/>
    <w:rsid w:val="007F4D14"/>
    <w:rsid w:val="007F7019"/>
    <w:rsid w:val="00800788"/>
    <w:rsid w:val="00811011"/>
    <w:rsid w:val="00812E22"/>
    <w:rsid w:val="00814F91"/>
    <w:rsid w:val="0082319F"/>
    <w:rsid w:val="0082461A"/>
    <w:rsid w:val="0083649D"/>
    <w:rsid w:val="00837B85"/>
    <w:rsid w:val="008455A6"/>
    <w:rsid w:val="0084596F"/>
    <w:rsid w:val="008669DB"/>
    <w:rsid w:val="008952FF"/>
    <w:rsid w:val="008A1872"/>
    <w:rsid w:val="008A6825"/>
    <w:rsid w:val="008B7F2F"/>
    <w:rsid w:val="008D32B4"/>
    <w:rsid w:val="008E4CFB"/>
    <w:rsid w:val="008F0FFD"/>
    <w:rsid w:val="008F4D9F"/>
    <w:rsid w:val="008F5218"/>
    <w:rsid w:val="009039AD"/>
    <w:rsid w:val="00904008"/>
    <w:rsid w:val="00905F03"/>
    <w:rsid w:val="0093067C"/>
    <w:rsid w:val="00940526"/>
    <w:rsid w:val="00966C52"/>
    <w:rsid w:val="00972F28"/>
    <w:rsid w:val="009810BF"/>
    <w:rsid w:val="009A15CD"/>
    <w:rsid w:val="009A55AD"/>
    <w:rsid w:val="009A599F"/>
    <w:rsid w:val="009B378E"/>
    <w:rsid w:val="009B4C57"/>
    <w:rsid w:val="009D0FA0"/>
    <w:rsid w:val="009D1444"/>
    <w:rsid w:val="009F0C1E"/>
    <w:rsid w:val="009F4430"/>
    <w:rsid w:val="00A40DA7"/>
    <w:rsid w:val="00A502D2"/>
    <w:rsid w:val="00A642E4"/>
    <w:rsid w:val="00A74E98"/>
    <w:rsid w:val="00A75641"/>
    <w:rsid w:val="00A8176B"/>
    <w:rsid w:val="00A845B4"/>
    <w:rsid w:val="00A93C17"/>
    <w:rsid w:val="00A93F38"/>
    <w:rsid w:val="00A947AE"/>
    <w:rsid w:val="00A955EA"/>
    <w:rsid w:val="00AB4BCB"/>
    <w:rsid w:val="00AC3B97"/>
    <w:rsid w:val="00AC4E93"/>
    <w:rsid w:val="00B02C23"/>
    <w:rsid w:val="00B13B75"/>
    <w:rsid w:val="00B16F0F"/>
    <w:rsid w:val="00B24E62"/>
    <w:rsid w:val="00B26496"/>
    <w:rsid w:val="00B30A0B"/>
    <w:rsid w:val="00B36A97"/>
    <w:rsid w:val="00B428FA"/>
    <w:rsid w:val="00B742B0"/>
    <w:rsid w:val="00BB0EE9"/>
    <w:rsid w:val="00BE5BBA"/>
    <w:rsid w:val="00BE7D1F"/>
    <w:rsid w:val="00BF16CE"/>
    <w:rsid w:val="00BF39A4"/>
    <w:rsid w:val="00C03E74"/>
    <w:rsid w:val="00C05543"/>
    <w:rsid w:val="00C11530"/>
    <w:rsid w:val="00C127CB"/>
    <w:rsid w:val="00C15D1B"/>
    <w:rsid w:val="00C17694"/>
    <w:rsid w:val="00C34A62"/>
    <w:rsid w:val="00C43B51"/>
    <w:rsid w:val="00C474AD"/>
    <w:rsid w:val="00C51A12"/>
    <w:rsid w:val="00C60C27"/>
    <w:rsid w:val="00C703FB"/>
    <w:rsid w:val="00C76E40"/>
    <w:rsid w:val="00C77FF4"/>
    <w:rsid w:val="00C836B3"/>
    <w:rsid w:val="00C84EB1"/>
    <w:rsid w:val="00C95D0A"/>
    <w:rsid w:val="00CA7A0A"/>
    <w:rsid w:val="00CB06F6"/>
    <w:rsid w:val="00CB7D3C"/>
    <w:rsid w:val="00CF68CC"/>
    <w:rsid w:val="00D006ED"/>
    <w:rsid w:val="00D12C3F"/>
    <w:rsid w:val="00D14D12"/>
    <w:rsid w:val="00D22FB2"/>
    <w:rsid w:val="00D30966"/>
    <w:rsid w:val="00D600D7"/>
    <w:rsid w:val="00D7627D"/>
    <w:rsid w:val="00D80893"/>
    <w:rsid w:val="00DA128B"/>
    <w:rsid w:val="00DA3FEF"/>
    <w:rsid w:val="00DA55A2"/>
    <w:rsid w:val="00DB141B"/>
    <w:rsid w:val="00DD4934"/>
    <w:rsid w:val="00DD65F5"/>
    <w:rsid w:val="00DF23C9"/>
    <w:rsid w:val="00E02403"/>
    <w:rsid w:val="00E04EDA"/>
    <w:rsid w:val="00E500BE"/>
    <w:rsid w:val="00E56C0D"/>
    <w:rsid w:val="00E57217"/>
    <w:rsid w:val="00E57FA4"/>
    <w:rsid w:val="00E610F4"/>
    <w:rsid w:val="00E77C5B"/>
    <w:rsid w:val="00E934BA"/>
    <w:rsid w:val="00E93B67"/>
    <w:rsid w:val="00EA0C91"/>
    <w:rsid w:val="00EA1F05"/>
    <w:rsid w:val="00EA2A7B"/>
    <w:rsid w:val="00EA4183"/>
    <w:rsid w:val="00EC7400"/>
    <w:rsid w:val="00EE4262"/>
    <w:rsid w:val="00EF1D1D"/>
    <w:rsid w:val="00F0237F"/>
    <w:rsid w:val="00F27B9D"/>
    <w:rsid w:val="00F528F6"/>
    <w:rsid w:val="00F535A6"/>
    <w:rsid w:val="00F55E0C"/>
    <w:rsid w:val="00F7015A"/>
    <w:rsid w:val="00F74973"/>
    <w:rsid w:val="00F84384"/>
    <w:rsid w:val="00F97F44"/>
    <w:rsid w:val="00FA31FA"/>
    <w:rsid w:val="00FB3CEC"/>
    <w:rsid w:val="00FB6712"/>
    <w:rsid w:val="00FB6D96"/>
    <w:rsid w:val="00FC63BB"/>
    <w:rsid w:val="00FE1C38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D4A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0B"/>
    <w:pPr>
      <w:widowControl w:val="0"/>
      <w:jc w:val="both"/>
    </w:pPr>
    <w:rPr>
      <w:rFonts w:ascii="Century" w:eastAsia="MS Mincho" w:hAnsi="Century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71DD2"/>
    <w:rPr>
      <w:rFonts w:ascii="Century" w:eastAsia="MS Mincho" w:hAnsi="Century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0B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BC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BCD"/>
    <w:rPr>
      <w:rFonts w:ascii="Century" w:eastAsia="MS Mincho" w:hAnsi="Century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BCD"/>
    <w:rPr>
      <w:rFonts w:ascii="Century" w:eastAsia="MS Mincho" w:hAnsi="Century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1B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FAA"/>
    <w:rPr>
      <w:rFonts w:ascii="Century" w:eastAsia="MS Mincho" w:hAnsi="Century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0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FAA"/>
    <w:rPr>
      <w:rFonts w:ascii="Century" w:eastAsia="MS Mincho" w:hAnsi="Century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0E914-2D4C-4AB3-AC97-25DFC0C2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2022-06-16T05:29:00Z</dcterms:created>
  <dcterms:modified xsi:type="dcterms:W3CDTF">2022-07-07T00:54:00Z</dcterms:modified>
</cp:coreProperties>
</file>