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6BB59477" w:rsidRDefault="6BB59477" w14:paraId="419BC3DB" w14:textId="73512E82">
      <w:r w:rsidRPr="6BB59477" w:rsidR="6BB59477">
        <w:rPr>
          <w:b w:val="1"/>
          <w:bCs w:val="1"/>
        </w:rPr>
        <w:t xml:space="preserve">Supplementary Information for “Portable and cost-effective genetic detection and characterization of </w:t>
      </w:r>
      <w:r w:rsidRPr="6BB59477" w:rsidR="6BB59477">
        <w:rPr>
          <w:b w:val="1"/>
          <w:bCs w:val="1"/>
          <w:i w:val="1"/>
          <w:iCs w:val="1"/>
        </w:rPr>
        <w:t xml:space="preserve">pfhrp2 </w:t>
      </w:r>
      <w:r w:rsidRPr="6BB59477" w:rsidR="6BB59477">
        <w:rPr>
          <w:b w:val="1"/>
          <w:bCs w:val="1"/>
          <w:i w:val="0"/>
          <w:iCs w:val="0"/>
        </w:rPr>
        <w:t xml:space="preserve">using the </w:t>
      </w:r>
      <w:proofErr w:type="spellStart"/>
      <w:r w:rsidRPr="6BB59477" w:rsidR="6BB59477">
        <w:rPr>
          <w:b w:val="1"/>
          <w:bCs w:val="1"/>
          <w:i w:val="0"/>
          <w:iCs w:val="0"/>
        </w:rPr>
        <w:t>MinION</w:t>
      </w:r>
      <w:proofErr w:type="spellEnd"/>
      <w:r w:rsidRPr="6BB59477" w:rsidR="6BB59477">
        <w:rPr>
          <w:b w:val="1"/>
          <w:bCs w:val="1"/>
          <w:i w:val="0"/>
          <w:iCs w:val="0"/>
        </w:rPr>
        <w:t xml:space="preserve"> sequencer”</w:t>
      </w:r>
    </w:p>
    <w:p w:rsidR="6BB59477" w:rsidP="6BB59477" w:rsidRDefault="6BB59477" w14:paraId="35798E83" w14:textId="6A662308">
      <w:pPr>
        <w:spacing w:after="160" w:line="240" w:lineRule="auto"/>
        <w:rPr>
          <w:rFonts w:ascii="Calibri" w:hAnsi="Calibri" w:eastAsia="Calibri" w:cs="Calibri"/>
          <w:b w:val="0"/>
          <w:bCs w:val="0"/>
          <w:i w:val="0"/>
          <w:iCs w:val="0"/>
          <w:noProof w:val="0"/>
          <w:color w:val="000000" w:themeColor="text1" w:themeTint="FF" w:themeShade="FF"/>
          <w:sz w:val="13"/>
          <w:szCs w:val="13"/>
          <w:lang w:val="en-US"/>
        </w:rPr>
      </w:pPr>
      <w:r w:rsidRPr="6BB59477" w:rsidR="6BB59477">
        <w:rPr>
          <w:rFonts w:ascii="Calibri" w:hAnsi="Calibri" w:eastAsia="Calibri" w:cs="Calibri"/>
          <w:b w:val="0"/>
          <w:bCs w:val="0"/>
          <w:i w:val="0"/>
          <w:iCs w:val="0"/>
          <w:noProof w:val="0"/>
          <w:color w:val="000000" w:themeColor="text1" w:themeTint="FF" w:themeShade="FF"/>
          <w:sz w:val="22"/>
          <w:szCs w:val="22"/>
          <w:lang w:val="en-US"/>
        </w:rPr>
        <w:t>Susanna Sabin</w:t>
      </w:r>
      <w:r w:rsidRPr="6BB59477" w:rsidR="6BB59477">
        <w:rPr>
          <w:rFonts w:ascii="Calibri" w:hAnsi="Calibri" w:eastAsia="Calibri" w:cs="Calibri"/>
          <w:b w:val="0"/>
          <w:bCs w:val="0"/>
          <w:i w:val="0"/>
          <w:iCs w:val="0"/>
          <w:noProof w:val="0"/>
          <w:color w:val="000000" w:themeColor="text1" w:themeTint="FF" w:themeShade="FF"/>
          <w:sz w:val="12"/>
          <w:szCs w:val="12"/>
          <w:vertAlign w:val="superscript"/>
          <w:lang w:val="en-US"/>
        </w:rPr>
        <w:t>1</w:t>
      </w:r>
      <w:r w:rsidRPr="6BB59477" w:rsidR="6BB59477">
        <w:rPr>
          <w:rFonts w:ascii="Calibri" w:hAnsi="Calibri" w:eastAsia="Calibri" w:cs="Calibri"/>
          <w:b w:val="0"/>
          <w:bCs w:val="0"/>
          <w:i w:val="0"/>
          <w:iCs w:val="0"/>
          <w:noProof w:val="0"/>
          <w:color w:val="000000" w:themeColor="text1" w:themeTint="FF" w:themeShade="FF"/>
          <w:sz w:val="13"/>
          <w:szCs w:val="13"/>
          <w:vertAlign w:val="superscript"/>
          <w:lang w:val="en-US"/>
        </w:rPr>
        <w:t>,2*</w:t>
      </w:r>
      <w:r w:rsidRPr="6BB59477" w:rsidR="6BB59477">
        <w:rPr>
          <w:rFonts w:ascii="Calibri" w:hAnsi="Calibri" w:eastAsia="Calibri" w:cs="Calibri"/>
          <w:b w:val="0"/>
          <w:bCs w:val="0"/>
          <w:i w:val="0"/>
          <w:iCs w:val="0"/>
          <w:noProof w:val="0"/>
          <w:color w:val="000000" w:themeColor="text1" w:themeTint="FF" w:themeShade="FF"/>
          <w:sz w:val="22"/>
          <w:szCs w:val="22"/>
          <w:lang w:val="en-US"/>
        </w:rPr>
        <w:t>, Sophie Jones</w:t>
      </w:r>
      <w:r w:rsidRPr="6BB59477" w:rsidR="6BB59477">
        <w:rPr>
          <w:rFonts w:ascii="Calibri" w:hAnsi="Calibri" w:eastAsia="Calibri" w:cs="Calibri"/>
          <w:b w:val="0"/>
          <w:bCs w:val="0"/>
          <w:i w:val="0"/>
          <w:iCs w:val="0"/>
          <w:noProof w:val="0"/>
          <w:color w:val="000000" w:themeColor="text1" w:themeTint="FF" w:themeShade="FF"/>
          <w:sz w:val="13"/>
          <w:szCs w:val="13"/>
          <w:vertAlign w:val="superscript"/>
          <w:lang w:val="en-US"/>
        </w:rPr>
        <w:t xml:space="preserve"> 1,3</w:t>
      </w:r>
      <w:r w:rsidRPr="6BB59477" w:rsidR="6BB59477">
        <w:rPr>
          <w:rFonts w:ascii="Calibri" w:hAnsi="Calibri" w:eastAsia="Calibri" w:cs="Calibri"/>
          <w:b w:val="0"/>
          <w:bCs w:val="0"/>
          <w:i w:val="0"/>
          <w:iCs w:val="0"/>
          <w:noProof w:val="0"/>
          <w:color w:val="000000" w:themeColor="text1" w:themeTint="FF" w:themeShade="FF"/>
          <w:sz w:val="22"/>
          <w:szCs w:val="22"/>
          <w:lang w:val="en-US"/>
        </w:rPr>
        <w:t xml:space="preserve">, </w:t>
      </w:r>
      <w:proofErr w:type="spellStart"/>
      <w:r w:rsidRPr="6BB59477" w:rsidR="6BB59477">
        <w:rPr>
          <w:rFonts w:ascii="Calibri" w:hAnsi="Calibri" w:eastAsia="Calibri" w:cs="Calibri"/>
          <w:b w:val="0"/>
          <w:bCs w:val="0"/>
          <w:i w:val="0"/>
          <w:iCs w:val="0"/>
          <w:noProof w:val="0"/>
          <w:color w:val="000000" w:themeColor="text1" w:themeTint="FF" w:themeShade="FF"/>
          <w:sz w:val="22"/>
          <w:szCs w:val="22"/>
          <w:lang w:val="en-US"/>
        </w:rPr>
        <w:t>Dhruviben</w:t>
      </w:r>
      <w:proofErr w:type="spellEnd"/>
      <w:r w:rsidRPr="6BB59477" w:rsidR="6BB59477">
        <w:rPr>
          <w:rFonts w:ascii="Calibri" w:hAnsi="Calibri" w:eastAsia="Calibri" w:cs="Calibri"/>
          <w:b w:val="0"/>
          <w:bCs w:val="0"/>
          <w:i w:val="0"/>
          <w:iCs w:val="0"/>
          <w:noProof w:val="0"/>
          <w:color w:val="000000" w:themeColor="text1" w:themeTint="FF" w:themeShade="FF"/>
          <w:sz w:val="22"/>
          <w:szCs w:val="22"/>
          <w:lang w:val="en-US"/>
        </w:rPr>
        <w:t xml:space="preserve"> Patel</w:t>
      </w:r>
      <w:r w:rsidRPr="6BB59477" w:rsidR="6BB59477">
        <w:rPr>
          <w:rFonts w:ascii="Calibri" w:hAnsi="Calibri" w:eastAsia="Calibri" w:cs="Calibri"/>
          <w:b w:val="0"/>
          <w:bCs w:val="0"/>
          <w:i w:val="0"/>
          <w:iCs w:val="0"/>
          <w:noProof w:val="0"/>
          <w:color w:val="000000" w:themeColor="text1" w:themeTint="FF" w:themeShade="FF"/>
          <w:sz w:val="13"/>
          <w:szCs w:val="13"/>
          <w:vertAlign w:val="superscript"/>
          <w:lang w:val="en-US"/>
        </w:rPr>
        <w:t>1,2</w:t>
      </w:r>
      <w:r w:rsidRPr="6BB59477" w:rsidR="6BB59477">
        <w:rPr>
          <w:rFonts w:ascii="Calibri" w:hAnsi="Calibri" w:eastAsia="Calibri" w:cs="Calibri"/>
          <w:b w:val="0"/>
          <w:bCs w:val="0"/>
          <w:i w:val="0"/>
          <w:iCs w:val="0"/>
          <w:noProof w:val="0"/>
          <w:color w:val="000000" w:themeColor="text1" w:themeTint="FF" w:themeShade="FF"/>
          <w:sz w:val="22"/>
          <w:szCs w:val="22"/>
          <w:lang w:val="en-US"/>
        </w:rPr>
        <w:t>, Gireesh Subramaniam</w:t>
      </w:r>
      <w:r w:rsidRPr="6BB59477" w:rsidR="6BB59477">
        <w:rPr>
          <w:rFonts w:ascii="Calibri" w:hAnsi="Calibri" w:eastAsia="Calibri" w:cs="Calibri"/>
          <w:b w:val="0"/>
          <w:bCs w:val="0"/>
          <w:i w:val="0"/>
          <w:iCs w:val="0"/>
          <w:noProof w:val="0"/>
          <w:color w:val="000000" w:themeColor="text1" w:themeTint="FF" w:themeShade="FF"/>
          <w:sz w:val="13"/>
          <w:szCs w:val="13"/>
          <w:vertAlign w:val="superscript"/>
          <w:lang w:val="en-US"/>
        </w:rPr>
        <w:t>1,2</w:t>
      </w:r>
      <w:r w:rsidRPr="6BB59477" w:rsidR="6BB59477">
        <w:rPr>
          <w:rFonts w:ascii="Calibri" w:hAnsi="Calibri" w:eastAsia="Calibri" w:cs="Calibri"/>
          <w:b w:val="0"/>
          <w:bCs w:val="0"/>
          <w:i w:val="0"/>
          <w:iCs w:val="0"/>
          <w:noProof w:val="0"/>
          <w:color w:val="000000" w:themeColor="text1" w:themeTint="FF" w:themeShade="FF"/>
          <w:sz w:val="22"/>
          <w:szCs w:val="22"/>
          <w:lang w:val="en-US"/>
        </w:rPr>
        <w:t>, Julia Kelley</w:t>
      </w:r>
      <w:r w:rsidRPr="6BB59477" w:rsidR="6BB59477">
        <w:rPr>
          <w:rFonts w:ascii="Calibri" w:hAnsi="Calibri" w:eastAsia="Calibri" w:cs="Calibri"/>
          <w:b w:val="0"/>
          <w:bCs w:val="0"/>
          <w:i w:val="0"/>
          <w:iCs w:val="0"/>
          <w:noProof w:val="0"/>
          <w:color w:val="000000" w:themeColor="text1" w:themeTint="FF" w:themeShade="FF"/>
          <w:sz w:val="13"/>
          <w:szCs w:val="13"/>
          <w:vertAlign w:val="superscript"/>
          <w:lang w:val="en-US"/>
        </w:rPr>
        <w:t>1</w:t>
      </w:r>
      <w:r w:rsidRPr="6BB59477" w:rsidR="6BB59477">
        <w:rPr>
          <w:rFonts w:ascii="Calibri" w:hAnsi="Calibri" w:eastAsia="Calibri" w:cs="Calibri"/>
          <w:b w:val="0"/>
          <w:bCs w:val="0"/>
          <w:i w:val="0"/>
          <w:iCs w:val="0"/>
          <w:noProof w:val="0"/>
          <w:color w:val="000000" w:themeColor="text1" w:themeTint="FF" w:themeShade="FF"/>
          <w:sz w:val="22"/>
          <w:szCs w:val="22"/>
          <w:lang w:val="en-US"/>
        </w:rPr>
        <w:t>, Michael Aidoo</w:t>
      </w:r>
      <w:r w:rsidRPr="6BB59477" w:rsidR="6BB59477">
        <w:rPr>
          <w:rFonts w:ascii="Calibri" w:hAnsi="Calibri" w:eastAsia="Calibri" w:cs="Calibri"/>
          <w:b w:val="0"/>
          <w:bCs w:val="0"/>
          <w:i w:val="0"/>
          <w:iCs w:val="0"/>
          <w:noProof w:val="0"/>
          <w:color w:val="000000" w:themeColor="text1" w:themeTint="FF" w:themeShade="FF"/>
          <w:sz w:val="13"/>
          <w:szCs w:val="13"/>
          <w:vertAlign w:val="superscript"/>
          <w:lang w:val="en-US"/>
        </w:rPr>
        <w:t>1</w:t>
      </w:r>
      <w:r w:rsidRPr="6BB59477" w:rsidR="6BB59477">
        <w:rPr>
          <w:rFonts w:ascii="Calibri" w:hAnsi="Calibri" w:eastAsia="Calibri" w:cs="Calibri"/>
          <w:b w:val="0"/>
          <w:bCs w:val="0"/>
          <w:i w:val="0"/>
          <w:iCs w:val="0"/>
          <w:noProof w:val="0"/>
          <w:color w:val="000000" w:themeColor="text1" w:themeTint="FF" w:themeShade="FF"/>
          <w:sz w:val="22"/>
          <w:szCs w:val="22"/>
          <w:lang w:val="en-US"/>
        </w:rPr>
        <w:t xml:space="preserve">, Eldin </w:t>
      </w:r>
      <w:r w:rsidRPr="6BB59477" w:rsidR="6BB59477">
        <w:rPr>
          <w:rFonts w:ascii="Calibri" w:hAnsi="Calibri" w:eastAsia="Calibri" w:cs="Calibri"/>
          <w:b w:val="0"/>
          <w:bCs w:val="0"/>
          <w:i w:val="0"/>
          <w:iCs w:val="0"/>
          <w:noProof w:val="0"/>
          <w:color w:val="000000" w:themeColor="text1" w:themeTint="FF" w:themeShade="FF"/>
          <w:sz w:val="22"/>
          <w:szCs w:val="22"/>
          <w:lang w:val="en-US"/>
        </w:rPr>
        <w:t>Talundzic</w:t>
      </w:r>
      <w:r w:rsidRPr="6BB59477" w:rsidR="6BB59477">
        <w:rPr>
          <w:rFonts w:ascii="Calibri" w:hAnsi="Calibri" w:eastAsia="Calibri" w:cs="Calibri"/>
          <w:b w:val="0"/>
          <w:bCs w:val="0"/>
          <w:i w:val="0"/>
          <w:iCs w:val="0"/>
          <w:noProof w:val="0"/>
          <w:color w:val="000000" w:themeColor="text1" w:themeTint="FF" w:themeShade="FF"/>
          <w:sz w:val="13"/>
          <w:szCs w:val="13"/>
          <w:vertAlign w:val="superscript"/>
          <w:lang w:val="en-US"/>
        </w:rPr>
        <w:t> 1</w:t>
      </w:r>
      <w:r w:rsidRPr="6BB59477" w:rsidR="6BB59477">
        <w:rPr>
          <w:rFonts w:ascii="Calibri" w:hAnsi="Calibri" w:eastAsia="Calibri" w:cs="Calibri"/>
          <w:b w:val="0"/>
          <w:bCs w:val="0"/>
          <w:i w:val="0"/>
          <w:iCs w:val="0"/>
          <w:noProof w:val="0"/>
          <w:color w:val="000000" w:themeColor="text1" w:themeTint="FF" w:themeShade="FF"/>
          <w:sz w:val="13"/>
          <w:szCs w:val="13"/>
          <w:lang w:val="en-US"/>
        </w:rPr>
        <w:t> </w:t>
      </w:r>
    </w:p>
    <w:p w:rsidR="6BB59477" w:rsidP="6BB59477" w:rsidRDefault="6BB59477" w14:paraId="08CFB096" w14:textId="58F4E86A">
      <w:pPr>
        <w:spacing w:beforeAutospacing="on" w:afterAutospacing="on" w:line="240" w:lineRule="auto"/>
        <w:rPr>
          <w:rFonts w:ascii="Calibri" w:hAnsi="Calibri" w:eastAsia="Calibri" w:cs="Calibri"/>
          <w:b w:val="0"/>
          <w:bCs w:val="0"/>
          <w:i w:val="0"/>
          <w:iCs w:val="0"/>
          <w:noProof w:val="0"/>
          <w:sz w:val="22"/>
          <w:szCs w:val="22"/>
          <w:lang w:val="en-US"/>
        </w:rPr>
      </w:pPr>
      <w:r w:rsidRPr="6BB59477" w:rsidR="6BB59477">
        <w:rPr>
          <w:rStyle w:val="normaltextrun"/>
          <w:rFonts w:ascii="Calibri" w:hAnsi="Calibri" w:eastAsia="Calibri" w:cs="Calibri"/>
          <w:b w:val="0"/>
          <w:bCs w:val="0"/>
          <w:i w:val="0"/>
          <w:iCs w:val="0"/>
          <w:noProof w:val="0"/>
          <w:sz w:val="13"/>
          <w:szCs w:val="13"/>
          <w:vertAlign w:val="superscript"/>
          <w:lang w:val="en-US"/>
        </w:rPr>
        <w:t>1</w:t>
      </w:r>
      <w:r w:rsidRPr="6BB59477" w:rsidR="6BB59477">
        <w:rPr>
          <w:rStyle w:val="normaltextrun"/>
          <w:rFonts w:ascii="Calibri" w:hAnsi="Calibri" w:eastAsia="Calibri" w:cs="Calibri"/>
          <w:b w:val="0"/>
          <w:bCs w:val="0"/>
          <w:i w:val="0"/>
          <w:iCs w:val="0"/>
          <w:noProof w:val="0"/>
          <w:sz w:val="22"/>
          <w:szCs w:val="22"/>
          <w:lang w:val="en"/>
        </w:rPr>
        <w:t>Malaria Branch, Division of Parasitic Diseases and Malaria, Center for Global Health, Centers for Disease Control and Prevention, Atlanta, Georgia, USA.</w:t>
      </w:r>
      <w:r w:rsidRPr="6BB59477" w:rsidR="6BB59477">
        <w:rPr>
          <w:rStyle w:val="normaltextrun"/>
          <w:rFonts w:ascii="Calibri" w:hAnsi="Calibri" w:eastAsia="Calibri" w:cs="Calibri"/>
          <w:b w:val="0"/>
          <w:bCs w:val="0"/>
          <w:i w:val="0"/>
          <w:iCs w:val="0"/>
          <w:noProof w:val="0"/>
          <w:sz w:val="22"/>
          <w:szCs w:val="22"/>
          <w:lang w:val="en-US"/>
        </w:rPr>
        <w:t xml:space="preserve"> </w:t>
      </w:r>
      <w:r w:rsidRPr="6BB59477" w:rsidR="6BB59477">
        <w:rPr>
          <w:rStyle w:val="normaltextrun"/>
          <w:rFonts w:ascii="Calibri" w:hAnsi="Calibri" w:eastAsia="Calibri" w:cs="Calibri"/>
          <w:b w:val="0"/>
          <w:bCs w:val="0"/>
          <w:i w:val="0"/>
          <w:iCs w:val="0"/>
          <w:noProof w:val="0"/>
          <w:sz w:val="13"/>
          <w:szCs w:val="13"/>
          <w:vertAlign w:val="superscript"/>
          <w:lang w:val="en-US"/>
        </w:rPr>
        <w:t>2</w:t>
      </w:r>
      <w:r w:rsidRPr="6BB59477" w:rsidR="6BB59477">
        <w:rPr>
          <w:rStyle w:val="normaltextrun"/>
          <w:rFonts w:ascii="Calibri" w:hAnsi="Calibri" w:eastAsia="Calibri" w:cs="Calibri"/>
          <w:b w:val="0"/>
          <w:bCs w:val="0"/>
          <w:i w:val="0"/>
          <w:iCs w:val="0"/>
          <w:noProof w:val="0"/>
          <w:sz w:val="22"/>
          <w:szCs w:val="22"/>
          <w:lang w:val="en-US"/>
        </w:rPr>
        <w:t xml:space="preserve">Oak Ridge Institute for Science and Education, USA. </w:t>
      </w:r>
      <w:r w:rsidRPr="6BB59477" w:rsidR="6BB59477">
        <w:rPr>
          <w:rStyle w:val="normaltextrun"/>
          <w:rFonts w:ascii="Calibri" w:hAnsi="Calibri" w:eastAsia="Calibri" w:cs="Calibri"/>
          <w:b w:val="0"/>
          <w:bCs w:val="0"/>
          <w:i w:val="0"/>
          <w:iCs w:val="0"/>
          <w:noProof w:val="0"/>
          <w:sz w:val="13"/>
          <w:szCs w:val="13"/>
          <w:vertAlign w:val="superscript"/>
          <w:lang w:val="en-US"/>
        </w:rPr>
        <w:t>3</w:t>
      </w:r>
      <w:r w:rsidRPr="6BB59477" w:rsidR="6BB59477">
        <w:rPr>
          <w:rStyle w:val="normaltextrun"/>
          <w:rFonts w:ascii="Calibri" w:hAnsi="Calibri" w:eastAsia="Calibri" w:cs="Calibri"/>
          <w:b w:val="0"/>
          <w:bCs w:val="0"/>
          <w:i w:val="0"/>
          <w:iCs w:val="0"/>
          <w:noProof w:val="0"/>
          <w:sz w:val="22"/>
          <w:szCs w:val="22"/>
          <w:lang w:val="en-US"/>
        </w:rPr>
        <w:t>Williams Consulting, USA.</w:t>
      </w:r>
    </w:p>
    <w:p w:rsidR="6BB59477" w:rsidP="6BB59477" w:rsidRDefault="6BB59477" w14:paraId="07310226" w14:textId="74AAC167">
      <w:pPr>
        <w:spacing w:beforeAutospacing="on" w:afterAutospacing="on" w:line="240" w:lineRule="auto"/>
        <w:rPr>
          <w:rFonts w:ascii="Calibri" w:hAnsi="Calibri" w:eastAsia="Calibri" w:cs="Calibri"/>
          <w:b w:val="0"/>
          <w:bCs w:val="0"/>
          <w:i w:val="0"/>
          <w:iCs w:val="0"/>
          <w:noProof w:val="0"/>
          <w:sz w:val="22"/>
          <w:szCs w:val="22"/>
          <w:lang w:val="en-US"/>
        </w:rPr>
      </w:pPr>
      <w:r w:rsidRPr="6BB59477" w:rsidR="6BB59477">
        <w:rPr>
          <w:rStyle w:val="normaltextrun"/>
          <w:rFonts w:ascii="Calibri" w:hAnsi="Calibri" w:eastAsia="Calibri" w:cs="Calibri"/>
          <w:b w:val="0"/>
          <w:bCs w:val="0"/>
          <w:i w:val="0"/>
          <w:iCs w:val="0"/>
          <w:noProof w:val="0"/>
          <w:sz w:val="22"/>
          <w:szCs w:val="22"/>
          <w:lang w:val="en-US"/>
        </w:rPr>
        <w:t>  </w:t>
      </w:r>
    </w:p>
    <w:p w:rsidR="6BB59477" w:rsidP="6BB59477" w:rsidRDefault="6BB59477" w14:paraId="358EEBBB" w14:textId="14666CC1">
      <w:pPr>
        <w:spacing w:beforeAutospacing="on" w:afterAutospacing="on" w:line="240" w:lineRule="auto"/>
        <w:rPr>
          <w:rFonts w:ascii="Calibri" w:hAnsi="Calibri" w:eastAsia="Calibri" w:cs="Calibri"/>
          <w:b w:val="0"/>
          <w:bCs w:val="0"/>
          <w:i w:val="0"/>
          <w:iCs w:val="0"/>
          <w:noProof w:val="0"/>
          <w:sz w:val="22"/>
          <w:szCs w:val="22"/>
          <w:lang w:val="en-US"/>
        </w:rPr>
      </w:pPr>
      <w:r w:rsidRPr="6BB59477" w:rsidR="6BB59477">
        <w:rPr>
          <w:rStyle w:val="normaltextrun"/>
          <w:rFonts w:ascii="Calibri" w:hAnsi="Calibri" w:eastAsia="Calibri" w:cs="Calibri"/>
          <w:b w:val="0"/>
          <w:bCs w:val="0"/>
          <w:i w:val="0"/>
          <w:iCs w:val="0"/>
          <w:noProof w:val="0"/>
          <w:sz w:val="22"/>
          <w:szCs w:val="22"/>
          <w:lang w:val="en-US"/>
        </w:rPr>
        <w:t>*Address correspondence to Susanna Sabin, </w:t>
      </w:r>
      <w:r w:rsidRPr="6BB59477" w:rsidR="6BB59477">
        <w:rPr>
          <w:rStyle w:val="normaltextrun"/>
          <w:rFonts w:ascii="Calibri" w:hAnsi="Calibri" w:eastAsia="Calibri" w:cs="Calibri"/>
          <w:b w:val="0"/>
          <w:bCs w:val="0"/>
          <w:i w:val="0"/>
          <w:iCs w:val="0"/>
          <w:noProof w:val="0"/>
          <w:sz w:val="22"/>
          <w:szCs w:val="22"/>
          <w:lang w:val="en"/>
        </w:rPr>
        <w:t xml:space="preserve">Malaria Branch, Division of Parasitic Diseases and Malaria, Center for Global Health, Centers for Disease Control and Prevention, Atlanta, Georgia, USA. </w:t>
      </w:r>
      <w:hyperlink r:id="Rfd2a3f2de3254ad5">
        <w:r w:rsidRPr="6BB59477" w:rsidR="6BB59477">
          <w:rPr>
            <w:rStyle w:val="Hyperlink"/>
            <w:rFonts w:ascii="Calibri" w:hAnsi="Calibri" w:eastAsia="Calibri" w:cs="Calibri"/>
            <w:b w:val="0"/>
            <w:bCs w:val="0"/>
            <w:i w:val="0"/>
            <w:iCs w:val="0"/>
            <w:strike w:val="0"/>
            <w:dstrike w:val="0"/>
            <w:noProof w:val="0"/>
            <w:sz w:val="22"/>
            <w:szCs w:val="22"/>
            <w:lang w:val="en"/>
          </w:rPr>
          <w:t>Email: qwg8@cdc.gov</w:t>
        </w:r>
      </w:hyperlink>
      <w:r w:rsidRPr="6BB59477" w:rsidR="6BB59477">
        <w:rPr>
          <w:rStyle w:val="normaltextrun"/>
          <w:rFonts w:ascii="Calibri" w:hAnsi="Calibri" w:eastAsia="Calibri" w:cs="Calibri"/>
          <w:b w:val="0"/>
          <w:bCs w:val="0"/>
          <w:i w:val="0"/>
          <w:iCs w:val="0"/>
          <w:noProof w:val="0"/>
          <w:sz w:val="22"/>
          <w:szCs w:val="22"/>
          <w:lang w:val="en"/>
        </w:rPr>
        <w:t>, 404-718-4440.</w:t>
      </w:r>
    </w:p>
    <w:p w:rsidR="6BB59477" w:rsidP="6BB59477" w:rsidRDefault="6BB59477" w14:paraId="029C1468" w14:textId="315ED019">
      <w:pPr>
        <w:pStyle w:val="Normal"/>
        <w:rPr>
          <w:b w:val="1"/>
          <w:bCs w:val="1"/>
          <w:i w:val="0"/>
          <w:iCs w:val="0"/>
        </w:rPr>
      </w:pPr>
    </w:p>
    <w:p w:rsidR="2B65E5A3" w:rsidP="4F3EBC0C" w:rsidRDefault="2B65E5A3" w14:paraId="6D0441EE" w14:textId="283742CC">
      <w:pPr>
        <w:pStyle w:val="Heading2"/>
        <w:bidi w:val="0"/>
        <w:spacing w:before="40" w:after="0" w:line="259" w:lineRule="auto"/>
        <w:rPr>
          <w:rFonts w:ascii="Calibri" w:hAnsi="Calibri" w:eastAsia="Calibri" w:cs="Calibri"/>
          <w:b w:val="0"/>
          <w:bCs w:val="0"/>
          <w:i w:val="0"/>
          <w:iCs w:val="0"/>
          <w:noProof w:val="0"/>
          <w:color w:val="2F5496" w:themeColor="accent1" w:themeTint="FF" w:themeShade="BF"/>
          <w:sz w:val="26"/>
          <w:szCs w:val="26"/>
          <w:lang w:val="en-US"/>
        </w:rPr>
      </w:pPr>
      <w:r w:rsidRPr="4F3EBC0C" w:rsidR="2B65E5A3">
        <w:rPr>
          <w:rFonts w:ascii="Calibri" w:hAnsi="Calibri" w:eastAsia="Calibri" w:cs="Calibri"/>
          <w:b w:val="0"/>
          <w:bCs w:val="0"/>
          <w:i w:val="0"/>
          <w:iCs w:val="0"/>
          <w:noProof w:val="0"/>
          <w:color w:val="2F5496" w:themeColor="accent1" w:themeTint="FF" w:themeShade="BF"/>
          <w:sz w:val="26"/>
          <w:szCs w:val="26"/>
          <w:lang w:val="en-US"/>
        </w:rPr>
        <w:t>Comparison of Oxford Nanopore Protocol with custom barcoding protocol</w:t>
      </w:r>
    </w:p>
    <w:p w:rsidR="2B65E5A3" w:rsidP="4F3EBC0C" w:rsidRDefault="2B65E5A3" w14:paraId="38144A2D" w14:textId="7B492259">
      <w:pPr>
        <w:bidi w:val="0"/>
        <w:spacing w:after="160" w:line="259" w:lineRule="auto"/>
        <w:rPr>
          <w:rFonts w:ascii="Calibri" w:hAnsi="Calibri" w:eastAsia="Calibri" w:cs="Calibri"/>
          <w:b w:val="0"/>
          <w:bCs w:val="0"/>
          <w:i w:val="0"/>
          <w:iCs w:val="0"/>
          <w:noProof w:val="0"/>
          <w:sz w:val="22"/>
          <w:szCs w:val="22"/>
          <w:lang w:val="en-US"/>
        </w:rPr>
      </w:pPr>
      <w:r w:rsidRPr="4F3EBC0C" w:rsidR="2B65E5A3">
        <w:rPr>
          <w:rFonts w:ascii="Calibri" w:hAnsi="Calibri" w:eastAsia="Calibri" w:cs="Calibri"/>
          <w:b w:val="0"/>
          <w:bCs w:val="0"/>
          <w:i w:val="0"/>
          <w:iCs w:val="0"/>
          <w:noProof w:val="0"/>
          <w:sz w:val="22"/>
          <w:szCs w:val="22"/>
          <w:lang w:val="en-US"/>
        </w:rPr>
        <w:t xml:space="preserve">In our preliminary data from our execution of the </w:t>
      </w:r>
      <w:r w:rsidRPr="4F3EBC0C" w:rsidR="2B65E5A3">
        <w:rPr>
          <w:rFonts w:ascii="Calibri" w:hAnsi="Calibri" w:eastAsia="Calibri" w:cs="Calibri"/>
          <w:b w:val="0"/>
          <w:bCs w:val="0"/>
          <w:i w:val="1"/>
          <w:iCs w:val="1"/>
          <w:noProof w:val="0"/>
          <w:sz w:val="22"/>
          <w:szCs w:val="22"/>
          <w:lang w:val="en-US"/>
        </w:rPr>
        <w:t xml:space="preserve">pfhrp2 </w:t>
      </w:r>
      <w:r w:rsidRPr="4F3EBC0C" w:rsidR="2B65E5A3">
        <w:rPr>
          <w:rFonts w:ascii="Calibri" w:hAnsi="Calibri" w:eastAsia="Calibri" w:cs="Calibri"/>
          <w:b w:val="0"/>
          <w:bCs w:val="0"/>
          <w:i w:val="0"/>
          <w:iCs w:val="0"/>
          <w:noProof w:val="0"/>
          <w:sz w:val="22"/>
          <w:szCs w:val="22"/>
          <w:lang w:val="en-US"/>
        </w:rPr>
        <w:t>assay we found uneven distribution of read counts between different barcodes despite the normalization of input DNA, a concerning abundance of “unclassified” reads that had not been successfully assigned to a barcode, and the presence of spurious barcode assignments (</w:t>
      </w:r>
      <w:r w:rsidRPr="4F3EBC0C" w:rsidR="2B65E5A3">
        <w:rPr>
          <w:rFonts w:ascii="Calibri" w:hAnsi="Calibri" w:eastAsia="Calibri" w:cs="Calibri"/>
          <w:b w:val="0"/>
          <w:bCs w:val="0"/>
          <w:i w:val="1"/>
          <w:iCs w:val="1"/>
          <w:noProof w:val="0"/>
          <w:sz w:val="22"/>
          <w:szCs w:val="22"/>
          <w:lang w:val="en-US"/>
        </w:rPr>
        <w:t xml:space="preserve">e.g. </w:t>
      </w:r>
      <w:r w:rsidRPr="4F3EBC0C" w:rsidR="2B65E5A3">
        <w:rPr>
          <w:rFonts w:ascii="Calibri" w:hAnsi="Calibri" w:eastAsia="Calibri" w:cs="Calibri"/>
          <w:b w:val="0"/>
          <w:bCs w:val="0"/>
          <w:i w:val="0"/>
          <w:iCs w:val="0"/>
          <w:noProof w:val="0"/>
          <w:sz w:val="22"/>
          <w:szCs w:val="22"/>
          <w:lang w:val="en-US"/>
        </w:rPr>
        <w:t xml:space="preserve">reads assigned to barcodes that had not been used). To assess if these issues were the result of our experimental design, we chose to compare the performance of our custom-designed barcoding primer approach with ONT’s PCR barcoding (96) amplicon protocol. For equivalency, we used replicates of 7G8. ONT’s protocol calls for the design of a tailing primer that would amplify the target region while yielding product that would include the target amplicons plus a “tail” that would then act as the target for barcoding primers. </w:t>
      </w:r>
    </w:p>
    <w:p w:rsidR="60FF436E" w:rsidP="4F3EBC0C" w:rsidRDefault="60FF436E" w14:paraId="7B9E7937" w14:textId="7ACF120A">
      <w:pPr>
        <w:pStyle w:val="Normal"/>
        <w:bidi w:val="0"/>
        <w:rPr>
          <w:i w:val="0"/>
          <w:iCs w:val="0"/>
        </w:rPr>
      </w:pPr>
      <w:r w:rsidR="60FF436E">
        <w:rPr/>
        <w:t xml:space="preserve">To test the full Oxford Nanopore Technologies (ONT) PCR barcoding (96) kit protocol we designed tailing primers specific to the </w:t>
      </w:r>
      <w:r w:rsidRPr="4F3EBC0C" w:rsidR="60FF436E">
        <w:rPr>
          <w:i w:val="1"/>
          <w:iCs w:val="1"/>
        </w:rPr>
        <w:t xml:space="preserve">pfhrp2 </w:t>
      </w:r>
      <w:r w:rsidRPr="4F3EBC0C" w:rsidR="60FF436E">
        <w:rPr>
          <w:i w:val="0"/>
          <w:iCs w:val="0"/>
        </w:rPr>
        <w:t xml:space="preserve">sequence using the one-step PCR primers (Supplementary Table 2) (Jones, et al., 2020). </w:t>
      </w:r>
    </w:p>
    <w:tbl>
      <w:tblPr>
        <w:tblStyle w:val="TableGrid"/>
        <w:bidiVisual w:val="0"/>
        <w:tblW w:w="0" w:type="auto"/>
        <w:tblLook w:val="06A0" w:firstRow="1" w:lastRow="0" w:firstColumn="1" w:lastColumn="0" w:noHBand="1" w:noVBand="1"/>
      </w:tblPr>
      <w:tblGrid>
        <w:gridCol w:w="4680"/>
        <w:gridCol w:w="4680"/>
      </w:tblGrid>
      <w:tr w:rsidR="4F3EBC0C" w:rsidTr="4F3EBC0C" w14:paraId="55CB838A">
        <w:tc>
          <w:tcPr>
            <w:tcW w:w="4680" w:type="dxa"/>
            <w:tcMar/>
          </w:tcPr>
          <w:p w:rsidR="60FF436E" w:rsidP="4F3EBC0C" w:rsidRDefault="60FF436E" w14:paraId="0B6A0F57" w14:textId="44CD6A67">
            <w:pPr>
              <w:pStyle w:val="Normal"/>
              <w:bidi w:val="0"/>
              <w:rPr>
                <w:b w:val="1"/>
                <w:bCs w:val="1"/>
                <w:i w:val="0"/>
                <w:iCs w:val="0"/>
              </w:rPr>
            </w:pPr>
            <w:r w:rsidRPr="4F3EBC0C" w:rsidR="60FF436E">
              <w:rPr>
                <w:b w:val="1"/>
                <w:bCs w:val="1"/>
                <w:i w:val="0"/>
                <w:iCs w:val="0"/>
              </w:rPr>
              <w:t>Primer</w:t>
            </w:r>
          </w:p>
        </w:tc>
        <w:tc>
          <w:tcPr>
            <w:tcW w:w="4680" w:type="dxa"/>
            <w:tcMar/>
          </w:tcPr>
          <w:p w:rsidR="60FF436E" w:rsidP="4F3EBC0C" w:rsidRDefault="60FF436E" w14:paraId="50265ED8" w14:textId="4DF2D3E1">
            <w:pPr>
              <w:pStyle w:val="Normal"/>
              <w:bidi w:val="0"/>
              <w:rPr>
                <w:b w:val="1"/>
                <w:bCs w:val="1"/>
                <w:i w:val="0"/>
                <w:iCs w:val="0"/>
              </w:rPr>
            </w:pPr>
            <w:r w:rsidRPr="4F3EBC0C" w:rsidR="60FF436E">
              <w:rPr>
                <w:b w:val="1"/>
                <w:bCs w:val="1"/>
                <w:i w:val="0"/>
                <w:iCs w:val="0"/>
              </w:rPr>
              <w:t>Sequence (5’ to 3’)</w:t>
            </w:r>
          </w:p>
        </w:tc>
      </w:tr>
      <w:tr w:rsidR="4F3EBC0C" w:rsidTr="4F3EBC0C" w14:paraId="0DD8F90B">
        <w:tc>
          <w:tcPr>
            <w:tcW w:w="4680" w:type="dxa"/>
            <w:tcMar/>
          </w:tcPr>
          <w:p w:rsidR="60FF436E" w:rsidP="4F3EBC0C" w:rsidRDefault="60FF436E" w14:paraId="7BACB3E8" w14:textId="4ECF8C11">
            <w:pPr>
              <w:pStyle w:val="Normal"/>
              <w:bidi w:val="0"/>
              <w:rPr>
                <w:i w:val="0"/>
                <w:iCs w:val="0"/>
              </w:rPr>
            </w:pPr>
            <w:r w:rsidRPr="4F3EBC0C" w:rsidR="60FF436E">
              <w:rPr>
                <w:i w:val="0"/>
                <w:iCs w:val="0"/>
              </w:rPr>
              <w:t>Tailing segment FORWARD</w:t>
            </w:r>
          </w:p>
        </w:tc>
        <w:tc>
          <w:tcPr>
            <w:tcW w:w="4680" w:type="dxa"/>
            <w:tcMar/>
          </w:tcPr>
          <w:p w:rsidR="60FF436E" w:rsidP="4F3EBC0C" w:rsidRDefault="60FF436E" w14:paraId="1CE57D1B" w14:textId="6A84F3E4">
            <w:pPr>
              <w:pStyle w:val="Normal"/>
              <w:bidi w:val="0"/>
              <w:rPr>
                <w:rFonts w:ascii="Calibri" w:hAnsi="Calibri" w:eastAsia="Calibri" w:cs="Calibri"/>
                <w:noProof w:val="0"/>
                <w:sz w:val="22"/>
                <w:szCs w:val="22"/>
                <w:lang w:val="en-US"/>
              </w:rPr>
            </w:pPr>
            <w:r w:rsidRPr="4F3EBC0C" w:rsidR="60FF436E">
              <w:rPr>
                <w:rFonts w:ascii="Calibri" w:hAnsi="Calibri" w:eastAsia="Calibri" w:cs="Calibri"/>
                <w:noProof w:val="0"/>
                <w:sz w:val="22"/>
                <w:szCs w:val="22"/>
                <w:lang w:val="en-US"/>
              </w:rPr>
              <w:t>TTTCTGTTGGTGCTGATATTGC</w:t>
            </w:r>
          </w:p>
        </w:tc>
      </w:tr>
      <w:tr w:rsidR="4F3EBC0C" w:rsidTr="4F3EBC0C" w14:paraId="20776922">
        <w:tc>
          <w:tcPr>
            <w:tcW w:w="4680" w:type="dxa"/>
            <w:tcMar/>
          </w:tcPr>
          <w:p w:rsidR="60FF436E" w:rsidP="4F3EBC0C" w:rsidRDefault="60FF436E" w14:paraId="2F490936" w14:textId="7AE03759">
            <w:pPr>
              <w:pStyle w:val="Normal"/>
              <w:bidi w:val="0"/>
              <w:rPr>
                <w:i w:val="0"/>
                <w:iCs w:val="0"/>
              </w:rPr>
            </w:pPr>
            <w:r w:rsidRPr="4F3EBC0C" w:rsidR="60FF436E">
              <w:rPr>
                <w:i w:val="0"/>
                <w:iCs w:val="0"/>
              </w:rPr>
              <w:t>Tailing segment REVERSE</w:t>
            </w:r>
          </w:p>
        </w:tc>
        <w:tc>
          <w:tcPr>
            <w:tcW w:w="4680" w:type="dxa"/>
            <w:tcMar/>
          </w:tcPr>
          <w:p w:rsidR="60FF436E" w:rsidP="4F3EBC0C" w:rsidRDefault="60FF436E" w14:paraId="7200F1C4" w14:textId="72604DD6">
            <w:pPr>
              <w:pStyle w:val="Normal"/>
              <w:bidi w:val="0"/>
              <w:rPr>
                <w:rFonts w:ascii="Calibri" w:hAnsi="Calibri" w:eastAsia="Calibri" w:cs="Calibri"/>
                <w:noProof w:val="0"/>
                <w:sz w:val="22"/>
                <w:szCs w:val="22"/>
                <w:lang w:val="en-US"/>
              </w:rPr>
            </w:pPr>
            <w:r w:rsidRPr="4F3EBC0C" w:rsidR="60FF436E">
              <w:rPr>
                <w:rFonts w:ascii="Calibri" w:hAnsi="Calibri" w:eastAsia="Calibri" w:cs="Calibri"/>
                <w:noProof w:val="0"/>
                <w:sz w:val="22"/>
                <w:szCs w:val="22"/>
                <w:lang w:val="en-US"/>
              </w:rPr>
              <w:t>ACTTGCCTGTCGCTCTATCTTC</w:t>
            </w:r>
          </w:p>
        </w:tc>
      </w:tr>
      <w:tr w:rsidR="4F3EBC0C" w:rsidTr="4F3EBC0C" w14:paraId="2A942CBC">
        <w:tc>
          <w:tcPr>
            <w:tcW w:w="4680" w:type="dxa"/>
            <w:tcMar/>
          </w:tcPr>
          <w:p w:rsidR="60FF436E" w:rsidP="4F3EBC0C" w:rsidRDefault="60FF436E" w14:paraId="261FAF06" w14:textId="2065CD28">
            <w:pPr>
              <w:pStyle w:val="Normal"/>
              <w:bidi w:val="0"/>
              <w:rPr>
                <w:i w:val="0"/>
                <w:iCs w:val="0"/>
              </w:rPr>
            </w:pPr>
            <w:r w:rsidRPr="4F3EBC0C" w:rsidR="60FF436E">
              <w:rPr>
                <w:i w:val="0"/>
                <w:iCs w:val="0"/>
              </w:rPr>
              <w:t>hrp2 one-step FORWARD</w:t>
            </w:r>
          </w:p>
        </w:tc>
        <w:tc>
          <w:tcPr>
            <w:tcW w:w="4680" w:type="dxa"/>
            <w:tcMar/>
          </w:tcPr>
          <w:p w:rsidR="60FF436E" w:rsidP="4F3EBC0C" w:rsidRDefault="60FF436E" w14:paraId="3542221A" w14:textId="37B60AF2">
            <w:pPr>
              <w:pStyle w:val="Normal"/>
              <w:bidi w:val="0"/>
              <w:rPr>
                <w:rFonts w:ascii="Calibri" w:hAnsi="Calibri" w:eastAsia="Calibri" w:cs="Calibri"/>
                <w:noProof w:val="0"/>
                <w:color w:val="auto"/>
                <w:sz w:val="22"/>
                <w:szCs w:val="22"/>
                <w:lang w:val="en-US"/>
              </w:rPr>
            </w:pPr>
            <w:r w:rsidRPr="4F3EBC0C" w:rsidR="60FF436E">
              <w:rPr>
                <w:rFonts w:ascii="Calibri" w:hAnsi="Calibri" w:eastAsia="Calibri" w:cs="Calibri"/>
                <w:noProof w:val="0"/>
                <w:color w:val="auto"/>
                <w:sz w:val="22"/>
                <w:szCs w:val="22"/>
                <w:lang w:val="en-US"/>
              </w:rPr>
              <w:t>ATGATTCATTATT</w:t>
            </w:r>
            <w:r w:rsidRPr="4F3EBC0C" w:rsidR="60FF436E">
              <w:rPr>
                <w:rFonts w:ascii="Calibri" w:hAnsi="Calibri" w:eastAsia="Calibri" w:cs="Calibri"/>
                <w:b w:val="0"/>
                <w:bCs w:val="0"/>
                <w:i w:val="0"/>
                <w:iCs w:val="0"/>
                <w:strike w:val="0"/>
                <w:dstrike w:val="0"/>
                <w:noProof w:val="0"/>
                <w:color w:val="auto"/>
                <w:sz w:val="22"/>
                <w:szCs w:val="22"/>
                <w:u w:val="none"/>
                <w:lang w:val="en-US"/>
              </w:rPr>
              <w:t>CTATATTTATAAGGAAGATTAC</w:t>
            </w:r>
          </w:p>
        </w:tc>
      </w:tr>
      <w:tr w:rsidR="4F3EBC0C" w:rsidTr="4F3EBC0C" w14:paraId="0DA1AC30">
        <w:tc>
          <w:tcPr>
            <w:tcW w:w="4680" w:type="dxa"/>
            <w:tcMar/>
          </w:tcPr>
          <w:p w:rsidR="60FF436E" w:rsidP="4F3EBC0C" w:rsidRDefault="60FF436E" w14:paraId="795D863A" w14:textId="15106A9B">
            <w:pPr>
              <w:pStyle w:val="Normal"/>
              <w:bidi w:val="0"/>
              <w:rPr>
                <w:i w:val="0"/>
                <w:iCs w:val="0"/>
              </w:rPr>
            </w:pPr>
            <w:r w:rsidRPr="4F3EBC0C" w:rsidR="60FF436E">
              <w:rPr>
                <w:i w:val="0"/>
                <w:iCs w:val="0"/>
              </w:rPr>
              <w:t>hrp2 one-step REVERSE</w:t>
            </w:r>
          </w:p>
        </w:tc>
        <w:tc>
          <w:tcPr>
            <w:tcW w:w="4680" w:type="dxa"/>
            <w:tcMar/>
          </w:tcPr>
          <w:p w:rsidR="60FF436E" w:rsidP="4F3EBC0C" w:rsidRDefault="60FF436E" w14:paraId="014C1F6B" w14:textId="7B1F9F2E">
            <w:pPr>
              <w:pStyle w:val="Normal"/>
              <w:bidi w:val="0"/>
              <w:rPr>
                <w:rFonts w:ascii="Calibri" w:hAnsi="Calibri" w:eastAsia="Calibri" w:cs="Calibri"/>
                <w:noProof w:val="0"/>
                <w:color w:val="auto"/>
                <w:sz w:val="22"/>
                <w:szCs w:val="22"/>
                <w:lang w:val="en-US"/>
              </w:rPr>
            </w:pPr>
            <w:r w:rsidRPr="4F3EBC0C" w:rsidR="60FF436E">
              <w:rPr>
                <w:rFonts w:ascii="Calibri" w:hAnsi="Calibri" w:eastAsia="Calibri" w:cs="Calibri"/>
                <w:noProof w:val="0"/>
                <w:color w:val="auto"/>
                <w:sz w:val="22"/>
                <w:szCs w:val="22"/>
                <w:lang w:val="en-US"/>
              </w:rPr>
              <w:t>CACTTCAT</w:t>
            </w:r>
            <w:r w:rsidRPr="4F3EBC0C" w:rsidR="60FF436E">
              <w:rPr>
                <w:rFonts w:ascii="Calibri" w:hAnsi="Calibri" w:eastAsia="Calibri" w:cs="Calibri"/>
                <w:b w:val="0"/>
                <w:bCs w:val="0"/>
                <w:i w:val="0"/>
                <w:iCs w:val="0"/>
                <w:strike w:val="0"/>
                <w:dstrike w:val="0"/>
                <w:noProof w:val="0"/>
                <w:color w:val="auto"/>
                <w:sz w:val="22"/>
                <w:szCs w:val="22"/>
                <w:u w:val="none"/>
                <w:lang w:val="en-US"/>
              </w:rPr>
              <w:t>GTATTTATGTATGCAGAAC</w:t>
            </w:r>
          </w:p>
        </w:tc>
      </w:tr>
    </w:tbl>
    <w:p w:rsidR="60FF436E" w:rsidP="4F3EBC0C" w:rsidRDefault="60FF436E" w14:paraId="0CCB6B0B" w14:textId="254297F0">
      <w:pPr>
        <w:pStyle w:val="Normal"/>
        <w:bidi w:val="0"/>
        <w:rPr>
          <w:i w:val="0"/>
          <w:iCs w:val="0"/>
        </w:rPr>
      </w:pPr>
      <w:r w:rsidRPr="4F3EBC0C" w:rsidR="60FF436E">
        <w:rPr>
          <w:i w:val="0"/>
          <w:iCs w:val="0"/>
        </w:rPr>
        <w:t xml:space="preserve">We tested the </w:t>
      </w:r>
      <w:r w:rsidRPr="4F3EBC0C" w:rsidR="60FF436E">
        <w:rPr>
          <w:i w:val="1"/>
          <w:iCs w:val="1"/>
        </w:rPr>
        <w:t xml:space="preserve">pfhrp2 </w:t>
      </w:r>
      <w:r w:rsidRPr="4F3EBC0C" w:rsidR="60FF436E">
        <w:rPr>
          <w:i w:val="0"/>
          <w:iCs w:val="0"/>
        </w:rPr>
        <w:t xml:space="preserve">tailing primers with the </w:t>
      </w:r>
      <w:r w:rsidRPr="4F3EBC0C" w:rsidR="60FF436E">
        <w:rPr>
          <w:i w:val="0"/>
          <w:iCs w:val="0"/>
        </w:rPr>
        <w:t>Thermo</w:t>
      </w:r>
      <w:r w:rsidRPr="4F3EBC0C" w:rsidR="60FF436E">
        <w:rPr>
          <w:i w:val="0"/>
          <w:iCs w:val="0"/>
        </w:rPr>
        <w:t xml:space="preserve"> Fisher Multiple Primer Analyzer (Breslauer, et al., 1986). When combined with the ONT tailing primer sequence without reduction, the forward primer created a self-dimer:</w:t>
      </w:r>
    </w:p>
    <w:p w:rsidR="60FF436E" w:rsidP="4F3EBC0C" w:rsidRDefault="60FF436E" w14:paraId="7227A758" w14:textId="27D4FF2D">
      <w:pPr>
        <w:pStyle w:val="Normal"/>
        <w:bidi w:val="0"/>
        <w:rPr>
          <w:i w:val="0"/>
          <w:iCs w:val="0"/>
        </w:rPr>
      </w:pPr>
      <w:r w:rsidRPr="4F3EBC0C" w:rsidR="60FF436E">
        <w:rPr>
          <w:i w:val="0"/>
          <w:iCs w:val="0"/>
        </w:rPr>
        <w:t xml:space="preserve">                Self-Dimers:</w:t>
      </w:r>
    </w:p>
    <w:p w:rsidR="60FF436E" w:rsidP="4F3EBC0C" w:rsidRDefault="60FF436E" w14:paraId="2F9EAC9C" w14:textId="46DDC407">
      <w:pPr>
        <w:pStyle w:val="Normal"/>
        <w:bidi w:val="0"/>
        <w:spacing w:before="240" w:beforeAutospacing="off" w:after="0" w:afterAutospacing="off" w:line="259" w:lineRule="auto"/>
        <w:rPr>
          <w:i w:val="0"/>
          <w:iCs w:val="0"/>
        </w:rPr>
      </w:pPr>
      <w:r w:rsidRPr="4F3EBC0C" w:rsidR="60FF436E">
        <w:rPr>
          <w:i w:val="0"/>
          <w:iCs w:val="0"/>
        </w:rPr>
        <w:t xml:space="preserve"> </w:t>
      </w:r>
    </w:p>
    <w:p w:rsidR="60FF436E" w:rsidP="4F3EBC0C" w:rsidRDefault="60FF436E" w14:paraId="33E5DE4A" w14:textId="504AD7EB">
      <w:pPr>
        <w:pStyle w:val="Normal"/>
        <w:bidi w:val="0"/>
        <w:spacing w:before="240" w:beforeAutospacing="off" w:after="0" w:afterAutospacing="off" w:line="259" w:lineRule="auto"/>
        <w:rPr>
          <w:i w:val="0"/>
          <w:iCs w:val="0"/>
        </w:rPr>
      </w:pPr>
      <w:r w:rsidRPr="4F3EBC0C" w:rsidR="60FF436E">
        <w:rPr>
          <w:i w:val="0"/>
          <w:iCs w:val="0"/>
        </w:rPr>
        <w:t>1 dimer for: seq_1</w:t>
      </w:r>
    </w:p>
    <w:p w:rsidR="60FF436E" w:rsidP="4F3EBC0C" w:rsidRDefault="60FF436E" w14:paraId="7D8092DB" w14:textId="59E6E7EE">
      <w:pPr>
        <w:pStyle w:val="Normal"/>
        <w:bidi w:val="0"/>
        <w:spacing w:before="240" w:beforeAutospacing="off" w:after="0" w:afterAutospacing="off" w:line="259" w:lineRule="auto"/>
        <w:rPr>
          <w:i w:val="0"/>
          <w:iCs w:val="0"/>
        </w:rPr>
      </w:pPr>
      <w:r w:rsidRPr="4F3EBC0C" w:rsidR="60FF436E">
        <w:rPr>
          <w:i w:val="0"/>
          <w:iCs w:val="0"/>
        </w:rPr>
        <w:t>5-tttctgttggtgctgatattgcatgattcattattctatatttataaggaagattac-&gt;</w:t>
      </w:r>
    </w:p>
    <w:p w:rsidR="60FF436E" w:rsidP="4F3EBC0C" w:rsidRDefault="60FF436E" w14:paraId="220928E7" w14:textId="3C71542C">
      <w:pPr>
        <w:pStyle w:val="Normal"/>
        <w:bidi w:val="0"/>
        <w:spacing w:before="240" w:beforeAutospacing="off" w:after="0" w:afterAutospacing="off" w:line="259" w:lineRule="auto"/>
        <w:rPr>
          <w:i w:val="0"/>
          <w:iCs w:val="0"/>
        </w:rPr>
      </w:pPr>
      <w:r w:rsidRPr="4F3EBC0C" w:rsidR="60FF436E">
        <w:rPr>
          <w:i w:val="0"/>
          <w:iCs w:val="0"/>
        </w:rPr>
        <w:t xml:space="preserve">   |     |   |    |||| | || ||  || || | ||||    |   |     |</w:t>
      </w:r>
    </w:p>
    <w:p w:rsidR="60FF436E" w:rsidP="4F3EBC0C" w:rsidRDefault="60FF436E" w14:paraId="4A41DF0B" w14:textId="6B42B0A7">
      <w:pPr>
        <w:pStyle w:val="Normal"/>
        <w:bidi w:val="0"/>
        <w:spacing w:before="240" w:beforeAutospacing="off" w:after="0" w:afterAutospacing="off" w:line="259" w:lineRule="auto"/>
        <w:rPr>
          <w:i w:val="0"/>
          <w:iCs w:val="0"/>
        </w:rPr>
      </w:pPr>
      <w:r w:rsidRPr="4F3EBC0C" w:rsidR="60FF436E">
        <w:rPr>
          <w:i w:val="0"/>
          <w:iCs w:val="0"/>
        </w:rPr>
        <w:t>&lt;-cattagaaggaatatttatatcttattacttagtacgttatagtcgtggttgtcttt-5</w:t>
      </w:r>
    </w:p>
    <w:p w:rsidR="60FF436E" w:rsidP="4F3EBC0C" w:rsidRDefault="60FF436E" w14:paraId="0A37CDF1" w14:textId="3A33ED00">
      <w:pPr>
        <w:pStyle w:val="Normal"/>
        <w:bidi w:val="0"/>
        <w:rPr>
          <w:i w:val="0"/>
          <w:iCs w:val="0"/>
        </w:rPr>
      </w:pPr>
      <w:r w:rsidRPr="4F3EBC0C" w:rsidR="60FF436E">
        <w:rPr>
          <w:i w:val="0"/>
          <w:iCs w:val="0"/>
        </w:rPr>
        <w:t xml:space="preserve">Due to the self-dimer, we reduced the </w:t>
      </w:r>
      <w:r w:rsidRPr="4F3EBC0C" w:rsidR="60FF436E">
        <w:rPr>
          <w:i w:val="1"/>
          <w:iCs w:val="1"/>
        </w:rPr>
        <w:t>pfhrp2</w:t>
      </w:r>
      <w:r w:rsidRPr="4F3EBC0C" w:rsidR="60FF436E">
        <w:rPr>
          <w:i w:val="0"/>
          <w:iCs w:val="0"/>
        </w:rPr>
        <w:t xml:space="preserve"> one-step forward primer. The tailing primers we used were:</w:t>
      </w:r>
    </w:p>
    <w:tbl>
      <w:tblPr>
        <w:tblStyle w:val="TableGrid"/>
        <w:bidiVisual w:val="0"/>
        <w:tblW w:w="0" w:type="auto"/>
        <w:tblBorders>
          <w:top w:val="none" w:color="000000" w:themeColor="text1" w:sz="4"/>
          <w:left w:val="none" w:color="000000" w:themeColor="text1" w:sz="4"/>
          <w:bottom w:val="none" w:color="000000" w:themeColor="text1" w:sz="4"/>
          <w:right w:val="none" w:color="000000" w:themeColor="text1" w:sz="4"/>
          <w:insideH w:val="none" w:color="000000" w:themeColor="text1" w:sz="4"/>
          <w:insideV w:val="none" w:color="000000" w:themeColor="text1" w:sz="4"/>
        </w:tblBorders>
        <w:tblLook w:val="06A0" w:firstRow="1" w:lastRow="0" w:firstColumn="1" w:lastColumn="0" w:noHBand="1" w:noVBand="1"/>
      </w:tblPr>
      <w:tblGrid>
        <w:gridCol w:w="2070"/>
        <w:gridCol w:w="5340"/>
      </w:tblGrid>
      <w:tr w:rsidR="4F3EBC0C" w:rsidTr="4F3EBC0C" w14:paraId="02DBC283">
        <w:trPr>
          <w:trHeight w:val="330"/>
        </w:trPr>
        <w:tc>
          <w:tcPr>
            <w:tcW w:w="2070" w:type="dxa"/>
            <w:tcMar/>
          </w:tcPr>
          <w:p w:rsidR="60FF436E" w:rsidP="4F3EBC0C" w:rsidRDefault="60FF436E" w14:paraId="6A01F11B" w14:textId="5B907270">
            <w:pPr>
              <w:pStyle w:val="Normal"/>
              <w:bidi w:val="0"/>
              <w:rPr>
                <w:b w:val="1"/>
                <w:bCs w:val="1"/>
                <w:i w:val="0"/>
                <w:iCs w:val="0"/>
              </w:rPr>
            </w:pPr>
            <w:r w:rsidRPr="4F3EBC0C" w:rsidR="60FF436E">
              <w:rPr>
                <w:b w:val="1"/>
                <w:bCs w:val="1"/>
                <w:i w:val="0"/>
                <w:iCs w:val="0"/>
              </w:rPr>
              <w:t>Forward (5’ to 3’):</w:t>
            </w:r>
          </w:p>
        </w:tc>
        <w:tc>
          <w:tcPr>
            <w:tcW w:w="5340" w:type="dxa"/>
            <w:tcMar/>
          </w:tcPr>
          <w:p w:rsidR="60FF436E" w:rsidP="4F3EBC0C" w:rsidRDefault="60FF436E" w14:paraId="77D51593" w14:textId="7CF09003">
            <w:pPr>
              <w:pStyle w:val="Normal"/>
              <w:bidi w:val="0"/>
              <w:rPr>
                <w:rFonts w:ascii="Calibri" w:hAnsi="Calibri" w:eastAsia="Calibri" w:cs="Calibri"/>
                <w:noProof w:val="0"/>
                <w:sz w:val="22"/>
                <w:szCs w:val="22"/>
                <w:lang w:val="en-US"/>
              </w:rPr>
            </w:pPr>
            <w:r w:rsidRPr="4F3EBC0C" w:rsidR="60FF436E">
              <w:rPr>
                <w:rFonts w:ascii="Calibri" w:hAnsi="Calibri" w:eastAsia="Calibri" w:cs="Calibri"/>
                <w:noProof w:val="0"/>
                <w:sz w:val="22"/>
                <w:szCs w:val="22"/>
                <w:lang w:val="en-US"/>
              </w:rPr>
              <w:t>TTTCTGTTGGTGCTGATATTGCATGATTCATTATTCTATA</w:t>
            </w:r>
          </w:p>
        </w:tc>
      </w:tr>
      <w:tr w:rsidR="4F3EBC0C" w:rsidTr="4F3EBC0C" w14:paraId="314A41F2">
        <w:tc>
          <w:tcPr>
            <w:tcW w:w="2070" w:type="dxa"/>
            <w:tcMar/>
          </w:tcPr>
          <w:p w:rsidR="60FF436E" w:rsidP="4F3EBC0C" w:rsidRDefault="60FF436E" w14:paraId="41B41989" w14:textId="7593144D">
            <w:pPr>
              <w:pStyle w:val="Normal"/>
              <w:bidi w:val="0"/>
              <w:rPr>
                <w:b w:val="1"/>
                <w:bCs w:val="1"/>
                <w:i w:val="0"/>
                <w:iCs w:val="0"/>
              </w:rPr>
            </w:pPr>
            <w:r w:rsidRPr="4F3EBC0C" w:rsidR="60FF436E">
              <w:rPr>
                <w:b w:val="1"/>
                <w:bCs w:val="1"/>
                <w:i w:val="0"/>
                <w:iCs w:val="0"/>
              </w:rPr>
              <w:t>Reverse (5’ to 3’):</w:t>
            </w:r>
          </w:p>
        </w:tc>
        <w:tc>
          <w:tcPr>
            <w:tcW w:w="5340" w:type="dxa"/>
            <w:tcMar/>
          </w:tcPr>
          <w:p w:rsidR="60FF436E" w:rsidP="4F3EBC0C" w:rsidRDefault="60FF436E" w14:paraId="6ACA1B70" w14:textId="51843B97">
            <w:pPr>
              <w:pStyle w:val="Normal"/>
              <w:bidi w:val="0"/>
              <w:rPr>
                <w:rFonts w:ascii="Calibri" w:hAnsi="Calibri" w:eastAsia="Calibri" w:cs="Calibri"/>
                <w:noProof w:val="0"/>
                <w:sz w:val="22"/>
                <w:szCs w:val="22"/>
                <w:lang w:val="en-US"/>
              </w:rPr>
            </w:pPr>
            <w:r w:rsidRPr="4F3EBC0C" w:rsidR="60FF436E">
              <w:rPr>
                <w:rFonts w:ascii="Calibri" w:hAnsi="Calibri" w:eastAsia="Calibri" w:cs="Calibri"/>
                <w:noProof w:val="0"/>
                <w:sz w:val="22"/>
                <w:szCs w:val="22"/>
                <w:lang w:val="en-US"/>
              </w:rPr>
              <w:t>ACTTGCCTGTCGCTCTATCTTCCACTTCATGTATTTATGTATG</w:t>
            </w:r>
          </w:p>
          <w:p w:rsidR="4F3EBC0C" w:rsidP="4F3EBC0C" w:rsidRDefault="4F3EBC0C" w14:paraId="63A0CE75" w14:textId="37A2E5CD">
            <w:pPr>
              <w:pStyle w:val="Normal"/>
              <w:bidi w:val="0"/>
              <w:rPr>
                <w:rFonts w:ascii="Calibri" w:hAnsi="Calibri" w:eastAsia="Calibri" w:cs="Calibri"/>
                <w:noProof w:val="0"/>
                <w:sz w:val="22"/>
                <w:szCs w:val="22"/>
                <w:lang w:val="en-US"/>
              </w:rPr>
            </w:pPr>
          </w:p>
        </w:tc>
      </w:tr>
    </w:tbl>
    <w:p w:rsidR="2B65E5A3" w:rsidP="4F3EBC0C" w:rsidRDefault="2B65E5A3" w14:paraId="04C50764" w14:textId="56A3CD27">
      <w:pPr>
        <w:bidi w:val="0"/>
        <w:spacing w:after="160" w:line="259" w:lineRule="auto"/>
        <w:rPr>
          <w:rFonts w:ascii="Calibri" w:hAnsi="Calibri" w:eastAsia="Calibri" w:cs="Calibri"/>
          <w:b w:val="0"/>
          <w:bCs w:val="0"/>
          <w:i w:val="0"/>
          <w:iCs w:val="0"/>
          <w:noProof w:val="0"/>
          <w:sz w:val="22"/>
          <w:szCs w:val="22"/>
          <w:lang w:val="en-US"/>
        </w:rPr>
      </w:pPr>
      <w:r w:rsidRPr="4F3EBC0C" w:rsidR="2B65E5A3">
        <w:rPr>
          <w:rFonts w:ascii="Calibri" w:hAnsi="Calibri" w:eastAsia="Calibri" w:cs="Calibri"/>
          <w:b w:val="0"/>
          <w:bCs w:val="0"/>
          <w:i w:val="0"/>
          <w:iCs w:val="0"/>
          <w:noProof w:val="0"/>
          <w:sz w:val="22"/>
          <w:szCs w:val="22"/>
          <w:lang w:val="en-US"/>
        </w:rPr>
        <w:t xml:space="preserve">We found the tailed primer did not successfully amplify </w:t>
      </w:r>
      <w:r w:rsidRPr="4F3EBC0C" w:rsidR="2B65E5A3">
        <w:rPr>
          <w:rFonts w:ascii="Calibri" w:hAnsi="Calibri" w:eastAsia="Calibri" w:cs="Calibri"/>
          <w:b w:val="0"/>
          <w:bCs w:val="0"/>
          <w:i w:val="1"/>
          <w:iCs w:val="1"/>
          <w:noProof w:val="0"/>
          <w:sz w:val="22"/>
          <w:szCs w:val="22"/>
          <w:lang w:val="en-US"/>
        </w:rPr>
        <w:t xml:space="preserve">pfhrp2 </w:t>
      </w:r>
      <w:r w:rsidRPr="4F3EBC0C" w:rsidR="2B65E5A3">
        <w:rPr>
          <w:rFonts w:ascii="Calibri" w:hAnsi="Calibri" w:eastAsia="Calibri" w:cs="Calibri"/>
          <w:b w:val="0"/>
          <w:bCs w:val="0"/>
          <w:i w:val="0"/>
          <w:iCs w:val="0"/>
          <w:noProof w:val="0"/>
          <w:sz w:val="22"/>
          <w:szCs w:val="22"/>
          <w:lang w:val="en-US"/>
        </w:rPr>
        <w:t xml:space="preserve">product from raw extract but did yield product when used on pre-amplified </w:t>
      </w:r>
      <w:r w:rsidRPr="4F3EBC0C" w:rsidR="2B65E5A3">
        <w:rPr>
          <w:rFonts w:ascii="Calibri" w:hAnsi="Calibri" w:eastAsia="Calibri" w:cs="Calibri"/>
          <w:b w:val="0"/>
          <w:bCs w:val="0"/>
          <w:i w:val="1"/>
          <w:iCs w:val="1"/>
          <w:noProof w:val="0"/>
          <w:sz w:val="22"/>
          <w:szCs w:val="22"/>
          <w:lang w:val="en-US"/>
        </w:rPr>
        <w:t xml:space="preserve">pfhrp2 </w:t>
      </w:r>
      <w:r w:rsidRPr="4F3EBC0C" w:rsidR="2B65E5A3">
        <w:rPr>
          <w:rFonts w:ascii="Calibri" w:hAnsi="Calibri" w:eastAsia="Calibri" w:cs="Calibri"/>
          <w:b w:val="0"/>
          <w:bCs w:val="0"/>
          <w:i w:val="0"/>
          <w:iCs w:val="0"/>
          <w:noProof w:val="0"/>
          <w:sz w:val="22"/>
          <w:szCs w:val="22"/>
          <w:lang w:val="en-US"/>
        </w:rPr>
        <w:t xml:space="preserve">product. The tailed product was then purified with </w:t>
      </w:r>
      <w:proofErr w:type="spellStart"/>
      <w:r w:rsidRPr="4F3EBC0C" w:rsidR="2B65E5A3">
        <w:rPr>
          <w:rFonts w:ascii="Calibri" w:hAnsi="Calibri" w:eastAsia="Calibri" w:cs="Calibri"/>
          <w:b w:val="0"/>
          <w:bCs w:val="0"/>
          <w:i w:val="0"/>
          <w:iCs w:val="0"/>
          <w:noProof w:val="0"/>
          <w:sz w:val="22"/>
          <w:szCs w:val="22"/>
          <w:lang w:val="en-US"/>
        </w:rPr>
        <w:t>AMPure</w:t>
      </w:r>
      <w:proofErr w:type="spellEnd"/>
      <w:r w:rsidRPr="4F3EBC0C" w:rsidR="2B65E5A3">
        <w:rPr>
          <w:rFonts w:ascii="Calibri" w:hAnsi="Calibri" w:eastAsia="Calibri" w:cs="Calibri"/>
          <w:b w:val="0"/>
          <w:bCs w:val="0"/>
          <w:i w:val="0"/>
          <w:iCs w:val="0"/>
          <w:noProof w:val="0"/>
          <w:sz w:val="22"/>
          <w:szCs w:val="22"/>
          <w:lang w:val="en-US"/>
        </w:rPr>
        <w:t xml:space="preserve"> XP beads at a ratio of 0.5x </w:t>
      </w:r>
      <w:r w:rsidRPr="4F3EBC0C" w:rsidR="2B65E5A3">
        <w:rPr>
          <w:rFonts w:ascii="Calibri" w:hAnsi="Calibri" w:eastAsia="Calibri" w:cs="Calibri"/>
          <w:b w:val="0"/>
          <w:bCs w:val="0"/>
          <w:i w:val="0"/>
          <w:iCs w:val="0"/>
          <w:noProof w:val="0"/>
          <w:sz w:val="22"/>
          <w:szCs w:val="22"/>
          <w:lang w:val="en-US"/>
        </w:rPr>
        <w:t>beads and</w:t>
      </w:r>
      <w:r w:rsidRPr="4F3EBC0C" w:rsidR="2B65E5A3">
        <w:rPr>
          <w:rFonts w:ascii="Calibri" w:hAnsi="Calibri" w:eastAsia="Calibri" w:cs="Calibri"/>
          <w:b w:val="0"/>
          <w:bCs w:val="0"/>
          <w:i w:val="0"/>
          <w:iCs w:val="0"/>
          <w:noProof w:val="0"/>
          <w:sz w:val="22"/>
          <w:szCs w:val="22"/>
          <w:lang w:val="en-US"/>
        </w:rPr>
        <w:t xml:space="preserve"> carried forward to the barcoding PCR step. Pooling, cleanup, library preparation, and sequencing were then performed as described above. An initial quality check showed that the proportion of unclassified reads in relation to the correctly assigned barcodes was far lower using the ONT protocol than in control experiments using the custom barcoding method presented here. However, when the reads were aligned to the 3D7 </w:t>
      </w:r>
      <w:r w:rsidRPr="4F3EBC0C" w:rsidR="2B65E5A3">
        <w:rPr>
          <w:rFonts w:ascii="Calibri" w:hAnsi="Calibri" w:eastAsia="Calibri" w:cs="Calibri"/>
          <w:b w:val="0"/>
          <w:bCs w:val="0"/>
          <w:i w:val="1"/>
          <w:iCs w:val="1"/>
          <w:noProof w:val="0"/>
          <w:sz w:val="22"/>
          <w:szCs w:val="22"/>
          <w:lang w:val="en-US"/>
        </w:rPr>
        <w:t xml:space="preserve">pfhrp2 </w:t>
      </w:r>
      <w:r w:rsidRPr="4F3EBC0C" w:rsidR="2B65E5A3">
        <w:rPr>
          <w:rFonts w:ascii="Calibri" w:hAnsi="Calibri" w:eastAsia="Calibri" w:cs="Calibri"/>
          <w:b w:val="0"/>
          <w:bCs w:val="0"/>
          <w:i w:val="0"/>
          <w:iCs w:val="0"/>
          <w:noProof w:val="0"/>
          <w:sz w:val="22"/>
          <w:szCs w:val="22"/>
          <w:lang w:val="en-US"/>
        </w:rPr>
        <w:t xml:space="preserve">reference sequence (PF3D7_0831800) and aligned reads were assembled using </w:t>
      </w:r>
      <w:proofErr w:type="spellStart"/>
      <w:r w:rsidRPr="4F3EBC0C" w:rsidR="2B65E5A3">
        <w:rPr>
          <w:rFonts w:ascii="Calibri" w:hAnsi="Calibri" w:eastAsia="Calibri" w:cs="Calibri"/>
          <w:b w:val="0"/>
          <w:bCs w:val="0"/>
          <w:i w:val="0"/>
          <w:iCs w:val="0"/>
          <w:noProof w:val="0"/>
          <w:sz w:val="22"/>
          <w:szCs w:val="22"/>
          <w:lang w:val="en-US"/>
        </w:rPr>
        <w:t>canu</w:t>
      </w:r>
      <w:proofErr w:type="spellEnd"/>
      <w:r w:rsidRPr="4F3EBC0C" w:rsidR="2B65E5A3">
        <w:rPr>
          <w:rFonts w:ascii="Calibri" w:hAnsi="Calibri" w:eastAsia="Calibri" w:cs="Calibri"/>
          <w:b w:val="0"/>
          <w:bCs w:val="0"/>
          <w:i w:val="0"/>
          <w:iCs w:val="0"/>
          <w:noProof w:val="0"/>
          <w:sz w:val="22"/>
          <w:szCs w:val="22"/>
          <w:lang w:val="en-US"/>
        </w:rPr>
        <w:t xml:space="preserve"> (2.1.1) (Koren, et al., 2017), the resulting sequences were truncated and frequently chimeric (see Supplementary Information, Supplementary Figure 2 for examples). Despite the superior performance of the ONT protocol, we were unable to assemble the data to reflect the correct length and repeat-type sequence of the 7G8 control, either by reference-based or </w:t>
      </w:r>
      <w:r w:rsidRPr="4F3EBC0C" w:rsidR="2B65E5A3">
        <w:rPr>
          <w:rFonts w:ascii="Calibri" w:hAnsi="Calibri" w:eastAsia="Calibri" w:cs="Calibri"/>
          <w:b w:val="0"/>
          <w:bCs w:val="0"/>
          <w:i w:val="1"/>
          <w:iCs w:val="1"/>
          <w:noProof w:val="0"/>
          <w:sz w:val="22"/>
          <w:szCs w:val="22"/>
          <w:lang w:val="en-US"/>
        </w:rPr>
        <w:t xml:space="preserve">de novo </w:t>
      </w:r>
      <w:r w:rsidRPr="4F3EBC0C" w:rsidR="2B65E5A3">
        <w:rPr>
          <w:rFonts w:ascii="Calibri" w:hAnsi="Calibri" w:eastAsia="Calibri" w:cs="Calibri"/>
          <w:b w:val="0"/>
          <w:bCs w:val="0"/>
          <w:i w:val="0"/>
          <w:iCs w:val="0"/>
          <w:noProof w:val="0"/>
          <w:sz w:val="22"/>
          <w:szCs w:val="22"/>
          <w:lang w:val="en-US"/>
        </w:rPr>
        <w:t>assembly, and thus proceeded with our original approach.</w:t>
      </w:r>
    </w:p>
    <w:p w:rsidR="4F3EBC0C" w:rsidP="4F3EBC0C" w:rsidRDefault="4F3EBC0C" w14:paraId="2A8C83C3" w14:textId="7189A319">
      <w:pPr>
        <w:pStyle w:val="Heading1"/>
        <w:bidi w:val="0"/>
        <w:spacing w:before="240" w:beforeAutospacing="off" w:after="0" w:afterAutospacing="off" w:line="259" w:lineRule="auto"/>
        <w:ind w:left="0" w:right="0"/>
        <w:jc w:val="left"/>
        <w:rPr>
          <w:rFonts w:ascii="Calibri Light" w:hAnsi="Calibri Light" w:eastAsia="ＭＳ ゴシック" w:cs="Times New Roman"/>
          <w:color w:val="2F5496" w:themeColor="accent1" w:themeTint="FF" w:themeShade="BF"/>
          <w:sz w:val="32"/>
          <w:szCs w:val="32"/>
        </w:rPr>
      </w:pPr>
      <w:r w:rsidRPr="4F3EBC0C" w:rsidR="4F3EBC0C">
        <w:rPr>
          <w:rFonts w:ascii="Calibri Light" w:hAnsi="Calibri Light" w:eastAsia="ＭＳ ゴシック" w:cs="Times New Roman"/>
          <w:color w:val="2F5496" w:themeColor="accent1" w:themeTint="FF" w:themeShade="BF"/>
          <w:sz w:val="32"/>
          <w:szCs w:val="32"/>
        </w:rPr>
        <w:t>Pool Normalization</w:t>
      </w:r>
    </w:p>
    <w:p w:rsidR="4F3EBC0C" w:rsidP="4F3EBC0C" w:rsidRDefault="4F3EBC0C" w14:paraId="197CC68E" w14:textId="51F69AB2">
      <w:pPr>
        <w:pStyle w:val="Normal"/>
        <w:bidi w:val="0"/>
        <w:rPr>
          <w:noProof w:val="0"/>
          <w:lang w:val="en-US"/>
        </w:rPr>
      </w:pPr>
      <w:r w:rsidRPr="4F3EBC0C" w:rsidR="4F3EBC0C">
        <w:rPr>
          <w:noProof w:val="0"/>
          <w:lang w:val="en-US"/>
        </w:rPr>
        <w:t xml:space="preserve">To normalize sequencing pools, the sample with the lowest concentration (excluding the Dd2 negative control when applicable) was used as the normalization target. The lowest concentration in ng/µL was multiplied by the total remaining µL of product to find the target total nanograms to add to the pool from each sample. </w:t>
      </w:r>
    </w:p>
    <w:p w:rsidR="4F3EBC0C" w:rsidP="4F3EBC0C" w:rsidRDefault="4F3EBC0C" w14:paraId="415BC7ED" w14:textId="33BCCDDC">
      <w:pPr>
        <w:bidi w:val="0"/>
        <w:spacing w:line="257" w:lineRule="auto"/>
        <w:jc w:val="center"/>
      </w:pPr>
      <m:oMathPara xmlns:m="http://schemas.openxmlformats.org/officeDocument/2006/math">
        <m:oMath xmlns:m="http://schemas.openxmlformats.org/officeDocument/2006/math">
          <m:d xmlns:m="http://schemas.openxmlformats.org/officeDocument/2006/math">
            <m:dPr>
              <m:ctrlPr/>
            </m:dPr>
            <m:e>
              <m:r>
                <m:t>𝐿𝑜𝑤𝑒𝑠𝑡</m:t>
              </m:r>
              <m:r>
                <m:t> </m:t>
              </m:r>
              <m:f>
                <m:fPr>
                  <m:ctrlPr/>
                </m:fPr>
                <m:num>
                  <m:r>
                    <m:t>𝑛𝑔</m:t>
                  </m:r>
                </m:num>
                <m:den>
                  <m:r>
                    <m:t>𝜇</m:t>
                  </m:r>
                  <m:r>
                    <m:t>𝐿</m:t>
                  </m:r>
                </m:den>
              </m:f>
            </m:e>
          </m:d>
          <m:r xmlns:m="http://schemas.openxmlformats.org/officeDocument/2006/math">
            <m:t xmlns:m="http://schemas.openxmlformats.org/officeDocument/2006/math"> ⋅ </m:t>
          </m:r>
          <m:d xmlns:m="http://schemas.openxmlformats.org/officeDocument/2006/math">
            <m:dPr>
              <m:ctrlPr/>
            </m:dPr>
            <m:e>
              <m:r>
                <m:t>𝑇𝑜𝑡𝑎𝑙</m:t>
              </m:r>
              <m:r>
                <m:t> </m:t>
              </m:r>
              <m:r>
                <m:t>𝑟𝑒𝑚𝑎𝑖𝑛𝑖𝑛𝑔</m:t>
              </m:r>
              <m:r>
                <m:t> </m:t>
              </m:r>
              <m:r>
                <m:t>𝜇</m:t>
              </m:r>
              <m:r>
                <m:t>𝐿</m:t>
              </m:r>
            </m:e>
          </m:d>
          <m:r xmlns:m="http://schemas.openxmlformats.org/officeDocument/2006/math">
            <m:t xmlns:m="http://schemas.openxmlformats.org/officeDocument/2006/math"> = </m:t>
          </m:r>
          <m:r xmlns:m="http://schemas.openxmlformats.org/officeDocument/2006/math">
            <m:t xmlns:m="http://schemas.openxmlformats.org/officeDocument/2006/math">𝑛𝑔</m:t>
          </m:r>
          <m:r xmlns:m="http://schemas.openxmlformats.org/officeDocument/2006/math">
            <m:t xmlns:m="http://schemas.openxmlformats.org/officeDocument/2006/math"> </m:t>
          </m:r>
          <m:r xmlns:m="http://schemas.openxmlformats.org/officeDocument/2006/math">
            <m:t xmlns:m="http://schemas.openxmlformats.org/officeDocument/2006/math">𝑡𝑜</m:t>
          </m:r>
          <m:r xmlns:m="http://schemas.openxmlformats.org/officeDocument/2006/math">
            <m:t xmlns:m="http://schemas.openxmlformats.org/officeDocument/2006/math"> </m:t>
          </m:r>
          <m:r xmlns:m="http://schemas.openxmlformats.org/officeDocument/2006/math">
            <m:t xmlns:m="http://schemas.openxmlformats.org/officeDocument/2006/math">𝑎𝑑𝑑</m:t>
          </m:r>
          <m:r xmlns:m="http://schemas.openxmlformats.org/officeDocument/2006/math">
            <m:t xmlns:m="http://schemas.openxmlformats.org/officeDocument/2006/math"> </m:t>
          </m:r>
          <m:r xmlns:m="http://schemas.openxmlformats.org/officeDocument/2006/math">
            <m:t xmlns:m="http://schemas.openxmlformats.org/officeDocument/2006/math">𝑡𝑜</m:t>
          </m:r>
          <m:r xmlns:m="http://schemas.openxmlformats.org/officeDocument/2006/math">
            <m:t xmlns:m="http://schemas.openxmlformats.org/officeDocument/2006/math"> </m:t>
          </m:r>
          <m:r xmlns:m="http://schemas.openxmlformats.org/officeDocument/2006/math">
            <m:t xmlns:m="http://schemas.openxmlformats.org/officeDocument/2006/math">𝑝𝑜𝑜𝑙</m:t>
          </m:r>
        </m:oMath>
      </m:oMathPara>
    </w:p>
    <w:p w:rsidR="4F3EBC0C" w:rsidP="4F3EBC0C" w:rsidRDefault="4F3EBC0C" w14:paraId="1ECB9B92" w14:textId="0F300035">
      <w:pPr>
        <w:pStyle w:val="Normal"/>
        <w:bidi w:val="0"/>
        <w:rPr>
          <w:noProof w:val="0"/>
          <w:lang w:val="en-US"/>
        </w:rPr>
      </w:pPr>
      <w:r w:rsidRPr="4F3EBC0C" w:rsidR="4F3EBC0C">
        <w:rPr>
          <w:noProof w:val="0"/>
          <w:lang w:val="en-US"/>
        </w:rPr>
        <w:t>For all other samples, the quantity of product to add to the pool could be calculated as follows:</w:t>
      </w:r>
    </w:p>
    <w:p w:rsidR="4F3EBC0C" w:rsidP="4F3EBC0C" w:rsidRDefault="4F3EBC0C" w14:paraId="668E9203" w14:textId="26B197CC">
      <w:pPr>
        <w:pStyle w:val="Normal"/>
        <w:bidi w:val="0"/>
        <w:jc w:val="center"/>
        <w:rPr>
          <w:noProof w:val="0"/>
          <w:lang w:val="en-US"/>
        </w:rPr>
      </w:pPr>
      <m:oMathPara xmlns:m="http://schemas.openxmlformats.org/officeDocument/2006/math">
        <m:oMath xmlns:m="http://schemas.openxmlformats.org/officeDocument/2006/math">
          <m:f xmlns:m="http://schemas.openxmlformats.org/officeDocument/2006/math">
            <m:fPr>
              <m:ctrlPr/>
            </m:fPr>
            <m:num>
              <m:d>
                <m:dPr>
                  <m:ctrlPr/>
                </m:dPr>
                <m:e>
                  <m:r>
                    <m:t>𝑛𝑔</m:t>
                  </m:r>
                  <m:r>
                    <m:t> </m:t>
                  </m:r>
                  <m:r>
                    <m:t>𝑡𝑜</m:t>
                  </m:r>
                  <m:r>
                    <m:t> </m:t>
                  </m:r>
                  <m:r>
                    <m:t>𝑎𝑑𝑑</m:t>
                  </m:r>
                  <m:r>
                    <m:t> </m:t>
                  </m:r>
                  <m:r>
                    <m:t>𝑡𝑜</m:t>
                  </m:r>
                  <m:r>
                    <m:t> </m:t>
                  </m:r>
                  <m:r>
                    <m:t>𝑝𝑜𝑜𝑙</m:t>
                  </m:r>
                </m:e>
              </m:d>
            </m:num>
            <m:den>
              <m:d>
                <m:dPr>
                  <m:ctrlPr/>
                </m:dPr>
                <m:e>
                  <m:r>
                    <m:t>𝑠𝑎𝑚𝑝𝑙𝑒</m:t>
                  </m:r>
                  <m:r>
                    <m:t> </m:t>
                  </m:r>
                  <m:f>
                    <m:fPr>
                      <m:ctrlPr/>
                    </m:fPr>
                    <m:num>
                      <m:r>
                        <m:t>𝑛𝑔</m:t>
                      </m:r>
                    </m:num>
                    <m:den>
                      <m:d>
                        <m:dPr>
                          <m:ctrlPr/>
                        </m:dPr>
                        <m:e>
                          <m:r>
                            <m:t>𝜇</m:t>
                          </m:r>
                          <m:r>
                            <m:t>𝐿</m:t>
                          </m:r>
                        </m:e>
                      </m:d>
                    </m:den>
                  </m:f>
                </m:e>
              </m:d>
            </m:den>
          </m:f>
          <m:r xmlns:m="http://schemas.openxmlformats.org/officeDocument/2006/math">
            <m:t xmlns:m="http://schemas.openxmlformats.org/officeDocument/2006/math"> = </m:t>
          </m:r>
          <m:r xmlns:m="http://schemas.openxmlformats.org/officeDocument/2006/math">
            <m:t xmlns:m="http://schemas.openxmlformats.org/officeDocument/2006/math">𝜇</m:t>
          </m:r>
          <m:r xmlns:m="http://schemas.openxmlformats.org/officeDocument/2006/math">
            <m:t xmlns:m="http://schemas.openxmlformats.org/officeDocument/2006/math">𝐿</m:t>
          </m:r>
          <m:r xmlns:m="http://schemas.openxmlformats.org/officeDocument/2006/math">
            <m:t xmlns:m="http://schemas.openxmlformats.org/officeDocument/2006/math"> </m:t>
          </m:r>
          <m:r xmlns:m="http://schemas.openxmlformats.org/officeDocument/2006/math">
            <m:t xmlns:m="http://schemas.openxmlformats.org/officeDocument/2006/math">𝑡𝑜</m:t>
          </m:r>
          <m:r xmlns:m="http://schemas.openxmlformats.org/officeDocument/2006/math">
            <m:t xmlns:m="http://schemas.openxmlformats.org/officeDocument/2006/math"> </m:t>
          </m:r>
          <m:r xmlns:m="http://schemas.openxmlformats.org/officeDocument/2006/math">
            <m:t xmlns:m="http://schemas.openxmlformats.org/officeDocument/2006/math">𝑎𝑑𝑑</m:t>
          </m:r>
          <m:r xmlns:m="http://schemas.openxmlformats.org/officeDocument/2006/math">
            <m:t xmlns:m="http://schemas.openxmlformats.org/officeDocument/2006/math"> </m:t>
          </m:r>
          <m:r xmlns:m="http://schemas.openxmlformats.org/officeDocument/2006/math">
            <m:t xmlns:m="http://schemas.openxmlformats.org/officeDocument/2006/math">𝑡𝑜</m:t>
          </m:r>
          <m:r xmlns:m="http://schemas.openxmlformats.org/officeDocument/2006/math">
            <m:t xmlns:m="http://schemas.openxmlformats.org/officeDocument/2006/math"> </m:t>
          </m:r>
          <m:r xmlns:m="http://schemas.openxmlformats.org/officeDocument/2006/math">
            <m:t xmlns:m="http://schemas.openxmlformats.org/officeDocument/2006/math">𝑝𝑜𝑜𝑙</m:t>
          </m:r>
        </m:oMath>
      </m:oMathPara>
    </w:p>
    <w:p w:rsidR="4F3EBC0C" w:rsidP="4F3EBC0C" w:rsidRDefault="4F3EBC0C" w14:paraId="66760D63" w14:textId="747C21C2">
      <w:pPr>
        <w:pStyle w:val="Normal"/>
        <w:bidi w:val="0"/>
      </w:pPr>
    </w:p>
    <w:p w:rsidR="4F3EBC0C" w:rsidP="4F3EBC0C" w:rsidRDefault="4F3EBC0C" w14:paraId="3060C4D2" w14:textId="7F45EC3A">
      <w:pPr>
        <w:pStyle w:val="Heading1"/>
        <w:bidi w:val="0"/>
        <w:spacing w:before="240" w:beforeAutospacing="off" w:after="0" w:afterAutospacing="off" w:line="259" w:lineRule="auto"/>
        <w:ind w:left="0" w:right="0"/>
        <w:jc w:val="left"/>
        <w:rPr>
          <w:rFonts w:ascii="Calibri Light" w:hAnsi="Calibri Light" w:eastAsia="ＭＳ ゴシック" w:cs="Times New Roman"/>
          <w:color w:val="2F5496" w:themeColor="accent1" w:themeTint="FF" w:themeShade="BF"/>
          <w:sz w:val="32"/>
          <w:szCs w:val="32"/>
        </w:rPr>
      </w:pPr>
      <w:r w:rsidRPr="4F3EBC0C" w:rsidR="4F3EBC0C">
        <w:rPr>
          <w:rFonts w:ascii="Calibri Light" w:hAnsi="Calibri Light" w:eastAsia="ＭＳ ゴシック" w:cs="Times New Roman"/>
          <w:color w:val="2F5496" w:themeColor="accent1" w:themeTint="FF" w:themeShade="BF"/>
          <w:sz w:val="32"/>
          <w:szCs w:val="32"/>
        </w:rPr>
        <w:t>Sequencing run length</w:t>
      </w:r>
    </w:p>
    <w:p w:rsidR="4F3EBC0C" w:rsidP="4F3EBC0C" w:rsidRDefault="4F3EBC0C" w14:paraId="7B9133B2" w14:textId="5BA86EA5">
      <w:pPr>
        <w:pStyle w:val="Normal"/>
        <w:bidi w:val="0"/>
        <w:rPr>
          <w:rFonts w:ascii="Calibri" w:hAnsi="Calibri" w:eastAsia="Calibri" w:cs="Calibri"/>
          <w:noProof w:val="0"/>
          <w:sz w:val="22"/>
          <w:szCs w:val="22"/>
          <w:lang w:val="en-US"/>
        </w:rPr>
      </w:pPr>
      <w:r w:rsidRPr="4F3EBC0C" w:rsidR="4F3EBC0C">
        <w:rPr>
          <w:rFonts w:ascii="Calibri" w:hAnsi="Calibri" w:eastAsia="Calibri" w:cs="Calibri"/>
          <w:noProof w:val="0"/>
          <w:sz w:val="22"/>
          <w:szCs w:val="22"/>
          <w:lang w:val="en-US"/>
        </w:rPr>
        <w:t>The length of each sequencing run was determined by the number of samples included in the sequencing pool (Supplementary Table 3). Typically for standard flow cells, pools of 3-5 were run for 3 hours and pools of 5-10 were run for 6 hours. We did not sequence pools with more than 10 samples. For the Flongles, we found that sequencing runs longer than 12 hours plateaued at the 12-hour mark (Supplementary Figure 3). Flongle sequencing runs with 3-5 samples were set to run for 6 hours and those with 5-8 samples were set to run for 12 hours. We did not explore sequencing more than 8 samples per Flongle.</w:t>
      </w:r>
    </w:p>
    <w:p w:rsidR="6BB59477" w:rsidP="6BB59477" w:rsidRDefault="6BB59477" w14:paraId="6E000958" w14:textId="2E4E07B0">
      <w:pPr>
        <w:pStyle w:val="Heading1"/>
        <w:bidi w:val="0"/>
        <w:spacing w:before="240" w:beforeAutospacing="off" w:after="0" w:afterAutospacing="off" w:line="259" w:lineRule="auto"/>
        <w:ind w:left="0" w:right="0"/>
        <w:jc w:val="left"/>
        <w:rPr>
          <w:rFonts w:ascii="Calibri Light" w:hAnsi="Calibri Light" w:eastAsia="ＭＳ ゴシック" w:cs="Times New Roman"/>
          <w:color w:val="2F5496" w:themeColor="accent1" w:themeTint="FF" w:themeShade="BF"/>
          <w:sz w:val="32"/>
          <w:szCs w:val="32"/>
        </w:rPr>
      </w:pPr>
      <w:r w:rsidRPr="6BB59477" w:rsidR="6BB59477">
        <w:rPr>
          <w:rFonts w:ascii="Calibri Light" w:hAnsi="Calibri Light" w:eastAsia="ＭＳ ゴシック" w:cs="Times New Roman"/>
          <w:color w:val="2F5496" w:themeColor="accent1" w:themeTint="FF" w:themeShade="BF"/>
          <w:sz w:val="32"/>
          <w:szCs w:val="32"/>
        </w:rPr>
        <w:t>Manual sequence editing</w:t>
      </w:r>
    </w:p>
    <w:p w:rsidR="6BB59477" w:rsidP="60FF436E" w:rsidRDefault="6BB59477" w14:paraId="4910D826" w14:textId="3CFEE5A3">
      <w:pPr>
        <w:pStyle w:val="Normal"/>
        <w:rPr>
          <w:rFonts w:ascii="Calibri Light" w:hAnsi="Calibri Light" w:eastAsia="ＭＳ ゴシック" w:cs="Times New Roman"/>
          <w:color w:val="2F5496" w:themeColor="accent1" w:themeTint="FF" w:themeShade="BF"/>
          <w:sz w:val="32"/>
          <w:szCs w:val="32"/>
        </w:rPr>
      </w:pPr>
      <w:r w:rsidR="6BB59477">
        <w:rPr/>
        <w:t xml:space="preserve">When opening consensus sequences from </w:t>
      </w:r>
      <w:r w:rsidRPr="60FF436E" w:rsidR="6BB59477">
        <w:rPr>
          <w:i w:val="1"/>
          <w:iCs w:val="1"/>
        </w:rPr>
        <w:t xml:space="preserve">de novo </w:t>
      </w:r>
      <w:r w:rsidRPr="60FF436E" w:rsidR="6BB59477">
        <w:rPr>
          <w:i w:val="0"/>
          <w:iCs w:val="0"/>
        </w:rPr>
        <w:t xml:space="preserve">assembly contigs in </w:t>
      </w:r>
      <w:proofErr w:type="spellStart"/>
      <w:r w:rsidRPr="60FF436E" w:rsidR="6BB59477">
        <w:rPr>
          <w:i w:val="0"/>
          <w:iCs w:val="0"/>
        </w:rPr>
        <w:t>Geneious</w:t>
      </w:r>
      <w:proofErr w:type="spellEnd"/>
      <w:r w:rsidRPr="60FF436E" w:rsidR="6BB59477">
        <w:rPr>
          <w:i w:val="0"/>
          <w:iCs w:val="0"/>
        </w:rPr>
        <w:t>, the first two sequences we searched for were exon 1 (</w:t>
      </w:r>
      <w:r w:rsidR="6BB59477">
        <w:rPr/>
        <w:t xml:space="preserve">5’ - </w:t>
      </w:r>
      <w:r w:rsidRPr="60FF436E" w:rsidR="60FF436E">
        <w:rPr>
          <w:rFonts w:ascii="Calibri" w:hAnsi="Calibri" w:eastAsia="Calibri" w:cs="Calibri"/>
          <w:noProof w:val="0"/>
          <w:sz w:val="22"/>
          <w:szCs w:val="22"/>
          <w:lang w:val="en-US"/>
        </w:rPr>
        <w:t>ATGGTTTCCTTCTCAAAAAATAAAGTATTATCCGCTGCCGTTTTTGCCTCCGTACTTTTGTTAGATAAC – 3') and the start of exon 2 (</w:t>
      </w:r>
      <w:r w:rsidR="6BB59477">
        <w:rPr/>
        <w:t xml:space="preserve">5’ - </w:t>
      </w:r>
      <w:r w:rsidRPr="60FF436E" w:rsidR="60FF436E">
        <w:rPr>
          <w:rFonts w:ascii="Calibri" w:hAnsi="Calibri" w:eastAsia="Calibri" w:cs="Calibri"/>
          <w:noProof w:val="0"/>
          <w:sz w:val="22"/>
          <w:szCs w:val="22"/>
          <w:lang w:val="en-US"/>
        </w:rPr>
        <w:t>AATAATTCCGCATTTAATAATAACTTGTGTAGCAAAAATGCA</w:t>
      </w:r>
      <w:r w:rsidR="6BB59477">
        <w:rPr/>
        <w:t xml:space="preserve"> - 3’). To simplify this process, we created an annotated version of the 3D7 </w:t>
      </w:r>
      <w:r w:rsidRPr="60FF436E" w:rsidR="6BB59477">
        <w:rPr>
          <w:i w:val="1"/>
          <w:iCs w:val="1"/>
        </w:rPr>
        <w:t xml:space="preserve">pfhrp2 </w:t>
      </w:r>
      <w:r w:rsidRPr="60FF436E" w:rsidR="6BB59477">
        <w:rPr>
          <w:i w:val="0"/>
          <w:iCs w:val="0"/>
        </w:rPr>
        <w:t>reference sequence (PF3D7</w:t>
      </w:r>
      <w:r w:rsidRPr="60FF436E" w:rsidR="60FF436E">
        <w:rPr>
          <w:rFonts w:ascii="Calibri" w:hAnsi="Calibri" w:eastAsia="Calibri" w:cs="Calibri"/>
          <w:noProof w:val="0"/>
          <w:sz w:val="22"/>
          <w:szCs w:val="22"/>
          <w:lang w:val="en-US"/>
        </w:rPr>
        <w:t>_0831800), which contained the following annotations:</w:t>
      </w:r>
    </w:p>
    <w:tbl>
      <w:tblPr>
        <w:tblStyle w:val="TableGrid"/>
        <w:bidiVisual w:val="0"/>
        <w:tblW w:w="0" w:type="auto"/>
        <w:tblLayout w:type="fixed"/>
        <w:tblLook w:val="06A0" w:firstRow="1" w:lastRow="0" w:firstColumn="1" w:lastColumn="0" w:noHBand="1" w:noVBand="1"/>
      </w:tblPr>
      <w:tblGrid>
        <w:gridCol w:w="4680"/>
        <w:gridCol w:w="4680"/>
      </w:tblGrid>
      <w:tr w:rsidR="60FF436E" w:rsidTr="60FF436E" w14:paraId="5DEC7E9D">
        <w:tc>
          <w:tcPr>
            <w:tcW w:w="4680" w:type="dxa"/>
            <w:tcMar/>
          </w:tcPr>
          <w:p w:rsidR="60FF436E" w:rsidP="60FF436E" w:rsidRDefault="60FF436E" w14:paraId="603DFD9C" w14:textId="0CD34547">
            <w:pPr>
              <w:pStyle w:val="Normal"/>
              <w:bidi w:val="0"/>
              <w:rPr>
                <w:b w:val="1"/>
                <w:bCs w:val="1"/>
                <w:i w:val="0"/>
                <w:iCs w:val="0"/>
              </w:rPr>
            </w:pPr>
            <w:r w:rsidRPr="60FF436E" w:rsidR="60FF436E">
              <w:rPr>
                <w:b w:val="1"/>
                <w:bCs w:val="1"/>
                <w:i w:val="0"/>
                <w:iCs w:val="0"/>
              </w:rPr>
              <w:t>Annotation name</w:t>
            </w:r>
          </w:p>
        </w:tc>
        <w:tc>
          <w:tcPr>
            <w:tcW w:w="4680" w:type="dxa"/>
            <w:tcMar/>
          </w:tcPr>
          <w:p w:rsidR="60FF436E" w:rsidP="60FF436E" w:rsidRDefault="60FF436E" w14:paraId="09337D4B" w14:textId="7259B80C">
            <w:pPr>
              <w:pStyle w:val="Normal"/>
              <w:bidi w:val="0"/>
              <w:rPr>
                <w:b w:val="1"/>
                <w:bCs w:val="1"/>
                <w:i w:val="0"/>
                <w:iCs w:val="0"/>
              </w:rPr>
            </w:pPr>
            <w:r w:rsidRPr="60FF436E" w:rsidR="60FF436E">
              <w:rPr>
                <w:b w:val="1"/>
                <w:bCs w:val="1"/>
                <w:i w:val="0"/>
                <w:iCs w:val="0"/>
              </w:rPr>
              <w:t>Nucleotide Sequence (5’ to 3’)</w:t>
            </w:r>
          </w:p>
        </w:tc>
      </w:tr>
      <w:tr w:rsidR="60FF436E" w:rsidTr="60FF436E" w14:paraId="6C565B2F">
        <w:tc>
          <w:tcPr>
            <w:tcW w:w="4680" w:type="dxa"/>
            <w:tcMar/>
          </w:tcPr>
          <w:p w:rsidR="60FF436E" w:rsidP="60FF436E" w:rsidRDefault="60FF436E" w14:paraId="0497D8E4" w14:textId="79857884">
            <w:pPr>
              <w:pStyle w:val="Normal"/>
              <w:bidi w:val="0"/>
              <w:rPr>
                <w:i w:val="0"/>
                <w:iCs w:val="0"/>
              </w:rPr>
            </w:pPr>
            <w:r w:rsidRPr="60FF436E" w:rsidR="60FF436E">
              <w:rPr>
                <w:i w:val="0"/>
                <w:iCs w:val="0"/>
              </w:rPr>
              <w:t>EXON 1</w:t>
            </w:r>
          </w:p>
        </w:tc>
        <w:tc>
          <w:tcPr>
            <w:tcW w:w="4680" w:type="dxa"/>
            <w:tcMar/>
          </w:tcPr>
          <w:p w:rsidR="60FF436E" w:rsidP="60FF436E" w:rsidRDefault="60FF436E" w14:paraId="58AA8350" w14:textId="74CDEE1C">
            <w:pPr>
              <w:pStyle w:val="Normal"/>
              <w:bidi w:val="0"/>
              <w:rPr>
                <w:i w:val="0"/>
                <w:iCs w:val="0"/>
              </w:rPr>
            </w:pPr>
            <w:r w:rsidRPr="60FF436E" w:rsidR="60FF436E">
              <w:rPr>
                <w:i w:val="0"/>
                <w:iCs w:val="0"/>
              </w:rPr>
              <w:t>ATGGTTTCCTTCTCAAAAAATAAAGTATTATCCGCTGCCGTTTTTGCCTCCGTACTTTTGTTAGATAACG</w:t>
            </w:r>
          </w:p>
        </w:tc>
      </w:tr>
      <w:tr w:rsidR="60FF436E" w:rsidTr="60FF436E" w14:paraId="5DF2BC02">
        <w:tc>
          <w:tcPr>
            <w:tcW w:w="4680" w:type="dxa"/>
            <w:tcMar/>
          </w:tcPr>
          <w:p w:rsidR="60FF436E" w:rsidP="60FF436E" w:rsidRDefault="60FF436E" w14:paraId="649AEB85" w14:textId="3B758A91">
            <w:pPr>
              <w:pStyle w:val="Normal"/>
              <w:bidi w:val="0"/>
              <w:rPr>
                <w:i w:val="0"/>
                <w:iCs w:val="0"/>
              </w:rPr>
            </w:pPr>
            <w:r w:rsidRPr="60FF436E" w:rsidR="60FF436E">
              <w:rPr>
                <w:i w:val="0"/>
                <w:iCs w:val="0"/>
              </w:rPr>
              <w:t>Exon2_start</w:t>
            </w:r>
          </w:p>
        </w:tc>
        <w:tc>
          <w:tcPr>
            <w:tcW w:w="4680" w:type="dxa"/>
            <w:tcMar/>
          </w:tcPr>
          <w:p w:rsidR="60FF436E" w:rsidP="60FF436E" w:rsidRDefault="60FF436E" w14:paraId="3493DA09" w14:textId="0BE49EDC">
            <w:pPr>
              <w:pStyle w:val="Normal"/>
              <w:bidi w:val="0"/>
              <w:rPr>
                <w:i w:val="0"/>
                <w:iCs w:val="0"/>
              </w:rPr>
            </w:pPr>
            <w:r w:rsidRPr="60FF436E" w:rsidR="60FF436E">
              <w:rPr>
                <w:i w:val="0"/>
                <w:iCs w:val="0"/>
              </w:rPr>
              <w:t>AATAATTCCGCATTTAATAATAACTTGTGTAGCAAAAATGCA</w:t>
            </w:r>
          </w:p>
        </w:tc>
      </w:tr>
      <w:tr w:rsidR="60FF436E" w:rsidTr="60FF436E" w14:paraId="72D7FD58">
        <w:tc>
          <w:tcPr>
            <w:tcW w:w="4680" w:type="dxa"/>
            <w:tcMar/>
          </w:tcPr>
          <w:p w:rsidR="60FF436E" w:rsidP="60FF436E" w:rsidRDefault="60FF436E" w14:paraId="3B16A9C9" w14:textId="137C576C">
            <w:pPr>
              <w:pStyle w:val="Normal"/>
              <w:bidi w:val="0"/>
              <w:rPr>
                <w:i w:val="0"/>
                <w:iCs w:val="0"/>
              </w:rPr>
            </w:pPr>
            <w:r w:rsidRPr="60FF436E" w:rsidR="60FF436E">
              <w:rPr>
                <w:i w:val="0"/>
                <w:iCs w:val="0"/>
              </w:rPr>
              <w:t>Intron</w:t>
            </w:r>
          </w:p>
        </w:tc>
        <w:tc>
          <w:tcPr>
            <w:tcW w:w="4680" w:type="dxa"/>
            <w:tcMar/>
          </w:tcPr>
          <w:p w:rsidR="60FF436E" w:rsidP="60FF436E" w:rsidRDefault="60FF436E" w14:paraId="74A4D354" w14:textId="229CFC3A">
            <w:pPr>
              <w:pStyle w:val="Normal"/>
              <w:bidi w:val="0"/>
              <w:rPr>
                <w:i w:val="0"/>
                <w:iCs w:val="0"/>
              </w:rPr>
            </w:pPr>
            <w:r w:rsidRPr="60FF436E" w:rsidR="60FF436E">
              <w:rPr>
                <w:i w:val="0"/>
                <w:iCs w:val="0"/>
              </w:rPr>
              <w:t>CTATATAAAAATAAAAAAGCATTTAAAAATGAAAAAATTTATATATATACAATATATAAATATATATATATATATATATATTATTATTATATGTATTTTTATAATTGAATGATATATTTATTTCTATTTGCAATTAAAATGCTTAC</w:t>
            </w:r>
          </w:p>
        </w:tc>
      </w:tr>
      <w:tr w:rsidR="60FF436E" w:rsidTr="60FF436E" w14:paraId="06265BA9">
        <w:tc>
          <w:tcPr>
            <w:tcW w:w="9360" w:type="dxa"/>
            <w:gridSpan w:val="2"/>
            <w:tcMar/>
          </w:tcPr>
          <w:p w:rsidR="60FF436E" w:rsidP="60FF436E" w:rsidRDefault="60FF436E" w14:paraId="73C8DBB1" w14:textId="071C6D27">
            <w:pPr>
              <w:pStyle w:val="Normal"/>
              <w:bidi w:val="0"/>
              <w:jc w:val="center"/>
              <w:rPr>
                <w:b w:val="1"/>
                <w:bCs w:val="1"/>
                <w:i w:val="0"/>
                <w:iCs w:val="0"/>
              </w:rPr>
            </w:pPr>
            <w:r w:rsidRPr="60FF436E" w:rsidR="60FF436E">
              <w:rPr>
                <w:b w:val="1"/>
                <w:bCs w:val="1"/>
                <w:i w:val="0"/>
                <w:iCs w:val="0"/>
              </w:rPr>
              <w:t>Repeat types:</w:t>
            </w:r>
          </w:p>
        </w:tc>
      </w:tr>
      <w:tr w:rsidR="60FF436E" w:rsidTr="60FF436E" w14:paraId="26A5B088">
        <w:tc>
          <w:tcPr>
            <w:tcW w:w="4680" w:type="dxa"/>
            <w:tcMar/>
          </w:tcPr>
          <w:p w:rsidR="60FF436E" w:rsidP="60FF436E" w:rsidRDefault="60FF436E" w14:paraId="079C9F95" w14:textId="46649BB6">
            <w:pPr>
              <w:pStyle w:val="Normal"/>
              <w:bidi w:val="0"/>
              <w:rPr>
                <w:i w:val="0"/>
                <w:iCs w:val="0"/>
              </w:rPr>
            </w:pPr>
            <w:r w:rsidRPr="60FF436E" w:rsidR="60FF436E">
              <w:rPr>
                <w:i w:val="0"/>
                <w:iCs w:val="0"/>
              </w:rPr>
              <w:t>1</w:t>
            </w:r>
          </w:p>
        </w:tc>
        <w:tc>
          <w:tcPr>
            <w:tcW w:w="4680" w:type="dxa"/>
            <w:tcMar/>
          </w:tcPr>
          <w:p w:rsidR="60FF436E" w:rsidP="60FF436E" w:rsidRDefault="60FF436E" w14:paraId="344F2A74" w14:textId="316267F6">
            <w:pPr>
              <w:pStyle w:val="Normal"/>
              <w:bidi w:val="0"/>
              <w:rPr>
                <w:i w:val="0"/>
                <w:iCs w:val="0"/>
              </w:rPr>
            </w:pPr>
            <w:r w:rsidRPr="60FF436E" w:rsidR="60FF436E">
              <w:rPr>
                <w:i w:val="0"/>
                <w:iCs w:val="0"/>
              </w:rPr>
              <w:t>GCCCATCATGCTCATCATGTAGCCGAT</w:t>
            </w:r>
          </w:p>
        </w:tc>
      </w:tr>
      <w:tr w:rsidR="60FF436E" w:rsidTr="60FF436E" w14:paraId="7E04A09F">
        <w:tc>
          <w:tcPr>
            <w:tcW w:w="4680" w:type="dxa"/>
            <w:tcMar/>
          </w:tcPr>
          <w:p w:rsidR="60FF436E" w:rsidP="60FF436E" w:rsidRDefault="60FF436E" w14:paraId="5A95B65A" w14:textId="14C3AB5D">
            <w:pPr>
              <w:pStyle w:val="Normal"/>
              <w:bidi w:val="0"/>
              <w:rPr>
                <w:i w:val="0"/>
                <w:iCs w:val="0"/>
              </w:rPr>
            </w:pPr>
            <w:r w:rsidRPr="60FF436E" w:rsidR="60FF436E">
              <w:rPr>
                <w:i w:val="0"/>
                <w:iCs w:val="0"/>
              </w:rPr>
              <w:t>2</w:t>
            </w:r>
          </w:p>
        </w:tc>
        <w:tc>
          <w:tcPr>
            <w:tcW w:w="4680" w:type="dxa"/>
            <w:tcMar/>
          </w:tcPr>
          <w:p w:rsidR="60FF436E" w:rsidP="60FF436E" w:rsidRDefault="60FF436E" w14:paraId="57C24CE8" w14:textId="7F742EB8">
            <w:pPr>
              <w:pStyle w:val="Normal"/>
              <w:bidi w:val="0"/>
              <w:rPr>
                <w:i w:val="0"/>
                <w:iCs w:val="0"/>
              </w:rPr>
            </w:pPr>
            <w:r w:rsidRPr="60FF436E" w:rsidR="60FF436E">
              <w:rPr>
                <w:i w:val="0"/>
                <w:iCs w:val="0"/>
              </w:rPr>
              <w:t>GCCCATCATGCTCATCATGCAGCCGAT</w:t>
            </w:r>
          </w:p>
        </w:tc>
      </w:tr>
      <w:tr w:rsidR="60FF436E" w:rsidTr="60FF436E" w14:paraId="12135663">
        <w:tc>
          <w:tcPr>
            <w:tcW w:w="4680" w:type="dxa"/>
            <w:tcMar/>
          </w:tcPr>
          <w:p w:rsidR="60FF436E" w:rsidP="60FF436E" w:rsidRDefault="60FF436E" w14:paraId="0EA50806" w14:textId="7EF725EF">
            <w:pPr>
              <w:pStyle w:val="Normal"/>
              <w:bidi w:val="0"/>
              <w:rPr>
                <w:i w:val="0"/>
                <w:iCs w:val="0"/>
              </w:rPr>
            </w:pPr>
            <w:r w:rsidRPr="60FF436E" w:rsidR="60FF436E">
              <w:rPr>
                <w:i w:val="0"/>
                <w:iCs w:val="0"/>
              </w:rPr>
              <w:t>3</w:t>
            </w:r>
          </w:p>
        </w:tc>
        <w:tc>
          <w:tcPr>
            <w:tcW w:w="4680" w:type="dxa"/>
            <w:tcMar/>
          </w:tcPr>
          <w:p w:rsidR="60FF436E" w:rsidP="60FF436E" w:rsidRDefault="60FF436E" w14:paraId="240F0F1C" w14:textId="292EE5DC">
            <w:pPr>
              <w:pStyle w:val="Normal"/>
              <w:bidi w:val="0"/>
              <w:rPr>
                <w:i w:val="0"/>
                <w:iCs w:val="0"/>
              </w:rPr>
            </w:pPr>
            <w:r w:rsidRPr="60FF436E" w:rsidR="60FF436E">
              <w:rPr>
                <w:i w:val="0"/>
                <w:iCs w:val="0"/>
              </w:rPr>
              <w:t>GCCCATCATGCTCATCATGCAGCCTAT</w:t>
            </w:r>
          </w:p>
        </w:tc>
      </w:tr>
      <w:tr w:rsidR="60FF436E" w:rsidTr="60FF436E" w14:paraId="6346E243">
        <w:tc>
          <w:tcPr>
            <w:tcW w:w="4680" w:type="dxa"/>
            <w:tcMar/>
          </w:tcPr>
          <w:p w:rsidR="60FF436E" w:rsidP="60FF436E" w:rsidRDefault="60FF436E" w14:paraId="129D92EE" w14:textId="5AFC2886">
            <w:pPr>
              <w:pStyle w:val="Normal"/>
              <w:bidi w:val="0"/>
              <w:rPr>
                <w:i w:val="0"/>
                <w:iCs w:val="0"/>
              </w:rPr>
            </w:pPr>
            <w:r w:rsidRPr="60FF436E" w:rsidR="60FF436E">
              <w:rPr>
                <w:i w:val="0"/>
                <w:iCs w:val="0"/>
              </w:rPr>
              <w:t>4</w:t>
            </w:r>
          </w:p>
        </w:tc>
        <w:tc>
          <w:tcPr>
            <w:tcW w:w="4680" w:type="dxa"/>
            <w:tcMar/>
          </w:tcPr>
          <w:p w:rsidR="60FF436E" w:rsidP="60FF436E" w:rsidRDefault="60FF436E" w14:paraId="4B3FB297" w14:textId="4C699CE3">
            <w:pPr>
              <w:pStyle w:val="Normal"/>
              <w:bidi w:val="0"/>
              <w:rPr>
                <w:i w:val="0"/>
                <w:iCs w:val="0"/>
              </w:rPr>
            </w:pPr>
            <w:r w:rsidRPr="60FF436E" w:rsidR="60FF436E">
              <w:rPr>
                <w:i w:val="0"/>
                <w:iCs w:val="0"/>
              </w:rPr>
              <w:t>GCCCATCAT</w:t>
            </w:r>
          </w:p>
        </w:tc>
      </w:tr>
      <w:tr w:rsidR="60FF436E" w:rsidTr="60FF436E" w14:paraId="2E54C5B0">
        <w:tc>
          <w:tcPr>
            <w:tcW w:w="4680" w:type="dxa"/>
            <w:tcMar/>
          </w:tcPr>
          <w:p w:rsidR="60FF436E" w:rsidP="60FF436E" w:rsidRDefault="60FF436E" w14:paraId="56AC7084" w14:textId="4C259FAD">
            <w:pPr>
              <w:pStyle w:val="Normal"/>
              <w:bidi w:val="0"/>
              <w:rPr>
                <w:i w:val="0"/>
                <w:iCs w:val="0"/>
              </w:rPr>
            </w:pPr>
            <w:r w:rsidRPr="60FF436E" w:rsidR="60FF436E">
              <w:rPr>
                <w:i w:val="0"/>
                <w:iCs w:val="0"/>
              </w:rPr>
              <w:t>5</w:t>
            </w:r>
          </w:p>
        </w:tc>
        <w:tc>
          <w:tcPr>
            <w:tcW w:w="4680" w:type="dxa"/>
            <w:tcMar/>
          </w:tcPr>
          <w:p w:rsidR="60FF436E" w:rsidP="60FF436E" w:rsidRDefault="60FF436E" w14:paraId="1E7B7571" w14:textId="2A4F5620">
            <w:pPr>
              <w:pStyle w:val="Normal"/>
              <w:bidi w:val="0"/>
              <w:rPr>
                <w:i w:val="0"/>
                <w:iCs w:val="0"/>
              </w:rPr>
            </w:pPr>
            <w:r w:rsidRPr="60FF436E" w:rsidR="60FF436E">
              <w:rPr>
                <w:i w:val="0"/>
                <w:iCs w:val="0"/>
              </w:rPr>
              <w:t>GCTCATCACGCTCATCATGCATCCGAT</w:t>
            </w:r>
          </w:p>
        </w:tc>
      </w:tr>
      <w:tr w:rsidR="60FF436E" w:rsidTr="60FF436E" w14:paraId="5FE005EC">
        <w:tc>
          <w:tcPr>
            <w:tcW w:w="4680" w:type="dxa"/>
            <w:tcMar/>
          </w:tcPr>
          <w:p w:rsidR="60FF436E" w:rsidP="60FF436E" w:rsidRDefault="60FF436E" w14:paraId="25114C03" w14:textId="59468FD5">
            <w:pPr>
              <w:pStyle w:val="Normal"/>
              <w:bidi w:val="0"/>
              <w:rPr>
                <w:i w:val="0"/>
                <w:iCs w:val="0"/>
              </w:rPr>
            </w:pPr>
            <w:r w:rsidRPr="60FF436E" w:rsidR="60FF436E">
              <w:rPr>
                <w:i w:val="0"/>
                <w:iCs w:val="0"/>
              </w:rPr>
              <w:t>6</w:t>
            </w:r>
          </w:p>
        </w:tc>
        <w:tc>
          <w:tcPr>
            <w:tcW w:w="4680" w:type="dxa"/>
            <w:tcMar/>
          </w:tcPr>
          <w:p w:rsidR="60FF436E" w:rsidP="60FF436E" w:rsidRDefault="60FF436E" w14:paraId="73529E7F" w14:textId="35EBBAD1">
            <w:pPr>
              <w:pStyle w:val="Normal"/>
              <w:bidi w:val="0"/>
              <w:rPr>
                <w:i w:val="0"/>
                <w:iCs w:val="0"/>
              </w:rPr>
            </w:pPr>
            <w:r w:rsidRPr="60FF436E" w:rsidR="60FF436E">
              <w:rPr>
                <w:i w:val="0"/>
                <w:iCs w:val="0"/>
              </w:rPr>
              <w:t>GCTCACCATGCAACCGAT</w:t>
            </w:r>
          </w:p>
        </w:tc>
      </w:tr>
      <w:tr w:rsidR="60FF436E" w:rsidTr="60FF436E" w14:paraId="281CBD91">
        <w:tc>
          <w:tcPr>
            <w:tcW w:w="4680" w:type="dxa"/>
            <w:tcMar/>
          </w:tcPr>
          <w:p w:rsidR="60FF436E" w:rsidP="60FF436E" w:rsidRDefault="60FF436E" w14:paraId="28054536" w14:textId="75BFEE8C">
            <w:pPr>
              <w:pStyle w:val="Normal"/>
              <w:bidi w:val="0"/>
              <w:rPr>
                <w:i w:val="0"/>
                <w:iCs w:val="0"/>
              </w:rPr>
            </w:pPr>
            <w:r w:rsidRPr="60FF436E" w:rsidR="60FF436E">
              <w:rPr>
                <w:i w:val="0"/>
                <w:iCs w:val="0"/>
              </w:rPr>
              <w:t>7</w:t>
            </w:r>
          </w:p>
        </w:tc>
        <w:tc>
          <w:tcPr>
            <w:tcW w:w="4680" w:type="dxa"/>
            <w:tcMar/>
          </w:tcPr>
          <w:p w:rsidR="60FF436E" w:rsidP="60FF436E" w:rsidRDefault="60FF436E" w14:paraId="50078381" w14:textId="32C69A23">
            <w:pPr>
              <w:pStyle w:val="Normal"/>
              <w:bidi w:val="0"/>
              <w:rPr>
                <w:i w:val="0"/>
                <w:iCs w:val="0"/>
              </w:rPr>
            </w:pPr>
            <w:r w:rsidRPr="60FF436E" w:rsidR="60FF436E">
              <w:rPr>
                <w:i w:val="0"/>
                <w:iCs w:val="0"/>
              </w:rPr>
              <w:t>GCTCATCATGCAGCTGAT</w:t>
            </w:r>
          </w:p>
        </w:tc>
      </w:tr>
      <w:tr w:rsidR="60FF436E" w:rsidTr="60FF436E" w14:paraId="3DAE8F95">
        <w:tc>
          <w:tcPr>
            <w:tcW w:w="4680" w:type="dxa"/>
            <w:tcMar/>
          </w:tcPr>
          <w:p w:rsidR="60FF436E" w:rsidP="60FF436E" w:rsidRDefault="60FF436E" w14:paraId="22CFDE0B" w14:textId="4A05CF4C">
            <w:pPr>
              <w:pStyle w:val="Normal"/>
              <w:bidi w:val="0"/>
              <w:rPr>
                <w:i w:val="0"/>
                <w:iCs w:val="0"/>
              </w:rPr>
            </w:pPr>
            <w:r w:rsidRPr="60FF436E" w:rsidR="60FF436E">
              <w:rPr>
                <w:i w:val="0"/>
                <w:iCs w:val="0"/>
              </w:rPr>
              <w:t>8</w:t>
            </w:r>
          </w:p>
        </w:tc>
        <w:tc>
          <w:tcPr>
            <w:tcW w:w="4680" w:type="dxa"/>
            <w:tcMar/>
          </w:tcPr>
          <w:p w:rsidR="60FF436E" w:rsidP="60FF436E" w:rsidRDefault="60FF436E" w14:paraId="58F36E0C" w14:textId="2A5885D7">
            <w:pPr>
              <w:pStyle w:val="Normal"/>
              <w:bidi w:val="0"/>
              <w:rPr>
                <w:i w:val="0"/>
                <w:iCs w:val="0"/>
              </w:rPr>
            </w:pPr>
            <w:r w:rsidRPr="60FF436E" w:rsidR="60FF436E">
              <w:rPr>
                <w:i w:val="0"/>
                <w:iCs w:val="0"/>
              </w:rPr>
              <w:t>GCTCACCATGCAGCTTAT</w:t>
            </w:r>
          </w:p>
        </w:tc>
      </w:tr>
      <w:tr w:rsidR="60FF436E" w:rsidTr="60FF436E" w14:paraId="4124E482">
        <w:tc>
          <w:tcPr>
            <w:tcW w:w="4680" w:type="dxa"/>
            <w:tcMar/>
          </w:tcPr>
          <w:p w:rsidR="60FF436E" w:rsidP="60FF436E" w:rsidRDefault="60FF436E" w14:paraId="4828EA40" w14:textId="4A9A841C">
            <w:pPr>
              <w:pStyle w:val="Normal"/>
              <w:bidi w:val="0"/>
              <w:rPr>
                <w:i w:val="0"/>
                <w:iCs w:val="0"/>
              </w:rPr>
            </w:pPr>
            <w:r w:rsidRPr="60FF436E" w:rsidR="60FF436E">
              <w:rPr>
                <w:i w:val="0"/>
                <w:iCs w:val="0"/>
              </w:rPr>
              <w:t>10</w:t>
            </w:r>
          </w:p>
        </w:tc>
        <w:tc>
          <w:tcPr>
            <w:tcW w:w="4680" w:type="dxa"/>
            <w:tcMar/>
          </w:tcPr>
          <w:p w:rsidR="60FF436E" w:rsidP="60FF436E" w:rsidRDefault="60FF436E" w14:paraId="79C8FA62" w14:textId="271B711B">
            <w:pPr>
              <w:pStyle w:val="Normal"/>
              <w:bidi w:val="0"/>
              <w:rPr>
                <w:i w:val="0"/>
                <w:iCs w:val="0"/>
              </w:rPr>
            </w:pPr>
            <w:r w:rsidRPr="60FF436E" w:rsidR="60FF436E">
              <w:rPr>
                <w:i w:val="0"/>
                <w:iCs w:val="0"/>
              </w:rPr>
              <w:t>GCTCATCATGCAGCCGCACACCATGCAACTGAT</w:t>
            </w:r>
          </w:p>
        </w:tc>
      </w:tr>
      <w:tr w:rsidR="60FF436E" w:rsidTr="60FF436E" w14:paraId="042E95C6">
        <w:tc>
          <w:tcPr>
            <w:tcW w:w="4680" w:type="dxa"/>
            <w:tcMar/>
          </w:tcPr>
          <w:p w:rsidR="60FF436E" w:rsidP="60FF436E" w:rsidRDefault="60FF436E" w14:paraId="0245F2D6" w14:textId="4033D01C">
            <w:pPr>
              <w:pStyle w:val="Normal"/>
              <w:bidi w:val="0"/>
              <w:rPr>
                <w:i w:val="0"/>
                <w:iCs w:val="0"/>
              </w:rPr>
            </w:pPr>
            <w:r w:rsidRPr="60FF436E" w:rsidR="60FF436E">
              <w:rPr>
                <w:i w:val="0"/>
                <w:iCs w:val="0"/>
              </w:rPr>
              <w:t>12</w:t>
            </w:r>
          </w:p>
        </w:tc>
        <w:tc>
          <w:tcPr>
            <w:tcW w:w="4680" w:type="dxa"/>
            <w:tcMar/>
          </w:tcPr>
          <w:p w:rsidR="60FF436E" w:rsidP="60FF436E" w:rsidRDefault="60FF436E" w14:paraId="0899D155" w14:textId="3FF80DCE">
            <w:pPr>
              <w:pStyle w:val="Normal"/>
              <w:bidi w:val="0"/>
              <w:rPr>
                <w:i w:val="0"/>
                <w:iCs w:val="0"/>
              </w:rPr>
            </w:pPr>
            <w:r w:rsidRPr="60FF436E" w:rsidR="60FF436E">
              <w:rPr>
                <w:i w:val="0"/>
                <w:iCs w:val="0"/>
              </w:rPr>
              <w:t>GCTCACCATGCAGCCGCACACCACGAAGCCGCCACACAT</w:t>
            </w:r>
          </w:p>
        </w:tc>
      </w:tr>
    </w:tbl>
    <w:p w:rsidR="6BB59477" w:rsidP="60FF436E" w:rsidRDefault="6BB59477" w14:paraId="3AC0F014" w14:textId="131B4386">
      <w:pPr>
        <w:bidi w:val="0"/>
        <w:spacing w:before="240" w:beforeAutospacing="off" w:after="0" w:afterAutospacing="off" w:line="259" w:lineRule="auto"/>
        <w:ind/>
      </w:pPr>
    </w:p>
    <w:p w:rsidR="6BB59477" w:rsidP="60FF436E" w:rsidRDefault="6BB59477" w14:paraId="3E2A2E9A" w14:textId="2209069F">
      <w:pPr>
        <w:bidi w:val="0"/>
        <w:spacing w:before="240" w:beforeAutospacing="off" w:after="0" w:afterAutospacing="off" w:line="259" w:lineRule="auto"/>
        <w:ind/>
      </w:pPr>
    </w:p>
    <w:p w:rsidR="6BB59477" w:rsidP="60FF436E" w:rsidRDefault="6BB59477" w14:paraId="1C6BF2B3" w14:textId="4358242F">
      <w:pPr>
        <w:pStyle w:val="Normal"/>
        <w:bidi w:val="0"/>
        <w:rPr>
          <w:i w:val="0"/>
          <w:iCs w:val="0"/>
        </w:rPr>
      </w:pPr>
      <w:r w:rsidRPr="4F3EBC0C" w:rsidR="6BB59477">
        <w:rPr>
          <w:i w:val="0"/>
          <w:iCs w:val="0"/>
        </w:rPr>
        <w:t xml:space="preserve">When opening a consensus sequence, we would navigate to the “Live Annotate and Predict” tab of the right-hand sidebar menu and check the “Annotate from...” box with the source as “Reference Features,” the folder in which our annotated reference sequence was saved. The repeat types in 3D7 do not include the full diversity of repeat types found in </w:t>
      </w:r>
      <w:r w:rsidRPr="4F3EBC0C" w:rsidR="6BB59477">
        <w:rPr>
          <w:i w:val="1"/>
          <w:iCs w:val="1"/>
        </w:rPr>
        <w:t xml:space="preserve">pfhrp2. </w:t>
      </w:r>
      <w:r w:rsidRPr="4F3EBC0C" w:rsidR="6BB59477">
        <w:rPr>
          <w:i w:val="0"/>
          <w:iCs w:val="0"/>
        </w:rPr>
        <w:t xml:space="preserve">These annotations assist the researcher in correctly identifying components of interest in </w:t>
      </w:r>
      <w:r w:rsidRPr="4F3EBC0C" w:rsidR="6BB59477">
        <w:rPr>
          <w:i w:val="1"/>
          <w:iCs w:val="1"/>
        </w:rPr>
        <w:t xml:space="preserve">pfhrp2 </w:t>
      </w:r>
      <w:r w:rsidRPr="4F3EBC0C" w:rsidR="6BB59477">
        <w:rPr>
          <w:i w:val="0"/>
          <w:iCs w:val="0"/>
        </w:rPr>
        <w:t xml:space="preserve">and correctly framing the sequences for amino acid translation (see Table 1). Exon 1 and exon 2 are in reverse orientation, and consensus sequences occasionally needed to be reversed. While exon 1 and the beginning of exon 2 are likely to be identical across </w:t>
      </w:r>
      <w:r w:rsidRPr="4F3EBC0C" w:rsidR="6BB59477">
        <w:rPr>
          <w:i w:val="1"/>
          <w:iCs w:val="1"/>
        </w:rPr>
        <w:t xml:space="preserve">pfhrp2 </w:t>
      </w:r>
      <w:r w:rsidRPr="4F3EBC0C" w:rsidR="6BB59477">
        <w:rPr>
          <w:i w:val="0"/>
          <w:iCs w:val="0"/>
        </w:rPr>
        <w:t xml:space="preserve">positive samples, the intron is likely to vary, and may not be annotated in consensus sequences. We deleted the intron from the consensus sequences to keep many in frame. We do not expect the intron to be well resolved due to a lengthy AT repeat, and the intron generally pushes exon 2, and therefore the repeat typing sequences, out of the correct translation frame. We inspected “N” and other ambiguous base calls by comparing the consensus sequence with the contig in the case of </w:t>
      </w:r>
      <w:r w:rsidRPr="4F3EBC0C" w:rsidR="6BB59477">
        <w:rPr>
          <w:i w:val="0"/>
          <w:iCs w:val="0"/>
        </w:rPr>
        <w:t>Geneious</w:t>
      </w:r>
      <w:r w:rsidRPr="4F3EBC0C" w:rsidR="6BB59477">
        <w:rPr>
          <w:i w:val="0"/>
          <w:iCs w:val="0"/>
        </w:rPr>
        <w:t xml:space="preserve"> assemblies. In the case of </w:t>
      </w:r>
      <w:r w:rsidRPr="4F3EBC0C" w:rsidR="6BB59477">
        <w:rPr>
          <w:i w:val="0"/>
          <w:iCs w:val="0"/>
        </w:rPr>
        <w:t>canu</w:t>
      </w:r>
      <w:r w:rsidRPr="4F3EBC0C" w:rsidR="6BB59477">
        <w:rPr>
          <w:i w:val="0"/>
          <w:iCs w:val="0"/>
        </w:rPr>
        <w:t xml:space="preserve"> assemblies, if there was an “N” included in the tig FASTA that pushed the sequence out of frame, we would experiment with deleting it to see if the sequence would revert to the correct translation frame. In both cases, if the frame could not be resolved, the contig was ignored. As we assessed multiple contigs per samples, we do not believe this practice excluded true diversity from our analyses.</w:t>
      </w:r>
    </w:p>
    <w:p w:rsidR="4F3EBC0C" w:rsidP="4F3EBC0C" w:rsidRDefault="4F3EBC0C" w14:paraId="4F0F5681" w14:textId="6A36AD71">
      <w:pPr>
        <w:pStyle w:val="Heading1"/>
        <w:bidi w:val="0"/>
        <w:spacing w:before="240" w:beforeAutospacing="off" w:after="0" w:afterAutospacing="off" w:line="259" w:lineRule="auto"/>
        <w:ind w:left="0" w:right="0"/>
        <w:jc w:val="left"/>
        <w:rPr>
          <w:rFonts w:ascii="Calibri Light" w:hAnsi="Calibri Light" w:eastAsia="ＭＳ ゴシック" w:cs="Times New Roman"/>
          <w:color w:val="2F5496" w:themeColor="accent1" w:themeTint="FF" w:themeShade="BF"/>
          <w:sz w:val="32"/>
          <w:szCs w:val="32"/>
        </w:rPr>
      </w:pPr>
      <w:r w:rsidRPr="4F3EBC0C" w:rsidR="4F3EBC0C">
        <w:rPr>
          <w:rFonts w:ascii="Calibri Light" w:hAnsi="Calibri Light" w:eastAsia="ＭＳ ゴシック" w:cs="Times New Roman"/>
          <w:color w:val="2F5496" w:themeColor="accent1" w:themeTint="FF" w:themeShade="BF"/>
          <w:sz w:val="32"/>
          <w:szCs w:val="32"/>
        </w:rPr>
        <w:t>Barcode scoring</w:t>
      </w:r>
    </w:p>
    <w:p w:rsidR="4F3EBC0C" w:rsidP="4F3EBC0C" w:rsidRDefault="4F3EBC0C" w14:paraId="52DBC839" w14:textId="2B823024">
      <w:pPr>
        <w:pStyle w:val="Normal"/>
        <w:bidi w:val="0"/>
        <w:rPr>
          <w:rFonts w:ascii="Calibri" w:hAnsi="Calibri" w:eastAsia="Calibri" w:cs="Calibri"/>
          <w:noProof w:val="0"/>
          <w:sz w:val="22"/>
          <w:szCs w:val="22"/>
          <w:lang w:val="en-US"/>
        </w:rPr>
      </w:pPr>
      <w:r w:rsidRPr="4F3EBC0C" w:rsidR="4F3EBC0C">
        <w:rPr>
          <w:rFonts w:ascii="Calibri" w:hAnsi="Calibri" w:eastAsia="Calibri" w:cs="Calibri"/>
          <w:noProof w:val="0"/>
          <w:sz w:val="22"/>
          <w:szCs w:val="22"/>
          <w:lang w:val="en-US"/>
        </w:rPr>
        <w:t>To mitigate differences in data yield between the pools, the number of reads assigned to each barcode was divided by the total number of true classified and total classified reads. True classified reads refer to those assigned to a barcode that was included in the sequencing pool. Total classified reads refer to all reads that were classified to any barcode, whether correctly or spuriously. We found the number of spuriously assigned reads to vary stochastically between sequencing runs. The product of these two normalized values was then used to calculate the overall barcode score (Supplementary Table 5).</w:t>
      </w:r>
    </w:p>
    <w:p w:rsidR="4F3EBC0C" w:rsidP="4F3EBC0C" w:rsidRDefault="4F3EBC0C" w14:paraId="0A4BC68C" w14:textId="0A69AAA3">
      <w:pPr>
        <w:pStyle w:val="Heading1"/>
        <w:bidi w:val="0"/>
        <w:spacing w:before="240" w:beforeAutospacing="off" w:after="0" w:afterAutospacing="off" w:line="259" w:lineRule="auto"/>
        <w:ind w:left="0" w:right="0"/>
        <w:jc w:val="left"/>
        <w:rPr>
          <w:rFonts w:ascii="Calibri Light" w:hAnsi="Calibri Light" w:eastAsia="ＭＳ ゴシック" w:cs="Times New Roman"/>
          <w:color w:val="2F5496" w:themeColor="accent1" w:themeTint="FF" w:themeShade="BF"/>
          <w:sz w:val="32"/>
          <w:szCs w:val="32"/>
        </w:rPr>
      </w:pPr>
      <w:r w:rsidRPr="4F3EBC0C" w:rsidR="4F3EBC0C">
        <w:rPr>
          <w:rFonts w:ascii="Calibri Light" w:hAnsi="Calibri Light" w:eastAsia="ＭＳ ゴシック" w:cs="Times New Roman"/>
          <w:color w:val="2F5496" w:themeColor="accent1" w:themeTint="FF" w:themeShade="BF"/>
          <w:sz w:val="32"/>
          <w:szCs w:val="32"/>
        </w:rPr>
        <w:t>Positivity thresholds</w:t>
      </w:r>
    </w:p>
    <w:p w:rsidR="4F3EBC0C" w:rsidP="4F3EBC0C" w:rsidRDefault="4F3EBC0C" w14:paraId="750CA0B8" w14:textId="57875A6F">
      <w:pPr>
        <w:pStyle w:val="Normal"/>
        <w:bidi w:val="0"/>
        <w:rPr>
          <w:rFonts w:ascii="Calibri" w:hAnsi="Calibri" w:eastAsia="Calibri" w:cs="Calibri"/>
          <w:noProof w:val="0"/>
          <w:sz w:val="22"/>
          <w:szCs w:val="22"/>
          <w:lang w:val="en-US"/>
        </w:rPr>
      </w:pPr>
      <w:r w:rsidRPr="4F3EBC0C" w:rsidR="4F3EBC0C">
        <w:rPr>
          <w:rFonts w:ascii="Calibri" w:hAnsi="Calibri" w:eastAsia="Calibri" w:cs="Calibri"/>
          <w:noProof w:val="0"/>
          <w:sz w:val="22"/>
          <w:szCs w:val="22"/>
          <w:lang w:val="en-US"/>
        </w:rPr>
        <w:t xml:space="preserve">In accordance with prior observations (Xu, et al., 2018), we observed a small amount of </w:t>
      </w:r>
      <w:proofErr w:type="gramStart"/>
      <w:r w:rsidRPr="4F3EBC0C" w:rsidR="4F3EBC0C">
        <w:rPr>
          <w:rFonts w:ascii="Calibri" w:hAnsi="Calibri" w:eastAsia="Calibri" w:cs="Calibri"/>
          <w:noProof w:val="0"/>
          <w:sz w:val="22"/>
          <w:szCs w:val="22"/>
          <w:lang w:val="en-US"/>
        </w:rPr>
        <w:t>cross-talk</w:t>
      </w:r>
      <w:proofErr w:type="gramEnd"/>
      <w:r w:rsidRPr="4F3EBC0C" w:rsidR="4F3EBC0C">
        <w:rPr>
          <w:rFonts w:ascii="Calibri" w:hAnsi="Calibri" w:eastAsia="Calibri" w:cs="Calibri"/>
          <w:noProof w:val="0"/>
          <w:sz w:val="22"/>
          <w:szCs w:val="22"/>
          <w:lang w:val="en-US"/>
        </w:rPr>
        <w:t xml:space="preserve"> between barcodes through the appearance of </w:t>
      </w:r>
      <w:r w:rsidRPr="4F3EBC0C" w:rsidR="4F3EBC0C">
        <w:rPr>
          <w:rFonts w:ascii="Calibri" w:hAnsi="Calibri" w:eastAsia="Calibri" w:cs="Calibri"/>
          <w:i w:val="1"/>
          <w:iCs w:val="1"/>
          <w:noProof w:val="0"/>
          <w:sz w:val="22"/>
          <w:szCs w:val="22"/>
          <w:lang w:val="en-US"/>
        </w:rPr>
        <w:t xml:space="preserve">pfhrp2 </w:t>
      </w:r>
      <w:r w:rsidRPr="4F3EBC0C" w:rsidR="4F3EBC0C">
        <w:rPr>
          <w:rFonts w:ascii="Calibri" w:hAnsi="Calibri" w:eastAsia="Calibri" w:cs="Calibri"/>
          <w:noProof w:val="0"/>
          <w:sz w:val="22"/>
          <w:szCs w:val="22"/>
          <w:lang w:val="en-US"/>
        </w:rPr>
        <w:t xml:space="preserve">sequences in negative controls. We do not consider this to be pre-barcoding cross-contamination due to the Dd2 negative controls remaining gel negative across all experiments. Additionally, the median coverage of </w:t>
      </w:r>
      <w:r w:rsidRPr="4F3EBC0C" w:rsidR="4F3EBC0C">
        <w:rPr>
          <w:rFonts w:ascii="Calibri" w:hAnsi="Calibri" w:eastAsia="Calibri" w:cs="Calibri"/>
          <w:i w:val="1"/>
          <w:iCs w:val="1"/>
          <w:noProof w:val="0"/>
          <w:sz w:val="22"/>
          <w:szCs w:val="22"/>
          <w:lang w:val="en-US"/>
        </w:rPr>
        <w:t xml:space="preserve">pfhrp2 </w:t>
      </w:r>
      <w:r w:rsidRPr="4F3EBC0C" w:rsidR="4F3EBC0C">
        <w:rPr>
          <w:rFonts w:ascii="Calibri" w:hAnsi="Calibri" w:eastAsia="Calibri" w:cs="Calibri"/>
          <w:noProof w:val="0"/>
          <w:sz w:val="22"/>
          <w:szCs w:val="22"/>
          <w:lang w:val="en-US"/>
        </w:rPr>
        <w:t xml:space="preserve">in Dd2 negative controls roughly scales with the total reads yielded by the sequencing run (Supplementary Figure 4, Supplementary Tables 3 and 6). We chose to mitigate this crosstalk by setting a putative positivity threshold for each sequencing run, based on the first octile between the median coverages of the negative and positive controls from the minimap2 alignment. This method was found to call all previously established </w:t>
      </w:r>
      <w:r w:rsidRPr="4F3EBC0C" w:rsidR="4F3EBC0C">
        <w:rPr>
          <w:rFonts w:ascii="Calibri" w:hAnsi="Calibri" w:eastAsia="Calibri" w:cs="Calibri"/>
          <w:i w:val="1"/>
          <w:iCs w:val="1"/>
          <w:noProof w:val="0"/>
          <w:sz w:val="22"/>
          <w:szCs w:val="22"/>
          <w:lang w:val="en-US"/>
        </w:rPr>
        <w:t xml:space="preserve">pfhrp2 </w:t>
      </w:r>
      <w:r w:rsidRPr="4F3EBC0C" w:rsidR="4F3EBC0C">
        <w:rPr>
          <w:rFonts w:ascii="Calibri" w:hAnsi="Calibri" w:eastAsia="Calibri" w:cs="Calibri"/>
          <w:noProof w:val="0"/>
          <w:sz w:val="22"/>
          <w:szCs w:val="22"/>
          <w:lang w:val="en-US"/>
        </w:rPr>
        <w:t xml:space="preserve">negative samples from the TES set as negative. The calculation and visualization of these thresholds were performed in a python (v. 3.8.5) </w:t>
      </w:r>
      <w:proofErr w:type="spellStart"/>
      <w:r w:rsidRPr="4F3EBC0C" w:rsidR="4F3EBC0C">
        <w:rPr>
          <w:rFonts w:ascii="Calibri" w:hAnsi="Calibri" w:eastAsia="Calibri" w:cs="Calibri"/>
          <w:noProof w:val="0"/>
          <w:sz w:val="22"/>
          <w:szCs w:val="22"/>
          <w:lang w:val="en-US"/>
        </w:rPr>
        <w:t>Jupyter</w:t>
      </w:r>
      <w:proofErr w:type="spellEnd"/>
      <w:r w:rsidRPr="4F3EBC0C" w:rsidR="4F3EBC0C">
        <w:rPr>
          <w:rFonts w:ascii="Calibri" w:hAnsi="Calibri" w:eastAsia="Calibri" w:cs="Calibri"/>
          <w:noProof w:val="0"/>
          <w:sz w:val="22"/>
          <w:szCs w:val="22"/>
          <w:lang w:val="en-US"/>
        </w:rPr>
        <w:t xml:space="preserve"> Notebook</w:t>
      </w:r>
      <w:r w:rsidRPr="4F3EBC0C" w:rsidR="4F3EBC0C">
        <w:rPr>
          <w:rFonts w:ascii="Calibri" w:hAnsi="Calibri" w:eastAsia="Calibri" w:cs="Calibri"/>
          <w:noProof w:val="0"/>
          <w:color w:val="2B579A"/>
          <w:sz w:val="22"/>
          <w:szCs w:val="22"/>
          <w:lang w:val="en-US"/>
        </w:rPr>
        <w:t xml:space="preserve"> </w:t>
      </w:r>
      <w:r w:rsidRPr="4F3EBC0C" w:rsidR="4F3EBC0C">
        <w:rPr>
          <w:rFonts w:ascii="Calibri" w:hAnsi="Calibri" w:eastAsia="Calibri" w:cs="Calibri"/>
          <w:noProof w:val="0"/>
          <w:color w:val="auto"/>
          <w:sz w:val="22"/>
          <w:szCs w:val="22"/>
          <w:lang w:val="en-US"/>
        </w:rPr>
        <w:t>(</w:t>
      </w:r>
      <w:proofErr w:type="spellStart"/>
      <w:r w:rsidRPr="4F3EBC0C" w:rsidR="4F3EBC0C">
        <w:rPr>
          <w:rFonts w:ascii="Calibri" w:hAnsi="Calibri" w:eastAsia="Calibri" w:cs="Calibri"/>
          <w:noProof w:val="0"/>
          <w:color w:val="auto"/>
          <w:sz w:val="22"/>
          <w:szCs w:val="22"/>
          <w:lang w:val="en-US"/>
        </w:rPr>
        <w:t>Kluyver</w:t>
      </w:r>
      <w:proofErr w:type="spellEnd"/>
      <w:r w:rsidRPr="4F3EBC0C" w:rsidR="4F3EBC0C">
        <w:rPr>
          <w:rFonts w:ascii="Calibri" w:hAnsi="Calibri" w:eastAsia="Calibri" w:cs="Calibri"/>
          <w:noProof w:val="0"/>
          <w:color w:val="auto"/>
          <w:sz w:val="22"/>
          <w:szCs w:val="22"/>
          <w:lang w:val="en-US"/>
        </w:rPr>
        <w:t xml:space="preserve">, et al., 2016). We emphasize that this positivity threshold requires a successful positive control and a negative control that is PCR negative. If these conditions are not fulfilled, a </w:t>
      </w:r>
      <w:r w:rsidRPr="4F3EBC0C" w:rsidR="4F3EBC0C">
        <w:rPr>
          <w:rFonts w:ascii="Calibri" w:hAnsi="Calibri" w:eastAsia="Calibri" w:cs="Calibri"/>
          <w:i w:val="1"/>
          <w:iCs w:val="1"/>
          <w:noProof w:val="0"/>
          <w:sz w:val="22"/>
          <w:szCs w:val="22"/>
          <w:lang w:val="en-US"/>
        </w:rPr>
        <w:t xml:space="preserve">pfhrp2 </w:t>
      </w:r>
      <w:r w:rsidRPr="4F3EBC0C" w:rsidR="4F3EBC0C">
        <w:rPr>
          <w:rFonts w:ascii="Calibri" w:hAnsi="Calibri" w:eastAsia="Calibri" w:cs="Calibri"/>
          <w:noProof w:val="0"/>
          <w:sz w:val="22"/>
          <w:szCs w:val="22"/>
          <w:lang w:val="en-US"/>
        </w:rPr>
        <w:t>signal in the negative control may indicate cross-contamination or laboratory error, and the threshold would be meaningless for establishing a boundary pertaining to crosstalk.</w:t>
      </w:r>
    </w:p>
    <w:p w:rsidR="6BB59477" w:rsidP="4F3EBC0C" w:rsidRDefault="6BB59477" w14:paraId="38319FCF" w14:textId="13F0A39F">
      <w:pPr>
        <w:pStyle w:val="Heading1"/>
        <w:bidi w:val="0"/>
        <w:spacing w:before="240" w:beforeAutospacing="off" w:after="0" w:afterAutospacing="off" w:line="259" w:lineRule="auto"/>
        <w:ind w:left="0" w:right="0"/>
        <w:jc w:val="left"/>
        <w:rPr>
          <w:rFonts w:ascii="Calibri Light" w:hAnsi="Calibri Light" w:eastAsia="ＭＳ ゴシック" w:cs="Times New Roman"/>
          <w:color w:val="2F5496" w:themeColor="accent1" w:themeTint="FF" w:themeShade="BF"/>
          <w:sz w:val="32"/>
          <w:szCs w:val="32"/>
        </w:rPr>
      </w:pPr>
      <w:r w:rsidRPr="4F3EBC0C" w:rsidR="6BB59477">
        <w:rPr>
          <w:rFonts w:ascii="Calibri Light" w:hAnsi="Calibri Light" w:eastAsia="ＭＳ ゴシック" w:cs="Times New Roman"/>
          <w:color w:val="2F5496" w:themeColor="accent1" w:themeTint="FF" w:themeShade="BF"/>
          <w:sz w:val="32"/>
          <w:szCs w:val="32"/>
        </w:rPr>
        <w:t>Figures</w:t>
      </w:r>
    </w:p>
    <w:p w:rsidR="60FF436E" w:rsidP="60FF436E" w:rsidRDefault="60FF436E" w14:paraId="62C51094" w14:textId="36586C55">
      <w:pPr>
        <w:pStyle w:val="Normal"/>
        <w:rPr>
          <w:b w:val="0"/>
          <w:bCs w:val="0"/>
        </w:rPr>
      </w:pPr>
      <w:r w:rsidR="60FF436E">
        <w:rPr>
          <w:b w:val="0"/>
          <w:bCs w:val="0"/>
        </w:rPr>
        <w:t>a.</w:t>
      </w:r>
    </w:p>
    <w:p w:rsidR="6BB59477" w:rsidP="6BB59477" w:rsidRDefault="6BB59477" w14:paraId="2D9815D8" w14:textId="135B6D6E">
      <w:pPr>
        <w:pStyle w:val="Normal"/>
      </w:pPr>
      <w:r w:rsidR="60FF436E">
        <w:drawing>
          <wp:inline wp14:editId="780FBF8B" wp14:anchorId="6AC2DABD">
            <wp:extent cx="4572000" cy="1400175"/>
            <wp:effectExtent l="0" t="0" r="0" b="0"/>
            <wp:docPr id="484747809" name="" title=""/>
            <wp:cNvGraphicFramePr>
              <a:graphicFrameLocks noChangeAspect="1"/>
            </wp:cNvGraphicFramePr>
            <a:graphic>
              <a:graphicData uri="http://schemas.openxmlformats.org/drawingml/2006/picture">
                <pic:pic>
                  <pic:nvPicPr>
                    <pic:cNvPr id="0" name=""/>
                    <pic:cNvPicPr/>
                  </pic:nvPicPr>
                  <pic:blipFill>
                    <a:blip r:embed="R6056615bab1248f7">
                      <a:extLst>
                        <a:ext xmlns:a="http://schemas.openxmlformats.org/drawingml/2006/main" uri="{28A0092B-C50C-407E-A947-70E740481C1C}">
                          <a14:useLocalDpi val="0"/>
                        </a:ext>
                      </a:extLst>
                    </a:blip>
                    <a:stretch>
                      <a:fillRect/>
                    </a:stretch>
                  </pic:blipFill>
                  <pic:spPr>
                    <a:xfrm>
                      <a:off x="0" y="0"/>
                      <a:ext cx="4572000" cy="1400175"/>
                    </a:xfrm>
                    <a:prstGeom prst="rect">
                      <a:avLst/>
                    </a:prstGeom>
                  </pic:spPr>
                </pic:pic>
              </a:graphicData>
            </a:graphic>
          </wp:inline>
        </w:drawing>
      </w:r>
    </w:p>
    <w:p w:rsidR="6BB59477" w:rsidP="6BB59477" w:rsidRDefault="6BB59477" w14:paraId="0579CB8F" w14:textId="34D6DA4D">
      <w:pPr>
        <w:pStyle w:val="Normal"/>
      </w:pPr>
      <w:r w:rsidR="60FF436E">
        <w:rPr/>
        <w:t>b.</w:t>
      </w:r>
    </w:p>
    <w:p w:rsidR="6BB59477" w:rsidP="6BB59477" w:rsidRDefault="6BB59477" w14:paraId="36847FB8" w14:textId="33EB2493">
      <w:pPr>
        <w:pStyle w:val="Normal"/>
      </w:pPr>
      <w:r w:rsidR="60FF436E">
        <w:drawing>
          <wp:inline wp14:editId="76D69C02" wp14:anchorId="4C3C7AEC">
            <wp:extent cx="4572000" cy="1314450"/>
            <wp:effectExtent l="0" t="0" r="0" b="0"/>
            <wp:docPr id="1870197529" name="" title=""/>
            <wp:cNvGraphicFramePr>
              <a:graphicFrameLocks noChangeAspect="1"/>
            </wp:cNvGraphicFramePr>
            <a:graphic>
              <a:graphicData uri="http://schemas.openxmlformats.org/drawingml/2006/picture">
                <pic:pic>
                  <pic:nvPicPr>
                    <pic:cNvPr id="0" name=""/>
                    <pic:cNvPicPr/>
                  </pic:nvPicPr>
                  <pic:blipFill>
                    <a:blip r:embed="R528235425fd04015">
                      <a:extLst>
                        <a:ext xmlns:a="http://schemas.openxmlformats.org/drawingml/2006/main" uri="{28A0092B-C50C-407E-A947-70E740481C1C}">
                          <a14:useLocalDpi val="0"/>
                        </a:ext>
                      </a:extLst>
                    </a:blip>
                    <a:stretch>
                      <a:fillRect/>
                    </a:stretch>
                  </pic:blipFill>
                  <pic:spPr>
                    <a:xfrm>
                      <a:off x="0" y="0"/>
                      <a:ext cx="4572000" cy="1314450"/>
                    </a:xfrm>
                    <a:prstGeom prst="rect">
                      <a:avLst/>
                    </a:prstGeom>
                  </pic:spPr>
                </pic:pic>
              </a:graphicData>
            </a:graphic>
          </wp:inline>
        </w:drawing>
      </w:r>
    </w:p>
    <w:p w:rsidR="60FF436E" w:rsidP="60FF436E" w:rsidRDefault="60FF436E" w14:paraId="1352E490" w14:textId="790EE479">
      <w:pPr>
        <w:pStyle w:val="Normal"/>
      </w:pPr>
      <w:r w:rsidR="60FF436E">
        <w:rPr/>
        <w:t>c.</w:t>
      </w:r>
    </w:p>
    <w:p w:rsidR="60FF436E" w:rsidP="60FF436E" w:rsidRDefault="60FF436E" w14:paraId="524479D1" w14:textId="73C0B71A">
      <w:pPr>
        <w:pStyle w:val="Normal"/>
      </w:pPr>
      <w:r w:rsidR="60FF436E">
        <w:drawing>
          <wp:inline wp14:editId="27701B86" wp14:anchorId="0F376ECF">
            <wp:extent cx="4572000" cy="2828925"/>
            <wp:effectExtent l="0" t="0" r="0" b="0"/>
            <wp:docPr id="852588144" name="" title=""/>
            <wp:cNvGraphicFramePr>
              <a:graphicFrameLocks noChangeAspect="1"/>
            </wp:cNvGraphicFramePr>
            <a:graphic>
              <a:graphicData uri="http://schemas.openxmlformats.org/drawingml/2006/picture">
                <pic:pic>
                  <pic:nvPicPr>
                    <pic:cNvPr id="0" name=""/>
                    <pic:cNvPicPr/>
                  </pic:nvPicPr>
                  <pic:blipFill>
                    <a:blip r:embed="R396868e438fb4581">
                      <a:extLst>
                        <a:ext xmlns:a="http://schemas.openxmlformats.org/drawingml/2006/main" uri="{28A0092B-C50C-407E-A947-70E740481C1C}">
                          <a14:useLocalDpi val="0"/>
                        </a:ext>
                      </a:extLst>
                    </a:blip>
                    <a:stretch>
                      <a:fillRect/>
                    </a:stretch>
                  </pic:blipFill>
                  <pic:spPr>
                    <a:xfrm>
                      <a:off x="0" y="0"/>
                      <a:ext cx="4572000" cy="2828925"/>
                    </a:xfrm>
                    <a:prstGeom prst="rect">
                      <a:avLst/>
                    </a:prstGeom>
                  </pic:spPr>
                </pic:pic>
              </a:graphicData>
            </a:graphic>
          </wp:inline>
        </w:drawing>
      </w:r>
    </w:p>
    <w:p w:rsidR="60FF436E" w:rsidP="60FF436E" w:rsidRDefault="60FF436E" w14:paraId="0A4DFA1A" w14:textId="5BB2C504">
      <w:pPr>
        <w:pStyle w:val="Normal"/>
      </w:pPr>
      <w:r w:rsidR="60FF436E">
        <w:rPr/>
        <w:t>d.</w:t>
      </w:r>
    </w:p>
    <w:p w:rsidR="60FF436E" w:rsidP="60FF436E" w:rsidRDefault="60FF436E" w14:paraId="117942A2" w14:textId="5A9FBF68">
      <w:pPr>
        <w:pStyle w:val="Normal"/>
      </w:pPr>
      <w:r w:rsidR="60FF436E">
        <w:drawing>
          <wp:inline wp14:editId="77221AD4" wp14:anchorId="2D603EF2">
            <wp:extent cx="4572000" cy="2743200"/>
            <wp:effectExtent l="0" t="0" r="0" b="0"/>
            <wp:docPr id="475928130" name="" title=""/>
            <wp:cNvGraphicFramePr>
              <a:graphicFrameLocks noChangeAspect="1"/>
            </wp:cNvGraphicFramePr>
            <a:graphic>
              <a:graphicData uri="http://schemas.openxmlformats.org/drawingml/2006/picture">
                <pic:pic>
                  <pic:nvPicPr>
                    <pic:cNvPr id="0" name=""/>
                    <pic:cNvPicPr/>
                  </pic:nvPicPr>
                  <pic:blipFill>
                    <a:blip r:embed="Rda2e329a31a545ac">
                      <a:extLst>
                        <a:ext xmlns:a="http://schemas.openxmlformats.org/drawingml/2006/main" uri="{28A0092B-C50C-407E-A947-70E740481C1C}">
                          <a14:useLocalDpi val="0"/>
                        </a:ext>
                      </a:extLst>
                    </a:blip>
                    <a:stretch>
                      <a:fillRect/>
                    </a:stretch>
                  </pic:blipFill>
                  <pic:spPr>
                    <a:xfrm>
                      <a:off x="0" y="0"/>
                      <a:ext cx="4572000" cy="2743200"/>
                    </a:xfrm>
                    <a:prstGeom prst="rect">
                      <a:avLst/>
                    </a:prstGeom>
                  </pic:spPr>
                </pic:pic>
              </a:graphicData>
            </a:graphic>
          </wp:inline>
        </w:drawing>
      </w:r>
    </w:p>
    <w:p w:rsidR="60FF436E" w:rsidP="60FF436E" w:rsidRDefault="60FF436E" w14:paraId="172724B5" w14:textId="5CA5D121">
      <w:pPr>
        <w:pStyle w:val="Normal"/>
        <w:rPr>
          <w:b w:val="0"/>
          <w:bCs w:val="0"/>
        </w:rPr>
      </w:pPr>
      <w:r w:rsidRPr="4F3EBC0C" w:rsidR="60FF436E">
        <w:rPr>
          <w:b w:val="1"/>
          <w:bCs w:val="1"/>
        </w:rPr>
        <w:t xml:space="preserve">Supplementary Figure 1. </w:t>
      </w:r>
      <w:r w:rsidR="60FF436E">
        <w:rPr>
          <w:b w:val="0"/>
          <w:bCs w:val="0"/>
        </w:rPr>
        <w:t xml:space="preserve">Using the ONT protocol yielded truncated or chimeric reads, and examples of this are visualized here as screenshots from </w:t>
      </w:r>
      <w:proofErr w:type="spellStart"/>
      <w:r w:rsidR="60FF436E">
        <w:rPr>
          <w:b w:val="0"/>
          <w:bCs w:val="0"/>
        </w:rPr>
        <w:t>Geneious</w:t>
      </w:r>
      <w:proofErr w:type="spellEnd"/>
      <w:r w:rsidR="60FF436E">
        <w:rPr>
          <w:b w:val="0"/>
          <w:bCs w:val="0"/>
        </w:rPr>
        <w:t>. When aligned to the PF3D7_0831800 sequence, the distribution of read coverage clustered outside of the target sequence or on the first half of the target sequence. A) Aligned sequencing reads from sequencing run FC1, barcode01. B) Aligned sequencing reads from sequencing run FC1, barcode02. C) Canu contig from FC1, barcode01 showing truncated assembly (see the jump from repeat type 1 to repeat type 12). D) Canu contig from FL2, barcode01 showing chimeric assembly (note the position and direction of the exon 1 annotations).</w:t>
      </w:r>
    </w:p>
    <w:p w:rsidR="60FF436E" w:rsidP="60FF436E" w:rsidRDefault="60FF436E" w14:paraId="2BACA237" w14:textId="59889323">
      <w:pPr>
        <w:pStyle w:val="Normal"/>
        <w:rPr>
          <w:b w:val="1"/>
          <w:bCs w:val="1"/>
          <w:i w:val="0"/>
          <w:iCs w:val="0"/>
        </w:rPr>
      </w:pPr>
      <w:r w:rsidR="60FF436E">
        <w:drawing>
          <wp:inline wp14:editId="5FA0C0B6" wp14:anchorId="369AB1EC">
            <wp:extent cx="2474952" cy="7029450"/>
            <wp:effectExtent l="0" t="0" r="0" b="0"/>
            <wp:docPr id="62575784" name="" title=""/>
            <wp:cNvGraphicFramePr>
              <a:graphicFrameLocks noChangeAspect="1"/>
            </wp:cNvGraphicFramePr>
            <a:graphic>
              <a:graphicData uri="http://schemas.openxmlformats.org/drawingml/2006/picture">
                <pic:pic>
                  <pic:nvPicPr>
                    <pic:cNvPr id="0" name=""/>
                    <pic:cNvPicPr/>
                  </pic:nvPicPr>
                  <pic:blipFill>
                    <a:blip r:embed="R1a7d01ba609c449b">
                      <a:extLst>
                        <a:ext xmlns:a="http://schemas.openxmlformats.org/drawingml/2006/main" uri="{28A0092B-C50C-407E-A947-70E740481C1C}">
                          <a14:useLocalDpi val="0"/>
                        </a:ext>
                      </a:extLst>
                    </a:blip>
                    <a:stretch>
                      <a:fillRect/>
                    </a:stretch>
                  </pic:blipFill>
                  <pic:spPr>
                    <a:xfrm>
                      <a:off x="0" y="0"/>
                      <a:ext cx="2474952" cy="7029450"/>
                    </a:xfrm>
                    <a:prstGeom prst="rect">
                      <a:avLst/>
                    </a:prstGeom>
                  </pic:spPr>
                </pic:pic>
              </a:graphicData>
            </a:graphic>
          </wp:inline>
        </w:drawing>
      </w:r>
    </w:p>
    <w:p w:rsidR="60FF436E" w:rsidP="4F3EBC0C" w:rsidRDefault="60FF436E" w14:paraId="5359C8C4" w14:textId="6F469378">
      <w:pPr>
        <w:pStyle w:val="Normal"/>
        <w:rPr>
          <w:b w:val="0"/>
          <w:bCs w:val="0"/>
          <w:i w:val="0"/>
          <w:iCs w:val="0"/>
        </w:rPr>
      </w:pPr>
      <w:r w:rsidRPr="4F3EBC0C" w:rsidR="60FF436E">
        <w:rPr>
          <w:b w:val="1"/>
          <w:bCs w:val="1"/>
          <w:i w:val="0"/>
          <w:iCs w:val="0"/>
        </w:rPr>
        <w:t xml:space="preserve">Supplementary Figure 2. </w:t>
      </w:r>
      <w:r w:rsidRPr="4F3EBC0C" w:rsidR="60FF436E">
        <w:rPr>
          <w:b w:val="0"/>
          <w:bCs w:val="0"/>
          <w:i w:val="0"/>
          <w:iCs w:val="0"/>
        </w:rPr>
        <w:t xml:space="preserve">Comparison of ONT and custom </w:t>
      </w:r>
      <w:r w:rsidRPr="4F3EBC0C" w:rsidR="60FF436E">
        <w:rPr>
          <w:b w:val="0"/>
          <w:bCs w:val="0"/>
          <w:i w:val="1"/>
          <w:iCs w:val="1"/>
        </w:rPr>
        <w:t xml:space="preserve">pfhrp2 </w:t>
      </w:r>
      <w:proofErr w:type="spellStart"/>
      <w:r w:rsidRPr="4F3EBC0C" w:rsidR="60FF436E">
        <w:rPr>
          <w:b w:val="0"/>
          <w:bCs w:val="0"/>
          <w:i w:val="0"/>
          <w:iCs w:val="0"/>
        </w:rPr>
        <w:t>MinION</w:t>
      </w:r>
      <w:proofErr w:type="spellEnd"/>
      <w:r w:rsidRPr="4F3EBC0C" w:rsidR="60FF436E">
        <w:rPr>
          <w:b w:val="0"/>
          <w:bCs w:val="0"/>
          <w:i w:val="0"/>
          <w:iCs w:val="0"/>
        </w:rPr>
        <w:t xml:space="preserve"> sequencing workflow.</w:t>
      </w:r>
    </w:p>
    <w:p w:rsidR="5440F8E3" w:rsidP="5440F8E3" w:rsidRDefault="5440F8E3" w14:paraId="42F77DCB" w14:textId="76D208A8">
      <w:pPr>
        <w:pStyle w:val="Normal"/>
      </w:pPr>
      <w:r w:rsidR="5440F8E3">
        <w:drawing>
          <wp:inline wp14:editId="3E584D8D" wp14:anchorId="12852B9E">
            <wp:extent cx="3495675" cy="3638550"/>
            <wp:effectExtent l="0" t="0" r="0" b="0"/>
            <wp:docPr id="468858526" name="" title=""/>
            <wp:cNvGraphicFramePr>
              <a:graphicFrameLocks noChangeAspect="1"/>
            </wp:cNvGraphicFramePr>
            <a:graphic>
              <a:graphicData uri="http://schemas.openxmlformats.org/drawingml/2006/picture">
                <pic:pic>
                  <pic:nvPicPr>
                    <pic:cNvPr id="0" name=""/>
                    <pic:cNvPicPr/>
                  </pic:nvPicPr>
                  <pic:blipFill>
                    <a:blip r:embed="R9b90a6dcd11349df">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a:xfrm rot="0" flipH="0" flipV="0">
                      <a:off x="0" y="0"/>
                      <a:ext cx="3495675" cy="3638550"/>
                    </a:xfrm>
                    <a:prstGeom prst="rect">
                      <a:avLst/>
                    </a:prstGeom>
                  </pic:spPr>
                </pic:pic>
              </a:graphicData>
            </a:graphic>
          </wp:inline>
        </w:drawing>
      </w:r>
    </w:p>
    <w:p w:rsidR="5440F8E3" w:rsidP="5440F8E3" w:rsidRDefault="5440F8E3" w14:paraId="031DC240" w14:textId="24D41EB4">
      <w:pPr>
        <w:pStyle w:val="Normal"/>
      </w:pPr>
      <w:r w:rsidR="5440F8E3">
        <w:drawing>
          <wp:inline wp14:editId="7D17D30D" wp14:anchorId="54423470">
            <wp:extent cx="3352800" cy="3505200"/>
            <wp:effectExtent l="0" t="0" r="0" b="0"/>
            <wp:docPr id="1909479497" name="" title=""/>
            <wp:cNvGraphicFramePr>
              <a:graphicFrameLocks noChangeAspect="1"/>
            </wp:cNvGraphicFramePr>
            <a:graphic>
              <a:graphicData uri="http://schemas.openxmlformats.org/drawingml/2006/picture">
                <pic:pic>
                  <pic:nvPicPr>
                    <pic:cNvPr id="0" name=""/>
                    <pic:cNvPicPr/>
                  </pic:nvPicPr>
                  <pic:blipFill>
                    <a:blip r:embed="R383471a280f24dbe">
                      <a:extLst>
                        <a:ext xmlns:a="http://schemas.openxmlformats.org/drawingml/2006/main" uri="{28A0092B-C50C-407E-A947-70E740481C1C}">
                          <a14:useLocalDpi val="0"/>
                        </a:ext>
                      </a:extLst>
                    </a:blip>
                    <a:stretch>
                      <a:fillRect/>
                    </a:stretch>
                  </pic:blipFill>
                  <pic:spPr>
                    <a:xfrm>
                      <a:off x="0" y="0"/>
                      <a:ext cx="3352800" cy="3505200"/>
                    </a:xfrm>
                    <a:prstGeom prst="rect">
                      <a:avLst/>
                    </a:prstGeom>
                  </pic:spPr>
                </pic:pic>
              </a:graphicData>
            </a:graphic>
          </wp:inline>
        </w:drawing>
      </w:r>
    </w:p>
    <w:p w:rsidR="60FF436E" w:rsidP="4F3EBC0C" w:rsidRDefault="60FF436E" w14:paraId="4341169D" w14:textId="459ACB54">
      <w:pPr>
        <w:pStyle w:val="Normal"/>
        <w:rPr>
          <w:b w:val="0"/>
          <w:bCs w:val="0"/>
          <w:i w:val="0"/>
          <w:iCs w:val="0"/>
        </w:rPr>
      </w:pPr>
      <w:r w:rsidRPr="4F3EBC0C" w:rsidR="60FF436E">
        <w:rPr>
          <w:b w:val="1"/>
          <w:bCs w:val="1"/>
          <w:i w:val="0"/>
          <w:iCs w:val="0"/>
        </w:rPr>
        <w:t xml:space="preserve">Supplementary Figure 3. </w:t>
      </w:r>
      <w:r w:rsidRPr="4F3EBC0C" w:rsidR="60FF436E">
        <w:rPr>
          <w:b w:val="0"/>
          <w:bCs w:val="0"/>
          <w:i w:val="0"/>
          <w:iCs w:val="0"/>
        </w:rPr>
        <w:t xml:space="preserve">Comparison of barcode distribution between </w:t>
      </w:r>
      <w:r w:rsidRPr="4F3EBC0C" w:rsidR="60FF436E">
        <w:rPr>
          <w:b w:val="0"/>
          <w:bCs w:val="0"/>
          <w:i w:val="1"/>
          <w:iCs w:val="1"/>
        </w:rPr>
        <w:t xml:space="preserve">k13 </w:t>
      </w:r>
      <w:r w:rsidRPr="4F3EBC0C" w:rsidR="60FF436E">
        <w:rPr>
          <w:b w:val="0"/>
          <w:bCs w:val="0"/>
          <w:i w:val="0"/>
          <w:iCs w:val="0"/>
        </w:rPr>
        <w:t xml:space="preserve">and </w:t>
      </w:r>
      <w:r w:rsidRPr="4F3EBC0C" w:rsidR="60FF436E">
        <w:rPr>
          <w:b w:val="0"/>
          <w:bCs w:val="0"/>
          <w:i w:val="1"/>
          <w:iCs w:val="1"/>
        </w:rPr>
        <w:t xml:space="preserve">pfhrp2 </w:t>
      </w:r>
      <w:r w:rsidRPr="4F3EBC0C" w:rsidR="60FF436E">
        <w:rPr>
          <w:b w:val="0"/>
          <w:bCs w:val="0"/>
          <w:i w:val="0"/>
          <w:iCs w:val="0"/>
        </w:rPr>
        <w:t>experiments. Sequencing runs “FC3_k13” and “FC1_hrp2” were performed on normalized replicates of control strain 7G8.</w:t>
      </w:r>
    </w:p>
    <w:p w:rsidR="2B65E5A3" w:rsidP="2B65E5A3" w:rsidRDefault="2B65E5A3" w14:paraId="106215E5" w14:textId="1B4C990C">
      <w:pPr>
        <w:pStyle w:val="Normal"/>
      </w:pPr>
    </w:p>
    <w:p w:rsidR="2B65E5A3" w:rsidP="2B65E5A3" w:rsidRDefault="2B65E5A3" w14:paraId="4D1EEBBC" w14:textId="72659319">
      <w:pPr>
        <w:pStyle w:val="Normal"/>
      </w:pPr>
      <w:r w:rsidR="60FF436E">
        <w:drawing>
          <wp:inline wp14:editId="45539554" wp14:anchorId="25AC7E4C">
            <wp:extent cx="3352800" cy="3352800"/>
            <wp:effectExtent l="0" t="0" r="0" b="0"/>
            <wp:docPr id="1446081733" name="" title=""/>
            <wp:cNvGraphicFramePr>
              <a:graphicFrameLocks noChangeAspect="1"/>
            </wp:cNvGraphicFramePr>
            <a:graphic>
              <a:graphicData uri="http://schemas.openxmlformats.org/drawingml/2006/picture">
                <pic:pic>
                  <pic:nvPicPr>
                    <pic:cNvPr id="0" name=""/>
                    <pic:cNvPicPr/>
                  </pic:nvPicPr>
                  <pic:blipFill>
                    <a:blip r:embed="R6976eaf014e94322">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xmlns:pic="http://schemas.openxmlformats.org/drawingml/2006/picture">
                    <a:xfrm xmlns:a="http://schemas.openxmlformats.org/drawingml/2006/main" rot="0" flipH="0" flipV="0">
                      <a:off x="0" y="0"/>
                      <a:ext cx="3352800" cy="3352800"/>
                    </a:xfrm>
                    <a:prstGeom xmlns:a="http://schemas.openxmlformats.org/drawingml/2006/main" prst="rect">
                      <a:avLst/>
                    </a:prstGeom>
                  </pic:spPr>
                </pic:pic>
              </a:graphicData>
            </a:graphic>
          </wp:inline>
        </w:drawing>
      </w:r>
    </w:p>
    <w:p w:rsidR="2B65E5A3" w:rsidP="4F3EBC0C" w:rsidRDefault="2B65E5A3" w14:paraId="78160355" w14:textId="19F217CC">
      <w:pPr>
        <w:pStyle w:val="Normal"/>
        <w:rPr>
          <w:b w:val="0"/>
          <w:bCs w:val="0"/>
          <w:i w:val="0"/>
          <w:iCs w:val="0"/>
        </w:rPr>
      </w:pPr>
      <w:r w:rsidRPr="4F3EBC0C" w:rsidR="60FF436E">
        <w:rPr>
          <w:b w:val="1"/>
          <w:bCs w:val="1"/>
        </w:rPr>
        <w:t xml:space="preserve">Supplementary Figure 4. </w:t>
      </w:r>
      <w:r w:rsidR="60FF436E">
        <w:rPr>
          <w:b w:val="0"/>
          <w:bCs w:val="0"/>
        </w:rPr>
        <w:t xml:space="preserve">There is a moderate relationship between the median coverage on </w:t>
      </w:r>
      <w:r w:rsidRPr="4F3EBC0C" w:rsidR="60FF436E">
        <w:rPr>
          <w:b w:val="0"/>
          <w:bCs w:val="0"/>
          <w:i w:val="1"/>
          <w:iCs w:val="1"/>
        </w:rPr>
        <w:t xml:space="preserve">pfhrp2 </w:t>
      </w:r>
      <w:r w:rsidRPr="4F3EBC0C" w:rsidR="60FF436E">
        <w:rPr>
          <w:b w:val="0"/>
          <w:bCs w:val="0"/>
          <w:i w:val="0"/>
          <w:iCs w:val="0"/>
        </w:rPr>
        <w:t>from Dd2 negative controls (one per field sample evaluation sequencing run) and overall yield of passing reads in the sequencing runs. There is one outlier from run “FC7_valdom,” where the median coverage of the Dd2 negative control reached 237x. This was still the lowest median coverage for all samples in the sequencing run.</w:t>
      </w:r>
    </w:p>
    <w:p w:rsidR="2B65E5A3" w:rsidP="2B65E5A3" w:rsidRDefault="2B65E5A3" w14:paraId="67A60F87" w14:textId="3C7F204A">
      <w:pPr>
        <w:pStyle w:val="Normal"/>
      </w:pPr>
    </w:p>
    <w:p w:rsidR="2B65E5A3" w:rsidP="4F3EBC0C" w:rsidRDefault="2B65E5A3" w14:paraId="53B1C971" w14:textId="4552689F">
      <w:pPr>
        <w:pStyle w:val="Normal"/>
        <w:rPr>
          <w:b w:val="1"/>
          <w:bCs w:val="1"/>
          <w:i w:val="0"/>
          <w:iCs w:val="0"/>
        </w:rPr>
      </w:pPr>
    </w:p>
    <w:p w:rsidR="60FF436E" w:rsidP="4F3EBC0C" w:rsidRDefault="60FF436E" w14:paraId="51345E25" w14:textId="19740641">
      <w:pPr>
        <w:pStyle w:val="Normal"/>
        <w:rPr>
          <w:b w:val="0"/>
          <w:bCs w:val="0"/>
          <w:i w:val="0"/>
          <w:iCs w:val="0"/>
        </w:rPr>
      </w:pPr>
      <w:r w:rsidRPr="4F3EBC0C" w:rsidR="60FF436E">
        <w:rPr>
          <w:b w:val="1"/>
          <w:bCs w:val="1"/>
          <w:i w:val="0"/>
          <w:iCs w:val="0"/>
        </w:rPr>
        <w:t xml:space="preserve">Supplementary Figure 5. </w:t>
      </w:r>
      <w:r w:rsidRPr="4F3EBC0C" w:rsidR="60FF436E">
        <w:rPr>
          <w:b w:val="0"/>
          <w:bCs w:val="0"/>
          <w:i w:val="0"/>
          <w:iCs w:val="0"/>
        </w:rPr>
        <w:t>Positivity threshold plots for the PacBio sample set and the remaining field samples not included in the TES sample set. For positivity thresholds for the TES sample set sequencing runs, see Figure 3.</w:t>
      </w:r>
    </w:p>
    <w:p w:rsidR="4F3EBC0C" w:rsidP="4F3EBC0C" w:rsidRDefault="4F3EBC0C" w14:paraId="33223CF2" w14:textId="5A2260A0">
      <w:pPr>
        <w:pStyle w:val="Normal"/>
        <w:rPr>
          <w:b w:val="0"/>
          <w:bCs w:val="0"/>
          <w:i w:val="0"/>
          <w:iCs w:val="0"/>
        </w:rPr>
      </w:pPr>
      <w:r w:rsidR="4F3EBC0C">
        <w:drawing>
          <wp:inline wp14:editId="2AA8CC29" wp14:anchorId="2C2F4185">
            <wp:extent cx="4572000" cy="3086100"/>
            <wp:effectExtent l="0" t="0" r="0" b="0"/>
            <wp:docPr id="309999517" name="" title=""/>
            <wp:cNvGraphicFramePr>
              <a:graphicFrameLocks noChangeAspect="1"/>
            </wp:cNvGraphicFramePr>
            <a:graphic>
              <a:graphicData uri="http://schemas.openxmlformats.org/drawingml/2006/picture">
                <pic:pic>
                  <pic:nvPicPr>
                    <pic:cNvPr id="0" name=""/>
                    <pic:cNvPicPr/>
                  </pic:nvPicPr>
                  <pic:blipFill>
                    <a:blip r:embed="Rb9dc318004a04209">
                      <a:extLst>
                        <a:ext xmlns:a="http://schemas.openxmlformats.org/drawingml/2006/main" uri="{28A0092B-C50C-407E-A947-70E740481C1C}">
                          <a14:useLocalDpi val="0"/>
                        </a:ext>
                      </a:extLst>
                    </a:blip>
                    <a:stretch>
                      <a:fillRect/>
                    </a:stretch>
                  </pic:blipFill>
                  <pic:spPr>
                    <a:xfrm>
                      <a:off x="0" y="0"/>
                      <a:ext cx="4572000" cy="3086100"/>
                    </a:xfrm>
                    <a:prstGeom prst="rect">
                      <a:avLst/>
                    </a:prstGeom>
                  </pic:spPr>
                </pic:pic>
              </a:graphicData>
            </a:graphic>
          </wp:inline>
        </w:drawing>
      </w:r>
    </w:p>
    <w:p w:rsidR="6BB59477" w:rsidP="4F3EBC0C" w:rsidRDefault="6BB59477" w14:paraId="504AEB89" w14:textId="4FD77FA0">
      <w:pPr>
        <w:pStyle w:val="Normal"/>
      </w:pPr>
      <w:r w:rsidRPr="4F3EBC0C" w:rsidR="6BB59477">
        <w:rPr>
          <w:b w:val="1"/>
          <w:bCs w:val="1"/>
        </w:rPr>
        <w:t xml:space="preserve">Supplementary Figure 6. </w:t>
      </w:r>
      <w:r w:rsidR="6BB59477">
        <w:rPr>
          <w:b w:val="0"/>
          <w:bCs w:val="0"/>
        </w:rPr>
        <w:t xml:space="preserve">Cumulative output reads from </w:t>
      </w:r>
      <w:proofErr w:type="spellStart"/>
      <w:r w:rsidR="6BB59477">
        <w:rPr>
          <w:b w:val="0"/>
          <w:bCs w:val="0"/>
        </w:rPr>
        <w:t>MinION</w:t>
      </w:r>
      <w:proofErr w:type="spellEnd"/>
      <w:r w:rsidR="6BB59477">
        <w:rPr>
          <w:b w:val="0"/>
          <w:bCs w:val="0"/>
        </w:rPr>
        <w:t xml:space="preserve"> sequencing report. </w:t>
      </w:r>
      <w:r w:rsidR="6BB59477">
        <w:rPr/>
        <w:t xml:space="preserve">When we ran a sequencing run (see FL1_TES in Supplementary Table 3) for 24 hours on a </w:t>
      </w:r>
      <w:proofErr w:type="spellStart"/>
      <w:r w:rsidR="6BB59477">
        <w:rPr/>
        <w:t>Flongle</w:t>
      </w:r>
      <w:proofErr w:type="spellEnd"/>
      <w:r w:rsidR="6BB59477">
        <w:rPr/>
        <w:t xml:space="preserve"> flow cell, we witnessed a plateau in data generation occur at approximately 12 hours.</w:t>
      </w:r>
    </w:p>
    <w:p w:rsidR="4F3EBC0C" w:rsidP="4F3EBC0C" w:rsidRDefault="4F3EBC0C" w14:paraId="4F86E40D" w14:textId="34D34E25">
      <w:pPr>
        <w:pStyle w:val="Normal"/>
        <w:rPr>
          <w:b w:val="0"/>
          <w:bCs w:val="0"/>
          <w:i w:val="0"/>
          <w:iCs w:val="0"/>
        </w:rPr>
      </w:pPr>
    </w:p>
    <w:sectPr w:rsidR="00445DB9">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32F105D"/>
    <w:rsid w:val="0006BF2B"/>
    <w:rsid w:val="0006BF2B"/>
    <w:rsid w:val="00445DB9"/>
    <w:rsid w:val="0131CA91"/>
    <w:rsid w:val="025B98A9"/>
    <w:rsid w:val="025B98A9"/>
    <w:rsid w:val="0303D4B2"/>
    <w:rsid w:val="0315945C"/>
    <w:rsid w:val="036D4103"/>
    <w:rsid w:val="03CD0D33"/>
    <w:rsid w:val="04721EE7"/>
    <w:rsid w:val="04721EE7"/>
    <w:rsid w:val="051EA676"/>
    <w:rsid w:val="0568DD94"/>
    <w:rsid w:val="058ED47F"/>
    <w:rsid w:val="06340CC1"/>
    <w:rsid w:val="06B1CED1"/>
    <w:rsid w:val="0704ADF5"/>
    <w:rsid w:val="0704ADF5"/>
    <w:rsid w:val="07F2A80F"/>
    <w:rsid w:val="082B5E9A"/>
    <w:rsid w:val="087CCF20"/>
    <w:rsid w:val="087CCF20"/>
    <w:rsid w:val="0923B419"/>
    <w:rsid w:val="0950794A"/>
    <w:rsid w:val="09B6B6F7"/>
    <w:rsid w:val="0A95806D"/>
    <w:rsid w:val="0AD0457A"/>
    <w:rsid w:val="0C6C15DB"/>
    <w:rsid w:val="0C6C15DB"/>
    <w:rsid w:val="0CA0454F"/>
    <w:rsid w:val="0E8DA957"/>
    <w:rsid w:val="0F53E1E8"/>
    <w:rsid w:val="0F53E1E8"/>
    <w:rsid w:val="102979B8"/>
    <w:rsid w:val="1087E105"/>
    <w:rsid w:val="108AE9FB"/>
    <w:rsid w:val="10CBA904"/>
    <w:rsid w:val="11E93056"/>
    <w:rsid w:val="12A47C6C"/>
    <w:rsid w:val="1411156E"/>
    <w:rsid w:val="1443A5D1"/>
    <w:rsid w:val="1683F7CB"/>
    <w:rsid w:val="16EF10EC"/>
    <w:rsid w:val="16F72289"/>
    <w:rsid w:val="1721C22B"/>
    <w:rsid w:val="181FC82C"/>
    <w:rsid w:val="18BD928C"/>
    <w:rsid w:val="19555048"/>
    <w:rsid w:val="19C26475"/>
    <w:rsid w:val="19EF1306"/>
    <w:rsid w:val="1A07BDAD"/>
    <w:rsid w:val="1ACD40E7"/>
    <w:rsid w:val="1B8AE367"/>
    <w:rsid w:val="1B8AE367"/>
    <w:rsid w:val="1C1C2753"/>
    <w:rsid w:val="1C9B421C"/>
    <w:rsid w:val="1EA5BA41"/>
    <w:rsid w:val="1F8B5E7E"/>
    <w:rsid w:val="1F8B5E7E"/>
    <w:rsid w:val="1FF5F761"/>
    <w:rsid w:val="1FF90057"/>
    <w:rsid w:val="1FF90057"/>
    <w:rsid w:val="20C8A471"/>
    <w:rsid w:val="20C8A471"/>
    <w:rsid w:val="216EB33F"/>
    <w:rsid w:val="21B44DFD"/>
    <w:rsid w:val="22BA6D65"/>
    <w:rsid w:val="22BA6D65"/>
    <w:rsid w:val="248E18F5"/>
    <w:rsid w:val="28D7911C"/>
    <w:rsid w:val="28D7911C"/>
    <w:rsid w:val="2978FE1B"/>
    <w:rsid w:val="29EB828E"/>
    <w:rsid w:val="2A047C50"/>
    <w:rsid w:val="2A0D2456"/>
    <w:rsid w:val="2A0D2456"/>
    <w:rsid w:val="2B65E5A3"/>
    <w:rsid w:val="2BF32BD5"/>
    <w:rsid w:val="2D6BD283"/>
    <w:rsid w:val="2DEAC397"/>
    <w:rsid w:val="2DEAC397"/>
    <w:rsid w:val="30DCC99B"/>
    <w:rsid w:val="30E951BA"/>
    <w:rsid w:val="30E951BA"/>
    <w:rsid w:val="327899FC"/>
    <w:rsid w:val="33B0B0D3"/>
    <w:rsid w:val="33B0B0D3"/>
    <w:rsid w:val="33ECF0EE"/>
    <w:rsid w:val="3608394E"/>
    <w:rsid w:val="3A90A0FD"/>
    <w:rsid w:val="3B0E630D"/>
    <w:rsid w:val="3DFA22D6"/>
    <w:rsid w:val="3DFA22D6"/>
    <w:rsid w:val="3E3B8DF0"/>
    <w:rsid w:val="3E3B8DF0"/>
    <w:rsid w:val="3F47E0CD"/>
    <w:rsid w:val="3FB29CD1"/>
    <w:rsid w:val="3FB29CD1"/>
    <w:rsid w:val="3FB701BD"/>
    <w:rsid w:val="4078D562"/>
    <w:rsid w:val="40E6BA24"/>
    <w:rsid w:val="4298A9EC"/>
    <w:rsid w:val="4298A9EC"/>
    <w:rsid w:val="42DE0BFD"/>
    <w:rsid w:val="43734482"/>
    <w:rsid w:val="43A74F16"/>
    <w:rsid w:val="43F77664"/>
    <w:rsid w:val="471EC33E"/>
    <w:rsid w:val="4752F2B2"/>
    <w:rsid w:val="4752F2B2"/>
    <w:rsid w:val="47BDFD32"/>
    <w:rsid w:val="4849BE9B"/>
    <w:rsid w:val="48CAE787"/>
    <w:rsid w:val="4A3D3BA3"/>
    <w:rsid w:val="4A3D3BA3"/>
    <w:rsid w:val="4B140680"/>
    <w:rsid w:val="4B2FDB39"/>
    <w:rsid w:val="4BC40174"/>
    <w:rsid w:val="4C9BDDB9"/>
    <w:rsid w:val="4F3EBC0C"/>
    <w:rsid w:val="502EB307"/>
    <w:rsid w:val="5206C048"/>
    <w:rsid w:val="52A09BD5"/>
    <w:rsid w:val="52A09BD5"/>
    <w:rsid w:val="5306367C"/>
    <w:rsid w:val="5440F8E3"/>
    <w:rsid w:val="548775AA"/>
    <w:rsid w:val="559B8DD4"/>
    <w:rsid w:val="5630C8B7"/>
    <w:rsid w:val="56A86634"/>
    <w:rsid w:val="5838FDE3"/>
    <w:rsid w:val="586984F5"/>
    <w:rsid w:val="586984F5"/>
    <w:rsid w:val="5A68F47F"/>
    <w:rsid w:val="5AC95840"/>
    <w:rsid w:val="5C2E55BE"/>
    <w:rsid w:val="5CD4C83A"/>
    <w:rsid w:val="5FCB9127"/>
    <w:rsid w:val="5FD99228"/>
    <w:rsid w:val="5FE72067"/>
    <w:rsid w:val="5FE72067"/>
    <w:rsid w:val="60ECB9C6"/>
    <w:rsid w:val="60FF436E"/>
    <w:rsid w:val="6137D2BB"/>
    <w:rsid w:val="6137D2BB"/>
    <w:rsid w:val="61676188"/>
    <w:rsid w:val="61D26815"/>
    <w:rsid w:val="632C68B5"/>
    <w:rsid w:val="63F27297"/>
    <w:rsid w:val="65A0C63E"/>
    <w:rsid w:val="65A0C63E"/>
    <w:rsid w:val="665BA21A"/>
    <w:rsid w:val="665C5B05"/>
    <w:rsid w:val="6670ACAA"/>
    <w:rsid w:val="66744CC1"/>
    <w:rsid w:val="66BC05DB"/>
    <w:rsid w:val="66BC05DB"/>
    <w:rsid w:val="67290EFB"/>
    <w:rsid w:val="673C969F"/>
    <w:rsid w:val="69CC2D2E"/>
    <w:rsid w:val="69CC2D2E"/>
    <w:rsid w:val="6B0A8EA0"/>
    <w:rsid w:val="6B996324"/>
    <w:rsid w:val="6BB59477"/>
    <w:rsid w:val="6C1007C2"/>
    <w:rsid w:val="6C1007C2"/>
    <w:rsid w:val="6D8E52A7"/>
    <w:rsid w:val="6DBEA691"/>
    <w:rsid w:val="6E770185"/>
    <w:rsid w:val="6F1767DE"/>
    <w:rsid w:val="71407E71"/>
    <w:rsid w:val="7158A9B4"/>
    <w:rsid w:val="71C552D8"/>
    <w:rsid w:val="723E8F66"/>
    <w:rsid w:val="723E8F66"/>
    <w:rsid w:val="72A72244"/>
    <w:rsid w:val="732F105D"/>
    <w:rsid w:val="7401F14A"/>
    <w:rsid w:val="740C464D"/>
    <w:rsid w:val="751C69DE"/>
    <w:rsid w:val="76710B64"/>
    <w:rsid w:val="76710B64"/>
    <w:rsid w:val="7677D05C"/>
    <w:rsid w:val="7677D05C"/>
    <w:rsid w:val="768EBDFA"/>
    <w:rsid w:val="77C7EB38"/>
    <w:rsid w:val="79EC7425"/>
    <w:rsid w:val="79EFDB01"/>
    <w:rsid w:val="79EFDB01"/>
    <w:rsid w:val="7A13B68D"/>
    <w:rsid w:val="7BE7F238"/>
    <w:rsid w:val="7CCFCC91"/>
    <w:rsid w:val="7CCFCC91"/>
    <w:rsid w:val="7D83C299"/>
    <w:rsid w:val="7D83C299"/>
    <w:rsid w:val="7F2AC3C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2F105D"/>
  <w15:chartTrackingRefBased/>
  <w15:docId w15:val="{C56D6CDA-39A0-4477-A7A6-60EF385AF3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normaltextrun" w:customStyle="true">
    <w:name w:val="normaltextrun"/>
    <w:basedOn w:val="DefaultParagraphFont"/>
    <w:rsid w:val="6BB59477"/>
  </w:style>
  <w:style w:type="character" w:styleId="eop" w:customStyle="true">
    <w:name w:val="eop"/>
    <w:basedOn w:val="DefaultParagraphFont"/>
    <w:rsid w:val="6BB59477"/>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 xmlns:w14="http://schemas.microsoft.com/office/word/2010/wordml" xmlns:mc="http://schemas.openxmlformats.org/markup-compatibility/2006" xmlns:w="http://schemas.openxmlformats.org/wordprocessingml/2006/main" w:type="character" w:styleId="Heading1Char" w:customStyle="1" mc:Ignorable="w14">
    <w:name xmlns:w="http://schemas.openxmlformats.org/wordprocessingml/2006/main" w:val="Heading 1 Char"/>
    <w:basedOn xmlns:w="http://schemas.openxmlformats.org/wordprocessingml/2006/main" w:val="DefaultParagraphFont"/>
    <w:link xmlns:w="http://schemas.openxmlformats.org/wordprocessingml/2006/main" w:val="Heading1"/>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Heading1" mc:Ignorable="w14">
    <w:name xmlns:w="http://schemas.openxmlformats.org/wordprocessingml/2006/main" w:val="heading 1"/>
    <w:basedOn xmlns:w="http://schemas.openxmlformats.org/wordprocessingml/2006/main" w:val="Normal"/>
    <w:next xmlns:w="http://schemas.openxmlformats.org/wordprocessingml/2006/main" w:val="Normal"/>
    <w:link xmlns:w="http://schemas.openxmlformats.org/wordprocessingml/2006/main" w:val="Heading1Char"/>
    <w:uiPriority xmlns:w="http://schemas.openxmlformats.org/wordprocessingml/2006/main" w:val="9"/>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240" w:after="0"/>
      <w:outlineLvl xmlns:w="http://schemas.openxmlformats.org/wordprocessingml/2006/main" w:val="0"/>
    </w:pPr>
    <w:rPr xmlns:w="http://schemas.openxmlformats.org/wordprocessingml/2006/main">
      <w:rFonts w:asciiTheme="majorHAnsi" w:hAnsiTheme="majorHAnsi" w:eastAsiaTheme="majorEastAsia" w:cstheme="majorBidi"/>
      <w:color w:val="2E74B5" w:themeColor="accent1" w:themeShade="BF"/>
      <w:sz w:val="32"/>
      <w:szCs w:val="32"/>
    </w:r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xmlns:w14="http://schemas.microsoft.com/office/word/2010/wordml" xmlns:mc="http://schemas.openxmlformats.org/markup-compatibility/2006" xmlns:w="http://schemas.openxmlformats.org/wordprocessingml/2006/main" w:type="character" w:styleId="Heading2Char" w:customStyle="1" mc:Ignorable="w14">
    <w:name xmlns:w="http://schemas.openxmlformats.org/wordprocessingml/2006/main" w:val="Heading 2 Char"/>
    <w:basedOn xmlns:w="http://schemas.openxmlformats.org/wordprocessingml/2006/main" w:val="DefaultParagraphFont"/>
    <w:link xmlns:w="http://schemas.openxmlformats.org/wordprocessingml/2006/main" w:val="Heading2"/>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26"/>
      <w:szCs w:val="26"/>
    </w:rPr>
  </w:style>
  <w:style xmlns:w14="http://schemas.microsoft.com/office/word/2010/wordml" xmlns:mc="http://schemas.openxmlformats.org/markup-compatibility/2006" xmlns:w="http://schemas.openxmlformats.org/wordprocessingml/2006/main" w:type="paragraph" w:styleId="Heading2" mc:Ignorable="w14">
    <w:name xmlns:w="http://schemas.openxmlformats.org/wordprocessingml/2006/main" w:val="heading 2"/>
    <w:basedOn xmlns:w="http://schemas.openxmlformats.org/wordprocessingml/2006/main" w:val="Normal"/>
    <w:next xmlns:w="http://schemas.openxmlformats.org/wordprocessingml/2006/main" w:val="Normal"/>
    <w:link xmlns:w="http://schemas.openxmlformats.org/wordprocessingml/2006/main" w:val="Heading2Char"/>
    <w:uiPriority xmlns:w="http://schemas.openxmlformats.org/wordprocessingml/2006/main" w:val="9"/>
    <w:unhideWhenUsed xmlns:w="http://schemas.openxmlformats.org/wordprocessingml/2006/main"/>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40" w:after="0"/>
      <w:outlineLvl xmlns:w="http://schemas.openxmlformats.org/wordprocessingml/2006/main" w:val="1"/>
    </w:pPr>
    <w:rPr xmlns:w="http://schemas.openxmlformats.org/wordprocessingml/2006/main">
      <w:rFonts w:asciiTheme="majorHAnsi" w:hAnsiTheme="majorHAnsi" w:eastAsiaTheme="majorEastAsia"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hyperlink" Target="mailto:Email:%E2%80%AFqwg8@cdc.gov" TargetMode="External" Id="Rfd2a3f2de3254ad5" /><Relationship Type="http://schemas.openxmlformats.org/officeDocument/2006/relationships/customXml" Target="../customXml/item3.xml" Id="rId8" /><Relationship Type="http://schemas.openxmlformats.org/officeDocument/2006/relationships/webSettings" Target="webSettings.xml" Id="rId3" /><Relationship Type="http://schemas.openxmlformats.org/officeDocument/2006/relationships/customXml" Target="../customXml/item2.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customXml" Target="../customXml/item1.xml" Id="rId6"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image" Target="/media/image.png" Id="R6056615bab1248f7" /><Relationship Type="http://schemas.openxmlformats.org/officeDocument/2006/relationships/image" Target="/media/image2.png" Id="R528235425fd04015" /><Relationship Type="http://schemas.openxmlformats.org/officeDocument/2006/relationships/image" Target="/media/image3.png" Id="R396868e438fb4581" /><Relationship Type="http://schemas.openxmlformats.org/officeDocument/2006/relationships/image" Target="/media/image4.png" Id="Rda2e329a31a545ac" /><Relationship Type="http://schemas.openxmlformats.org/officeDocument/2006/relationships/image" Target="/media/image6.png" Id="R1a7d01ba609c449b" /><Relationship Type="http://schemas.openxmlformats.org/officeDocument/2006/relationships/image" Target="/media/image8.png" Id="R383471a280f24dbe" /><Relationship Type="http://schemas.openxmlformats.org/officeDocument/2006/relationships/image" Target="/media/image9.png" Id="R9b90a6dcd11349df" /><Relationship Type="http://schemas.openxmlformats.org/officeDocument/2006/relationships/image" Target="/media/imagea.png" Id="R6976eaf014e94322" /><Relationship Type="http://schemas.openxmlformats.org/officeDocument/2006/relationships/image" Target="/media/imageb.png" Id="Rb9dc318004a0420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29E29735EC7E048B317629824F3C6C2" ma:contentTypeVersion="13" ma:contentTypeDescription="Create a new document." ma:contentTypeScope="" ma:versionID="e4c9ae3338573b95c53fe0d076f4e920">
  <xsd:schema xmlns:xsd="http://www.w3.org/2001/XMLSchema" xmlns:xs="http://www.w3.org/2001/XMLSchema" xmlns:p="http://schemas.microsoft.com/office/2006/metadata/properties" xmlns:ns2="aeddc57e-36eb-4c2b-bcb6-66f49e586641" xmlns:ns3="db76390e-f4cf-41d2-93e5-461b3cd39f49" targetNamespace="http://schemas.microsoft.com/office/2006/metadata/properties" ma:root="true" ma:fieldsID="2963c88d601fd48349d7e16626f29b82" ns2:_="" ns3:_="">
    <xsd:import namespace="aeddc57e-36eb-4c2b-bcb6-66f49e586641"/>
    <xsd:import namespace="db76390e-f4cf-41d2-93e5-461b3cd39f4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ddc57e-36eb-4c2b-bcb6-66f49e58664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9353dbe8-8260-4ccf-8219-3d2995e6fa15"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db76390e-f4cf-41d2-93e5-461b3cd39f49"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b2526f9d-bbe6-4db8-9ccc-f128071cb94b}" ma:internalName="TaxCatchAll" ma:showField="CatchAllData" ma:web="db76390e-f4cf-41d2-93e5-461b3cd39f4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eddc57e-36eb-4c2b-bcb6-66f49e586641">
      <Terms xmlns="http://schemas.microsoft.com/office/infopath/2007/PartnerControls"/>
    </lcf76f155ced4ddcb4097134ff3c332f>
    <TaxCatchAll xmlns="db76390e-f4cf-41d2-93e5-461b3cd39f49" xsi:nil="true"/>
  </documentManagement>
</p:properties>
</file>

<file path=customXml/itemProps1.xml><?xml version="1.0" encoding="utf-8"?>
<ds:datastoreItem xmlns:ds="http://schemas.openxmlformats.org/officeDocument/2006/customXml" ds:itemID="{6EB66F2D-1622-4A57-A512-E2B45C873A92}"/>
</file>

<file path=customXml/itemProps2.xml><?xml version="1.0" encoding="utf-8"?>
<ds:datastoreItem xmlns:ds="http://schemas.openxmlformats.org/officeDocument/2006/customXml" ds:itemID="{706F3E36-381F-4D0E-A0AC-04AE86EC2402}"/>
</file>

<file path=customXml/itemProps3.xml><?xml version="1.0" encoding="utf-8"?>
<ds:datastoreItem xmlns:ds="http://schemas.openxmlformats.org/officeDocument/2006/customXml" ds:itemID="{0F35488A-2DE4-4431-BA2F-D0AA0A351726}"/>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Sabin, Susanna (CDC/DDPHSIS/CGH/DPDM)</dc:creator>
  <cp:keywords/>
  <dc:description/>
  <cp:lastModifiedBy>Sabin, Susanna (CDC/DDPHSIS/CGH/DPDM)</cp:lastModifiedBy>
  <cp:revision>6</cp:revision>
  <dcterms:created xsi:type="dcterms:W3CDTF">2022-05-05T13:04:00Z</dcterms:created>
  <dcterms:modified xsi:type="dcterms:W3CDTF">2022-05-13T19:45:35Z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b94a7b8-f06c-4dfe-bdcc-9b548fd58c31_Enabled">
    <vt:lpwstr>true</vt:lpwstr>
  </property>
  <property fmtid="{D5CDD505-2E9C-101B-9397-08002B2CF9AE}" pid="3" name="MSIP_Label_7b94a7b8-f06c-4dfe-bdcc-9b548fd58c31_SetDate">
    <vt:lpwstr>2022-05-05T13:04:50Z</vt:lpwstr>
  </property>
  <property fmtid="{D5CDD505-2E9C-101B-9397-08002B2CF9AE}" pid="4" name="MSIP_Label_7b94a7b8-f06c-4dfe-bdcc-9b548fd58c31_Method">
    <vt:lpwstr>Privileged</vt:lpwstr>
  </property>
  <property fmtid="{D5CDD505-2E9C-101B-9397-08002B2CF9AE}" pid="5" name="MSIP_Label_7b94a7b8-f06c-4dfe-bdcc-9b548fd58c31_Name">
    <vt:lpwstr>7b94a7b8-f06c-4dfe-bdcc-9b548fd58c31</vt:lpwstr>
  </property>
  <property fmtid="{D5CDD505-2E9C-101B-9397-08002B2CF9AE}" pid="6" name="MSIP_Label_7b94a7b8-f06c-4dfe-bdcc-9b548fd58c31_SiteId">
    <vt:lpwstr>9ce70869-60db-44fd-abe8-d2767077fc8f</vt:lpwstr>
  </property>
  <property fmtid="{D5CDD505-2E9C-101B-9397-08002B2CF9AE}" pid="7" name="MSIP_Label_7b94a7b8-f06c-4dfe-bdcc-9b548fd58c31_ActionId">
    <vt:lpwstr>1967bcae-eb4d-4fc3-8fc3-30deb197195c</vt:lpwstr>
  </property>
  <property fmtid="{D5CDD505-2E9C-101B-9397-08002B2CF9AE}" pid="8" name="MSIP_Label_7b94a7b8-f06c-4dfe-bdcc-9b548fd58c31_ContentBits">
    <vt:lpwstr>0</vt:lpwstr>
  </property>
  <property fmtid="{D5CDD505-2E9C-101B-9397-08002B2CF9AE}" pid="9" name="ContentTypeId">
    <vt:lpwstr>0x010100629E29735EC7E048B317629824F3C6C2</vt:lpwstr>
  </property>
</Properties>
</file>