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95EA" w14:textId="718DB240" w:rsidR="00E461FD" w:rsidRDefault="00E461FD"/>
    <w:p w14:paraId="63FC31B7" w14:textId="1BB3F0D4" w:rsidR="00B74123" w:rsidRDefault="00B74123" w:rsidP="00630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257E568" w14:textId="55CE429B" w:rsidR="00B74123" w:rsidRDefault="00B74123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Nutrient Analyses:</w:t>
      </w:r>
    </w:p>
    <w:p w14:paraId="64DE260C" w14:textId="0D3CD0FE" w:rsidR="00B74123" w:rsidRDefault="00B74123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Organic Carbon by dry combustion method</w:t>
      </w:r>
    </w:p>
    <w:p w14:paraId="0E58E082" w14:textId="3C729126" w:rsidR="00B74123" w:rsidRDefault="00B74123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 Nitrogen by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method</w:t>
      </w:r>
    </w:p>
    <w:p w14:paraId="355CA87B" w14:textId="6A765D03" w:rsidR="00B74123" w:rsidRDefault="00B74123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Ammonium (NH</w:t>
      </w:r>
      <w:r w:rsidRPr="00B74123">
        <w:rPr>
          <w:rFonts w:ascii="Times New Roman" w:hAnsi="Times New Roman" w:cs="Times New Roman"/>
          <w:vertAlign w:val="subscript"/>
        </w:rPr>
        <w:t>4</w:t>
      </w:r>
      <w:r w:rsidRPr="00B74123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 and Nitrate (</w:t>
      </w:r>
      <w:r w:rsidRPr="00B74123">
        <w:rPr>
          <w:rFonts w:ascii="Times New Roman" w:hAnsi="Times New Roman" w:cs="Times New Roman"/>
        </w:rPr>
        <w:t>NO</w:t>
      </w:r>
      <w:r w:rsidRPr="00B74123">
        <w:rPr>
          <w:rFonts w:ascii="Times New Roman" w:hAnsi="Times New Roman" w:cs="Times New Roman"/>
          <w:vertAlign w:val="subscript"/>
        </w:rPr>
        <w:t>3</w:t>
      </w:r>
      <w:r w:rsidRPr="00B74123">
        <w:rPr>
          <w:rFonts w:ascii="Times New Roman" w:hAnsi="Times New Roman" w:cs="Times New Roman"/>
          <w:vertAlign w:val="superscript"/>
        </w:rPr>
        <w:t>−</w:t>
      </w:r>
      <w:r>
        <w:rPr>
          <w:rFonts w:ascii="Times New Roman" w:hAnsi="Times New Roman" w:cs="Times New Roman"/>
        </w:rPr>
        <w:t xml:space="preserve">) by spectrophotometric analyses of </w:t>
      </w:r>
      <w:proofErr w:type="spellStart"/>
      <w:r>
        <w:rPr>
          <w:rFonts w:ascii="Times New Roman" w:hAnsi="Times New Roman" w:cs="Times New Roman"/>
        </w:rPr>
        <w:t>KCl</w:t>
      </w:r>
      <w:proofErr w:type="spellEnd"/>
      <w:r>
        <w:rPr>
          <w:rFonts w:ascii="Times New Roman" w:hAnsi="Times New Roman" w:cs="Times New Roman"/>
        </w:rPr>
        <w:t xml:space="preserve"> extracts</w:t>
      </w:r>
    </w:p>
    <w:p w14:paraId="59DB2DE8" w14:textId="52DB2716" w:rsidR="00B74123" w:rsidRDefault="00B74123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Biomass Carbon by chloroform fumigation method</w:t>
      </w:r>
    </w:p>
    <w:p w14:paraId="4AC09060" w14:textId="1BD0C5A7" w:rsidR="00B74123" w:rsidRDefault="00B74123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02002CC6" w14:textId="1113D511" w:rsidR="00B74123" w:rsidRDefault="00B74123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DNA extraction was performed using </w:t>
      </w:r>
      <w:proofErr w:type="spellStart"/>
      <w:r>
        <w:rPr>
          <w:rFonts w:ascii="Times New Roman" w:hAnsi="Times New Roman" w:cs="Times New Roman"/>
        </w:rPr>
        <w:t>MoBio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PowerSoil</w:t>
      </w:r>
      <w:proofErr w:type="spellEnd"/>
      <w:r>
        <w:rPr>
          <w:rFonts w:ascii="Times New Roman" w:hAnsi="Times New Roman" w:cs="Times New Roman"/>
        </w:rPr>
        <w:t xml:space="preserve"> DNA Isolation kits</w:t>
      </w:r>
    </w:p>
    <w:p w14:paraId="4176AAC8" w14:textId="77777777" w:rsidR="00B74123" w:rsidRDefault="00B74123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72A53727" w14:textId="1F8C7398" w:rsidR="00B74123" w:rsidRDefault="00B74123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PCR amplification of soil DNA extracts and subsequent DNA sequencing </w:t>
      </w:r>
      <w:r w:rsidR="00076561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performed using the methods of McGee et al. (2018)</w:t>
      </w:r>
    </w:p>
    <w:p w14:paraId="00C0FF68" w14:textId="77777777" w:rsidR="00076561" w:rsidRPr="00076561" w:rsidRDefault="00076561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6A3B51E0" w14:textId="4D2AA517" w:rsidR="00076561" w:rsidRDefault="00076561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DNA sequences were analyzed through the QIIME protocol (</w:t>
      </w:r>
      <w:proofErr w:type="spellStart"/>
      <w:r>
        <w:rPr>
          <w:rFonts w:ascii="Times New Roman" w:hAnsi="Times New Roman" w:cs="Times New Roman"/>
        </w:rPr>
        <w:t>Caporaso</w:t>
      </w:r>
      <w:proofErr w:type="spellEnd"/>
      <w:r>
        <w:rPr>
          <w:rFonts w:ascii="Times New Roman" w:hAnsi="Times New Roman" w:cs="Times New Roman"/>
        </w:rPr>
        <w:t xml:space="preserve"> et al. 2011) and taxonomically identified using the </w:t>
      </w:r>
      <w:proofErr w:type="spellStart"/>
      <w:r>
        <w:rPr>
          <w:rFonts w:ascii="Times New Roman" w:hAnsi="Times New Roman" w:cs="Times New Roman"/>
        </w:rPr>
        <w:t>GreenGenes</w:t>
      </w:r>
      <w:proofErr w:type="spellEnd"/>
      <w:r>
        <w:rPr>
          <w:rFonts w:ascii="Times New Roman" w:hAnsi="Times New Roman" w:cs="Times New Roman"/>
        </w:rPr>
        <w:t xml:space="preserve"> database</w:t>
      </w:r>
      <w:r w:rsidR="00A52F23">
        <w:rPr>
          <w:rFonts w:ascii="Times New Roman" w:hAnsi="Times New Roman" w:cs="Times New Roman"/>
        </w:rPr>
        <w:t>. The mean proportion of the sequences (MPS) were determined for each OTU</w:t>
      </w:r>
    </w:p>
    <w:p w14:paraId="3D41333A" w14:textId="77777777" w:rsidR="00076561" w:rsidRPr="00076561" w:rsidRDefault="00076561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72C2C5C3" w14:textId="77777777" w:rsidR="00076561" w:rsidRDefault="00076561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 identified by DNA analysis were placed into the N-fixer or Lignin Degrader functional groups</w:t>
      </w:r>
    </w:p>
    <w:p w14:paraId="3529B8CF" w14:textId="77777777" w:rsidR="00076561" w:rsidRPr="00076561" w:rsidRDefault="00076561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310AFE0D" w14:textId="0A329655" w:rsidR="0004670E" w:rsidRDefault="0004670E" w:rsidP="006302E4">
      <w:pPr>
        <w:pStyle w:val="ListParagraph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Analysis of Microbial Community Structure</w:t>
      </w:r>
    </w:p>
    <w:p w14:paraId="7EE3C56D" w14:textId="77777777" w:rsidR="0004670E" w:rsidRPr="0004670E" w:rsidRDefault="0004670E" w:rsidP="006302E4">
      <w:pPr>
        <w:pStyle w:val="ListParagraph"/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</w:p>
    <w:p w14:paraId="51BDF16D" w14:textId="784A72C4" w:rsidR="0004670E" w:rsidRDefault="0004670E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Comparison of MPS values for the two functional groups by bar charts</w:t>
      </w:r>
    </w:p>
    <w:p w14:paraId="11898081" w14:textId="77777777" w:rsidR="006302E4" w:rsidRDefault="0004670E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Compositional comparisons of MPS of each functional group</w:t>
      </w:r>
    </w:p>
    <w:p w14:paraId="6BB78502" w14:textId="40611DD6" w:rsidR="0004670E" w:rsidRPr="006302E4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04670E" w:rsidRPr="006302E4">
        <w:rPr>
          <w:rFonts w:ascii="Times New Roman" w:hAnsi="Times New Roman" w:cs="Times New Roman"/>
        </w:rPr>
        <w:t>Bray-</w:t>
      </w:r>
      <w:proofErr w:type="gramStart"/>
      <w:r w:rsidR="0004670E" w:rsidRPr="006302E4">
        <w:rPr>
          <w:rFonts w:ascii="Times New Roman" w:hAnsi="Times New Roman" w:cs="Times New Roman"/>
        </w:rPr>
        <w:t>Curtis</w:t>
      </w:r>
      <w:proofErr w:type="gramEnd"/>
      <w:r w:rsidR="0004670E" w:rsidRPr="006302E4">
        <w:rPr>
          <w:rFonts w:ascii="Times New Roman" w:hAnsi="Times New Roman" w:cs="Times New Roman"/>
        </w:rPr>
        <w:t xml:space="preserve"> similarity matrices</w:t>
      </w:r>
    </w:p>
    <w:p w14:paraId="3D06A259" w14:textId="4E2080D0" w:rsidR="0004670E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04670E">
        <w:rPr>
          <w:rFonts w:ascii="Times New Roman" w:hAnsi="Times New Roman" w:cs="Times New Roman"/>
        </w:rPr>
        <w:t>A</w:t>
      </w:r>
      <w:r w:rsidR="00990D82">
        <w:rPr>
          <w:rFonts w:ascii="Times New Roman" w:hAnsi="Times New Roman" w:cs="Times New Roman"/>
        </w:rPr>
        <w:t>nalysis of similarity (A</w:t>
      </w:r>
      <w:r w:rsidR="0004670E">
        <w:rPr>
          <w:rFonts w:ascii="Times New Roman" w:hAnsi="Times New Roman" w:cs="Times New Roman"/>
        </w:rPr>
        <w:t>NOSIM</w:t>
      </w:r>
      <w:r w:rsidR="00990D82">
        <w:rPr>
          <w:rFonts w:ascii="Times New Roman" w:hAnsi="Times New Roman" w:cs="Times New Roman"/>
        </w:rPr>
        <w:t>)</w:t>
      </w:r>
    </w:p>
    <w:p w14:paraId="429DAE76" w14:textId="6563DE0A" w:rsidR="00990D82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90D82">
        <w:rPr>
          <w:rFonts w:ascii="Times New Roman" w:hAnsi="Times New Roman" w:cs="Times New Roman"/>
        </w:rPr>
        <w:t>Canonical Analysis of Principal Coordinates (CAP)</w:t>
      </w:r>
    </w:p>
    <w:p w14:paraId="32F17B25" w14:textId="536D830D" w:rsidR="00990D82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90D82">
        <w:rPr>
          <w:rFonts w:ascii="Times New Roman" w:hAnsi="Times New Roman" w:cs="Times New Roman"/>
        </w:rPr>
        <w:t>Similarity Percentage Comparison (SIMPER)</w:t>
      </w:r>
    </w:p>
    <w:p w14:paraId="2B497805" w14:textId="77777777" w:rsidR="006302E4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</w:p>
    <w:p w14:paraId="5740E002" w14:textId="6FE43274" w:rsidR="0004670E" w:rsidRDefault="00990D82" w:rsidP="006302E4">
      <w:pPr>
        <w:pStyle w:val="ListParagraph"/>
        <w:numPr>
          <w:ilvl w:val="1"/>
          <w:numId w:val="1"/>
        </w:numPr>
        <w:pBdr>
          <w:left w:val="single" w:sz="4" w:space="4" w:color="auto"/>
          <w:right w:val="single" w:sz="4" w:space="4" w:color="auto"/>
        </w:pBd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Microbiome evenness and stability </w:t>
      </w:r>
    </w:p>
    <w:p w14:paraId="580F8A82" w14:textId="602796BB" w:rsidR="00990D82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="00990D82">
        <w:rPr>
          <w:rFonts w:ascii="Times New Roman" w:hAnsi="Times New Roman" w:cs="Times New Roman"/>
        </w:rPr>
        <w:t>Pielou’s</w:t>
      </w:r>
      <w:proofErr w:type="spellEnd"/>
      <w:r w:rsidR="00990D82">
        <w:rPr>
          <w:rFonts w:ascii="Times New Roman" w:hAnsi="Times New Roman" w:cs="Times New Roman"/>
        </w:rPr>
        <w:t xml:space="preserve"> evenness index</w:t>
      </w:r>
    </w:p>
    <w:p w14:paraId="142477F9" w14:textId="2B5128A8" w:rsidR="00990D82" w:rsidRDefault="006302E4" w:rsidP="006302E4">
      <w:pPr>
        <w:pStyle w:val="ListParagraph"/>
        <w:pBdr>
          <w:left w:val="single" w:sz="4" w:space="4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90D82">
        <w:rPr>
          <w:rFonts w:ascii="Times New Roman" w:hAnsi="Times New Roman" w:cs="Times New Roman"/>
        </w:rPr>
        <w:t>Stability</w:t>
      </w:r>
      <w:r w:rsidR="00990D82" w:rsidRPr="00990D82">
        <w:rPr>
          <w:rFonts w:ascii="Times New Roman" w:hAnsi="Times New Roman" w:cs="Times New Roman"/>
          <w:i/>
          <w:iCs/>
        </w:rPr>
        <w:t xml:space="preserve"> S</w:t>
      </w:r>
      <w:r w:rsidR="00990D82">
        <w:rPr>
          <w:rFonts w:ascii="Times New Roman" w:hAnsi="Times New Roman" w:cs="Times New Roman"/>
        </w:rPr>
        <w:t xml:space="preserve"> index</w:t>
      </w:r>
    </w:p>
    <w:p w14:paraId="05687DDF" w14:textId="2DF59D43" w:rsidR="00990D82" w:rsidRDefault="006302E4" w:rsidP="006302E4">
      <w:pPr>
        <w:pStyle w:val="ListParagraph"/>
        <w:pBdr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90D82">
        <w:rPr>
          <w:rFonts w:ascii="Times New Roman" w:hAnsi="Times New Roman" w:cs="Times New Roman"/>
        </w:rPr>
        <w:t>Kruskal – Wal</w:t>
      </w:r>
      <w:r w:rsidR="0053589B">
        <w:rPr>
          <w:rFonts w:ascii="Times New Roman" w:hAnsi="Times New Roman" w:cs="Times New Roman"/>
        </w:rPr>
        <w:t>l</w:t>
      </w:r>
      <w:r w:rsidR="00990D82">
        <w:rPr>
          <w:rFonts w:ascii="Times New Roman" w:hAnsi="Times New Roman" w:cs="Times New Roman"/>
        </w:rPr>
        <w:t xml:space="preserve">is analysis to determine if differences </w:t>
      </w:r>
      <w:r w:rsidR="007868D2">
        <w:rPr>
          <w:rFonts w:ascii="Times New Roman" w:hAnsi="Times New Roman" w:cs="Times New Roman"/>
        </w:rPr>
        <w:t>existed in the two indices</w:t>
      </w:r>
    </w:p>
    <w:p w14:paraId="0DC0FD49" w14:textId="429ED5BA" w:rsidR="0004670E" w:rsidRDefault="0004670E" w:rsidP="0004670E">
      <w:pPr>
        <w:pStyle w:val="ListParagraph"/>
        <w:rPr>
          <w:rFonts w:ascii="Times New Roman" w:hAnsi="Times New Roman" w:cs="Times New Roman"/>
        </w:rPr>
      </w:pPr>
    </w:p>
    <w:p w14:paraId="774874BE" w14:textId="1C2FEF71" w:rsidR="0053589B" w:rsidRPr="0053589B" w:rsidRDefault="0053589B" w:rsidP="0053589B">
      <w:pPr>
        <w:pStyle w:val="ListParagraph"/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Materials 2. List of the methods used in this study.</w:t>
      </w:r>
    </w:p>
    <w:p w14:paraId="627A17DC" w14:textId="31B39BF4" w:rsidR="0053589B" w:rsidRPr="0004670E" w:rsidRDefault="0053589B" w:rsidP="0053589B">
      <w:pPr>
        <w:pStyle w:val="ListParagraph"/>
        <w:ind w:left="-180"/>
        <w:rPr>
          <w:rFonts w:ascii="Times New Roman" w:hAnsi="Times New Roman" w:cs="Times New Roman"/>
        </w:rPr>
      </w:pPr>
    </w:p>
    <w:p w14:paraId="216510C6" w14:textId="0B57AE75" w:rsidR="00076561" w:rsidRPr="00B74123" w:rsidRDefault="00076561" w:rsidP="007868D2">
      <w:pPr>
        <w:pStyle w:val="ListParagraph"/>
        <w:rPr>
          <w:rFonts w:ascii="Times New Roman" w:hAnsi="Times New Roman" w:cs="Times New Roman"/>
        </w:rPr>
      </w:pPr>
    </w:p>
    <w:sectPr w:rsidR="00076561" w:rsidRPr="00B74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15C91"/>
    <w:multiLevelType w:val="hybridMultilevel"/>
    <w:tmpl w:val="02D89038"/>
    <w:lvl w:ilvl="0" w:tplc="E9D664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23"/>
    <w:rsid w:val="0004670E"/>
    <w:rsid w:val="00076561"/>
    <w:rsid w:val="0053589B"/>
    <w:rsid w:val="006302E4"/>
    <w:rsid w:val="007868D2"/>
    <w:rsid w:val="00990D82"/>
    <w:rsid w:val="00A52F23"/>
    <w:rsid w:val="00B74123"/>
    <w:rsid w:val="00BD244F"/>
    <w:rsid w:val="00E4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1B56"/>
  <w15:chartTrackingRefBased/>
  <w15:docId w15:val="{631F7B73-CD4C-4678-962E-7F8DEA0F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Eaton, William D.</dc:creator>
  <cp:keywords/>
  <dc:description/>
  <cp:lastModifiedBy>Eaton, William D.</cp:lastModifiedBy>
  <cp:revision>2</cp:revision>
  <dcterms:created xsi:type="dcterms:W3CDTF">2022-07-06T21:35:00Z</dcterms:created>
  <dcterms:modified xsi:type="dcterms:W3CDTF">2022-07-06T21:35:00Z</dcterms:modified>
</cp:coreProperties>
</file>