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424E7" w14:textId="58B24381" w:rsidR="0009302C" w:rsidRPr="00231254" w:rsidRDefault="0009302C" w:rsidP="0009302C">
      <w:pPr>
        <w:tabs>
          <w:tab w:val="left" w:pos="2835"/>
        </w:tabs>
        <w:rPr>
          <w:b/>
          <w:bCs/>
          <w:iCs/>
          <w:sz w:val="24"/>
          <w:szCs w:val="24"/>
        </w:rPr>
      </w:pPr>
      <w:r w:rsidRPr="00231254">
        <w:rPr>
          <w:b/>
          <w:bCs/>
          <w:iCs/>
          <w:sz w:val="24"/>
          <w:szCs w:val="24"/>
        </w:rPr>
        <w:t>Supplement Table 2: Categories based on value object of the evaluation</w:t>
      </w:r>
    </w:p>
    <w:p w14:paraId="49D4A0FA" w14:textId="77777777" w:rsidR="00231254" w:rsidRPr="00231254" w:rsidRDefault="00231254" w:rsidP="0009302C">
      <w:pPr>
        <w:tabs>
          <w:tab w:val="left" w:pos="2835"/>
        </w:tabs>
        <w:rPr>
          <w:b/>
          <w:bCs/>
          <w:iCs/>
          <w:sz w:val="28"/>
          <w:szCs w:val="28"/>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25"/>
        <w:gridCol w:w="4080"/>
        <w:gridCol w:w="3855"/>
      </w:tblGrid>
      <w:tr w:rsidR="0009302C" w14:paraId="2449B552" w14:textId="77777777" w:rsidTr="00E23D39">
        <w:tc>
          <w:tcPr>
            <w:tcW w:w="1425" w:type="dxa"/>
            <w:shd w:val="clear" w:color="auto" w:fill="auto"/>
            <w:tcMar>
              <w:top w:w="100" w:type="dxa"/>
              <w:left w:w="100" w:type="dxa"/>
              <w:bottom w:w="100" w:type="dxa"/>
              <w:right w:w="100" w:type="dxa"/>
            </w:tcMar>
          </w:tcPr>
          <w:p w14:paraId="7E08799F" w14:textId="77777777" w:rsidR="0009302C" w:rsidRDefault="0009302C" w:rsidP="00E23D39">
            <w:pPr>
              <w:widowControl w:val="0"/>
              <w:tabs>
                <w:tab w:val="left" w:pos="2835"/>
              </w:tabs>
              <w:spacing w:line="240" w:lineRule="auto"/>
              <w:rPr>
                <w:b/>
                <w:sz w:val="20"/>
                <w:szCs w:val="20"/>
              </w:rPr>
            </w:pPr>
            <w:r>
              <w:rPr>
                <w:b/>
                <w:sz w:val="20"/>
                <w:szCs w:val="20"/>
              </w:rPr>
              <w:t>Normative Stage</w:t>
            </w:r>
          </w:p>
        </w:tc>
        <w:tc>
          <w:tcPr>
            <w:tcW w:w="4080" w:type="dxa"/>
            <w:shd w:val="clear" w:color="auto" w:fill="auto"/>
            <w:tcMar>
              <w:top w:w="100" w:type="dxa"/>
              <w:left w:w="100" w:type="dxa"/>
              <w:bottom w:w="100" w:type="dxa"/>
              <w:right w:w="100" w:type="dxa"/>
            </w:tcMar>
          </w:tcPr>
          <w:p w14:paraId="262EC272" w14:textId="77777777" w:rsidR="0009302C" w:rsidRDefault="0009302C" w:rsidP="00E23D39">
            <w:pPr>
              <w:widowControl w:val="0"/>
              <w:tabs>
                <w:tab w:val="left" w:pos="2835"/>
              </w:tabs>
              <w:spacing w:line="240" w:lineRule="auto"/>
              <w:rPr>
                <w:b/>
                <w:sz w:val="20"/>
                <w:szCs w:val="20"/>
              </w:rPr>
            </w:pPr>
            <w:r>
              <w:rPr>
                <w:b/>
                <w:sz w:val="20"/>
                <w:szCs w:val="20"/>
              </w:rPr>
              <w:t>Explanation from Sisk (2020)</w:t>
            </w:r>
          </w:p>
        </w:tc>
        <w:tc>
          <w:tcPr>
            <w:tcW w:w="3855" w:type="dxa"/>
            <w:shd w:val="clear" w:color="auto" w:fill="auto"/>
            <w:tcMar>
              <w:top w:w="100" w:type="dxa"/>
              <w:left w:w="100" w:type="dxa"/>
              <w:bottom w:w="100" w:type="dxa"/>
              <w:right w:w="100" w:type="dxa"/>
            </w:tcMar>
          </w:tcPr>
          <w:p w14:paraId="6AE668A7" w14:textId="77777777" w:rsidR="0009302C" w:rsidRDefault="0009302C" w:rsidP="00E23D39">
            <w:pPr>
              <w:widowControl w:val="0"/>
              <w:tabs>
                <w:tab w:val="left" w:pos="2835"/>
              </w:tabs>
              <w:spacing w:line="240" w:lineRule="auto"/>
              <w:rPr>
                <w:b/>
                <w:sz w:val="20"/>
                <w:szCs w:val="20"/>
              </w:rPr>
            </w:pPr>
            <w:r>
              <w:rPr>
                <w:b/>
                <w:sz w:val="20"/>
                <w:szCs w:val="20"/>
              </w:rPr>
              <w:t>Examples from our sample</w:t>
            </w:r>
          </w:p>
        </w:tc>
      </w:tr>
      <w:tr w:rsidR="0009302C" w14:paraId="3B9D203B" w14:textId="77777777" w:rsidTr="00E23D39">
        <w:tc>
          <w:tcPr>
            <w:tcW w:w="1425" w:type="dxa"/>
            <w:shd w:val="clear" w:color="auto" w:fill="auto"/>
            <w:tcMar>
              <w:top w:w="100" w:type="dxa"/>
              <w:left w:w="100" w:type="dxa"/>
              <w:bottom w:w="100" w:type="dxa"/>
              <w:right w:w="100" w:type="dxa"/>
            </w:tcMar>
          </w:tcPr>
          <w:p w14:paraId="3ABDDEEF" w14:textId="77777777" w:rsidR="0009302C" w:rsidRDefault="0009302C" w:rsidP="00E23D39">
            <w:pPr>
              <w:widowControl w:val="0"/>
              <w:tabs>
                <w:tab w:val="left" w:pos="2835"/>
              </w:tabs>
              <w:spacing w:line="240" w:lineRule="auto"/>
              <w:rPr>
                <w:sz w:val="16"/>
                <w:szCs w:val="16"/>
              </w:rPr>
            </w:pPr>
            <w:r>
              <w:rPr>
                <w:sz w:val="16"/>
                <w:szCs w:val="16"/>
              </w:rPr>
              <w:t>Aspirational Norm</w:t>
            </w:r>
          </w:p>
        </w:tc>
        <w:tc>
          <w:tcPr>
            <w:tcW w:w="4080" w:type="dxa"/>
            <w:shd w:val="clear" w:color="auto" w:fill="auto"/>
            <w:tcMar>
              <w:top w:w="100" w:type="dxa"/>
              <w:left w:w="100" w:type="dxa"/>
              <w:bottom w:w="100" w:type="dxa"/>
              <w:right w:w="100" w:type="dxa"/>
            </w:tcMar>
          </w:tcPr>
          <w:p w14:paraId="211E4FFE" w14:textId="77777777" w:rsidR="0009302C" w:rsidRDefault="0009302C" w:rsidP="00E23D39">
            <w:pPr>
              <w:widowControl w:val="0"/>
              <w:tabs>
                <w:tab w:val="left" w:pos="2835"/>
              </w:tabs>
              <w:spacing w:line="240" w:lineRule="auto"/>
              <w:rPr>
                <w:sz w:val="16"/>
                <w:szCs w:val="16"/>
              </w:rPr>
            </w:pPr>
            <w:r>
              <w:rPr>
                <w:sz w:val="16"/>
                <w:szCs w:val="16"/>
              </w:rPr>
              <w:t xml:space="preserve">Deliberations in normative ethics may result in what we call aspirational norms, which are broad claims that are easily agreed upon but difficult (or impossible) to implement. An aspirational normative claim might be that “No one in the world should die of hunger.” This claim would garner broad agreement, but it does not specify any particular actions. Such aspirational norms are valuable insofar as they serve as a “true North” to guide subsequent development of specific norms. Once an aspirational norm is developed, deliberations in applied ethics can generate specific norms. </w:t>
            </w:r>
          </w:p>
        </w:tc>
        <w:tc>
          <w:tcPr>
            <w:tcW w:w="3855" w:type="dxa"/>
            <w:shd w:val="clear" w:color="auto" w:fill="auto"/>
            <w:tcMar>
              <w:top w:w="100" w:type="dxa"/>
              <w:left w:w="100" w:type="dxa"/>
              <w:bottom w:w="100" w:type="dxa"/>
              <w:right w:w="100" w:type="dxa"/>
            </w:tcMar>
          </w:tcPr>
          <w:p w14:paraId="22EF7C98" w14:textId="06767FBC" w:rsidR="0009302C" w:rsidRDefault="0009302C" w:rsidP="00E23D39">
            <w:pPr>
              <w:widowControl w:val="0"/>
              <w:tabs>
                <w:tab w:val="left" w:pos="2835"/>
              </w:tabs>
              <w:spacing w:line="240" w:lineRule="auto"/>
              <w:rPr>
                <w:sz w:val="16"/>
                <w:szCs w:val="16"/>
              </w:rPr>
            </w:pPr>
            <w:proofErr w:type="spellStart"/>
            <w:r>
              <w:rPr>
                <w:sz w:val="16"/>
                <w:szCs w:val="16"/>
              </w:rPr>
              <w:t>Eklöf</w:t>
            </w:r>
            <w:proofErr w:type="spellEnd"/>
            <w:r>
              <w:rPr>
                <w:sz w:val="16"/>
                <w:szCs w:val="16"/>
              </w:rPr>
              <w:t xml:space="preserve">, </w:t>
            </w:r>
            <w:proofErr w:type="spellStart"/>
            <w:r>
              <w:rPr>
                <w:sz w:val="16"/>
                <w:szCs w:val="16"/>
              </w:rPr>
              <w:t>Hupli</w:t>
            </w:r>
            <w:proofErr w:type="spellEnd"/>
            <w:r>
              <w:rPr>
                <w:sz w:val="16"/>
                <w:szCs w:val="16"/>
              </w:rPr>
              <w:t xml:space="preserve"> and </w:t>
            </w:r>
            <w:proofErr w:type="spellStart"/>
            <w:r>
              <w:rPr>
                <w:sz w:val="16"/>
                <w:szCs w:val="16"/>
              </w:rPr>
              <w:t>Leino-Klpi</w:t>
            </w:r>
            <w:proofErr w:type="spellEnd"/>
            <w:r>
              <w:rPr>
                <w:sz w:val="16"/>
                <w:szCs w:val="16"/>
              </w:rPr>
              <w:t xml:space="preserve">: Factors related to privacy of Somali refugees in health care </w:t>
            </w:r>
            <w:r>
              <w:rPr>
                <w:sz w:val="16"/>
                <w:szCs w:val="16"/>
              </w:rPr>
              <w:fldChar w:fldCharType="begin"/>
            </w:r>
            <w:r w:rsidR="001170B1">
              <w:rPr>
                <w:sz w:val="16"/>
                <w:szCs w:val="16"/>
              </w:rPr>
              <w:instrText xml:space="preserve"> ADDIN ZOTERO_ITEM CSL_CITATION {"citationID":"CrUdTMSo","properties":{"formattedCitation":"(1)","plainCitation":"(1)","noteIndex":0},"citationItems":[{"id":30974,"uris":["http://zotero.org/users/5958023/items/CYXACE9D"],"itemData":{"id":30974,"type":"article-journal","abstract":"Background:\n              Privacy is one of the key principles in health care and requires understanding of the cultural aspects of patients’ privacy. In Western cultures privacy is focused on the individual, however, in some non-Western cultures, privacy is linked to the collectivism of the community or religion.\n            \n            \n              Objectives:\n              The objective of this study is to describe the factors related to the realisation of privacy of Somali refugees in health care by describing the factors related to the patient, healthcare professional and interpreter.\n            \n            \n              Research design:\n              The data were collected from Somali refugees (N = 29) using a qualitative questionnaire and were analysed by deductive content analysis based on factors related to the patient, healthcare professional and interpreter.\n            \n            \n              Ethical consideration:\n              Ethical approval was obtained from the University of Turku, and research permissions were obtained from all participating institutions.\n            \n            \n              Findings:\n              Factors related to the patient were as follows: privacy was realised when the patient had self-determination; was able to act according to Somali culture; had knowledge and understanding of treatment; and trusted the healthcare professional. Factors related to the healthcare professional were as follows: the healthcare professional was expected to be of the same gender as the patient, act professionally, focus on the health issues, and to have knowledge and understanding of the Somali culture. Factors related to the interpreter were as follows: the presence and Somali background of the interpreter decreased privacy; the interpreter was expected to be of the same gender as the patient; to have competence and to behave professionally.\n            \n            \n              Discussion:\n              Gender congruence, professionalism and caring attitude and common understanding between the Somali patient and Finnish provider increase the privacy of Somali patients.\n            \n            \n              Conclusion:\n              Somali patients’ privacy can be improved by increasing healthcare professionals’ understanding of Somali culture, acknowledging the importance of gender concordance in relation to healthcare professionals and interpreters, and the effect of the presence of the interpreter on patients’ privacy.","container-title":"Nursing Ethics","DOI":"10.1177/0969733019855748","ISSN":"0969-7330, 1477-0989","issue":"2","journalAbbreviation":"Nurs Ethics","language":"en","page":"514-526","source":"DOI.org (Crossref)","title":"Factors related to privacy of Somali refugees in health care","volume":"27","author":[{"family":"Eklöf","given":"Niina"},{"family":"Hupli","given":"Maija"},{"family":"Leino-Kilpi","given":"Helena"}],"issued":{"date-parts":[["2020",3]]},"citation-key":"eklof_2020"}}],"schema":"https://github.com/citation-style-language/schema/raw/master/csl-citation.json"} </w:instrText>
            </w:r>
            <w:r>
              <w:rPr>
                <w:sz w:val="16"/>
                <w:szCs w:val="16"/>
              </w:rPr>
              <w:fldChar w:fldCharType="separate"/>
            </w:r>
            <w:r w:rsidR="001170B1">
              <w:rPr>
                <w:noProof/>
                <w:sz w:val="16"/>
                <w:szCs w:val="16"/>
              </w:rPr>
              <w:t>(1)</w:t>
            </w:r>
            <w:r>
              <w:rPr>
                <w:sz w:val="16"/>
                <w:szCs w:val="16"/>
              </w:rPr>
              <w:fldChar w:fldCharType="end"/>
            </w:r>
          </w:p>
          <w:p w14:paraId="588BAB55" w14:textId="77777777" w:rsidR="0009302C" w:rsidRDefault="0009302C" w:rsidP="00E23D39">
            <w:pPr>
              <w:widowControl w:val="0"/>
              <w:numPr>
                <w:ilvl w:val="0"/>
                <w:numId w:val="4"/>
              </w:numPr>
              <w:tabs>
                <w:tab w:val="left" w:pos="2835"/>
              </w:tabs>
              <w:spacing w:line="240" w:lineRule="auto"/>
              <w:rPr>
                <w:sz w:val="16"/>
                <w:szCs w:val="16"/>
              </w:rPr>
            </w:pPr>
            <w:r>
              <w:rPr>
                <w:sz w:val="16"/>
                <w:szCs w:val="16"/>
              </w:rPr>
              <w:t xml:space="preserve">Aim: to describe the factors related to the </w:t>
            </w:r>
            <w:proofErr w:type="spellStart"/>
            <w:r>
              <w:rPr>
                <w:sz w:val="16"/>
                <w:szCs w:val="16"/>
              </w:rPr>
              <w:t>realisation</w:t>
            </w:r>
            <w:proofErr w:type="spellEnd"/>
            <w:r>
              <w:rPr>
                <w:sz w:val="16"/>
                <w:szCs w:val="16"/>
              </w:rPr>
              <w:t xml:space="preserve"> of privacy of Somali refugees in health care by describing the factors related to the patient, healthcare professional and interpreter. </w:t>
            </w:r>
          </w:p>
          <w:p w14:paraId="0138CD1A" w14:textId="2B524A9A" w:rsidR="0009302C" w:rsidRDefault="0009302C" w:rsidP="00E23D39">
            <w:pPr>
              <w:widowControl w:val="0"/>
              <w:tabs>
                <w:tab w:val="left" w:pos="2835"/>
              </w:tabs>
              <w:spacing w:line="240" w:lineRule="auto"/>
              <w:rPr>
                <w:sz w:val="16"/>
                <w:szCs w:val="16"/>
              </w:rPr>
            </w:pPr>
            <w:r>
              <w:rPr>
                <w:sz w:val="16"/>
                <w:szCs w:val="16"/>
              </w:rPr>
              <w:t xml:space="preserve">Abdalla et al.: Operationalization of patients’ rights in Sudan: Quantifying nurses’ knowledge </w:t>
            </w:r>
            <w:r>
              <w:rPr>
                <w:sz w:val="16"/>
                <w:szCs w:val="16"/>
              </w:rPr>
              <w:fldChar w:fldCharType="begin"/>
            </w:r>
            <w:r w:rsidR="001170B1">
              <w:rPr>
                <w:sz w:val="16"/>
                <w:szCs w:val="16"/>
              </w:rPr>
              <w:instrText xml:space="preserve"> ADDIN ZOTERO_ITEM CSL_CITATION {"citationID":"qNv5cS2Y","properties":{"formattedCitation":"(2)","plainCitation":"(2)","noteIndex":0},"citationItems":[{"id":1179,"uris":["http://zotero.org/users/5958023/items/YNTLE9RV"],"itemData":{"id":1179,"type":"article-journal","abstract":"BACKGROUND: Promoting patients' rights is essential for defining the standards of clinical services within a country. Given their responsibilities, nurses can be the primary target for research to investigate the issue of patients' rights within a healthcare system. As such, assessing the knowledge of nurses about patients' rights is an essential step toward improving the quality of healthcare in limited resource settings like Sudan. OBJECTIVES: We aimed to assess the level of knowledge about patients' rights among the nursing staff at Friendship Teaching Hospital in Sudan. METHODS: This hospital-based cross-sectional study was carried out at the Friendship Teaching Hospital in Sudan. We surveyed the totality of nurses (95) at the hospital using an amended survey. The data were analyzed in SPSS software using descriptive and inferential statistics. Ethical consideration: The study was approved by the Research Unit of Khartoum Ministry of Health and the Hospital administration. All respondents gave verbal consent prior to participating in the study. RESULTS: Only 48.4% of the participants knew about the existence of the Sudanese Charter of patients' rights. Nonetheless, our analysis found that 65.8% of nurses had acceptable level of knowledge (scored more than 75% of the total knowledge score) of patients' rights, and none of the participant scored less than 50% of the total knowledge score. Finally, we found no statistical association between the knowledge score and demographic data, educational level, whether the participant knows about the existence of the Charter or not and a number of other factors. CONCLUSION: Nurses' lack of knowledge about the existence of the Sudanese Charter of patients' rights adopted in 2009 rights confirms the need for further efforts by Ministry of Health to promote the document. Furthermore, further research is needed to investigate the disconnect between nurses' lack of knowledge about the existence of the charter and their awareness of the rights within the charter as well as the actual implementation of rights.","container-title":"Nursing ethics","ISSN":"1477-0989","language":"English","note":"Citation Key: 30322330","page":"969733018787224","title":"Operationalization of patients' rights in Sudan: Quantifying nurses' knowledge.","author":[{"family":"Abdalla","given":"Salma M"},{"family":"Mahgoub","given":"Esra Aa"},{"family":"Abdelgadir","given":"Jihad"},{"family":"Elhassan","given":"Nahla"},{"family":"Omer","given":"Zulfa"}],"issued":{"date-parts":[["2018",10]]},"citation-key":"30322330"}}],"schema":"https://github.com/citation-style-language/schema/raw/master/csl-citation.json"} </w:instrText>
            </w:r>
            <w:r>
              <w:rPr>
                <w:sz w:val="16"/>
                <w:szCs w:val="16"/>
              </w:rPr>
              <w:fldChar w:fldCharType="separate"/>
            </w:r>
            <w:r w:rsidR="001170B1">
              <w:rPr>
                <w:noProof/>
                <w:sz w:val="16"/>
                <w:szCs w:val="16"/>
              </w:rPr>
              <w:t>(2)</w:t>
            </w:r>
            <w:r>
              <w:rPr>
                <w:sz w:val="16"/>
                <w:szCs w:val="16"/>
              </w:rPr>
              <w:fldChar w:fldCharType="end"/>
            </w:r>
          </w:p>
          <w:p w14:paraId="7B20FD2A" w14:textId="77777777" w:rsidR="0009302C" w:rsidRDefault="0009302C" w:rsidP="00E23D39">
            <w:pPr>
              <w:widowControl w:val="0"/>
              <w:numPr>
                <w:ilvl w:val="0"/>
                <w:numId w:val="6"/>
              </w:numPr>
              <w:tabs>
                <w:tab w:val="left" w:pos="2835"/>
              </w:tabs>
              <w:spacing w:line="240" w:lineRule="auto"/>
              <w:rPr>
                <w:sz w:val="16"/>
                <w:szCs w:val="16"/>
              </w:rPr>
            </w:pPr>
            <w:r>
              <w:rPr>
                <w:sz w:val="16"/>
                <w:szCs w:val="16"/>
              </w:rPr>
              <w:t xml:space="preserve">Aim: to assess the level of knowledge about patients’ rights among the nursing staff at Friendship Teaching Hospital in Sudan. </w:t>
            </w:r>
          </w:p>
        </w:tc>
      </w:tr>
      <w:tr w:rsidR="0009302C" w14:paraId="57B5A84D" w14:textId="77777777" w:rsidTr="00E23D39">
        <w:tc>
          <w:tcPr>
            <w:tcW w:w="1425" w:type="dxa"/>
            <w:shd w:val="clear" w:color="auto" w:fill="auto"/>
            <w:tcMar>
              <w:top w:w="100" w:type="dxa"/>
              <w:left w:w="100" w:type="dxa"/>
              <w:bottom w:w="100" w:type="dxa"/>
              <w:right w:w="100" w:type="dxa"/>
            </w:tcMar>
          </w:tcPr>
          <w:p w14:paraId="15EA5313" w14:textId="77777777" w:rsidR="0009302C" w:rsidRDefault="0009302C" w:rsidP="00E23D39">
            <w:pPr>
              <w:widowControl w:val="0"/>
              <w:tabs>
                <w:tab w:val="left" w:pos="2835"/>
              </w:tabs>
              <w:spacing w:line="240" w:lineRule="auto"/>
              <w:rPr>
                <w:sz w:val="16"/>
                <w:szCs w:val="16"/>
              </w:rPr>
            </w:pPr>
            <w:r>
              <w:rPr>
                <w:sz w:val="16"/>
                <w:szCs w:val="16"/>
              </w:rPr>
              <w:t>Specific Norm</w:t>
            </w:r>
          </w:p>
        </w:tc>
        <w:tc>
          <w:tcPr>
            <w:tcW w:w="4080" w:type="dxa"/>
            <w:shd w:val="clear" w:color="auto" w:fill="auto"/>
            <w:tcMar>
              <w:top w:w="100" w:type="dxa"/>
              <w:left w:w="100" w:type="dxa"/>
              <w:bottom w:w="100" w:type="dxa"/>
              <w:right w:w="100" w:type="dxa"/>
            </w:tcMar>
          </w:tcPr>
          <w:p w14:paraId="5981B8FF" w14:textId="77777777" w:rsidR="0009302C" w:rsidRDefault="0009302C" w:rsidP="00E23D39">
            <w:pPr>
              <w:widowControl w:val="0"/>
              <w:tabs>
                <w:tab w:val="left" w:pos="2835"/>
              </w:tabs>
              <w:spacing w:line="240" w:lineRule="auto"/>
              <w:rPr>
                <w:sz w:val="16"/>
                <w:szCs w:val="16"/>
              </w:rPr>
            </w:pPr>
            <w:r>
              <w:rPr>
                <w:sz w:val="16"/>
                <w:szCs w:val="16"/>
              </w:rPr>
              <w:t xml:space="preserve">These specific norms provide directed guidance about the types of actions that ought to be enacted. Consider the following normative claim: “Every physician in the United States should question their patients about food insecurity and provide information packets about local resources to protect them from hunger.” This claim is specific and more feasible to be implemented. Although this specific normative claim will not fully rid the world of hunger, it provides an incremental step toward this broader aspirational norm. </w:t>
            </w:r>
          </w:p>
        </w:tc>
        <w:tc>
          <w:tcPr>
            <w:tcW w:w="3855" w:type="dxa"/>
            <w:shd w:val="clear" w:color="auto" w:fill="auto"/>
            <w:tcMar>
              <w:top w:w="100" w:type="dxa"/>
              <w:left w:w="100" w:type="dxa"/>
              <w:bottom w:w="100" w:type="dxa"/>
              <w:right w:w="100" w:type="dxa"/>
            </w:tcMar>
          </w:tcPr>
          <w:p w14:paraId="60A2F836" w14:textId="113E5C7E" w:rsidR="0009302C" w:rsidRDefault="0009302C" w:rsidP="00E23D39">
            <w:pPr>
              <w:widowControl w:val="0"/>
              <w:tabs>
                <w:tab w:val="left" w:pos="2835"/>
              </w:tabs>
              <w:spacing w:line="240" w:lineRule="auto"/>
              <w:rPr>
                <w:sz w:val="16"/>
                <w:szCs w:val="16"/>
              </w:rPr>
            </w:pPr>
            <w:proofErr w:type="spellStart"/>
            <w:r>
              <w:rPr>
                <w:sz w:val="16"/>
                <w:szCs w:val="16"/>
              </w:rPr>
              <w:t>Lazzari</w:t>
            </w:r>
            <w:proofErr w:type="spellEnd"/>
            <w:r>
              <w:rPr>
                <w:sz w:val="16"/>
                <w:szCs w:val="16"/>
              </w:rPr>
              <w:t xml:space="preserve"> et al.: Moral distress in correctional nurses: A national survey </w:t>
            </w:r>
            <w:r>
              <w:rPr>
                <w:sz w:val="16"/>
                <w:szCs w:val="16"/>
              </w:rPr>
              <w:fldChar w:fldCharType="begin"/>
            </w:r>
            <w:r w:rsidR="001170B1">
              <w:rPr>
                <w:sz w:val="16"/>
                <w:szCs w:val="16"/>
              </w:rPr>
              <w:instrText xml:space="preserve"> ADDIN ZOTERO_ITEM CSL_CITATION {"citationID":"y4nEtkOJ","properties":{"formattedCitation":"(3)","plainCitation":"(3)","noteIndex":0},"citationItems":[{"id":1089,"uris":["http://zotero.org/users/5958023/items/FTVFYZ92"],"itemData":{"id":1089,"type":"article-journal","abstract":"BACKGROUND: Moral distress is an increasingly documented problem in nursing and might foster nurses' intention to leave their workplace. It has been studied in different settings, but no specific research has been conducted in Italian correctional facilities. A recent Italian study produced a preliminary validation of the Moral Distress Scale for Correctional Nurses, which needs to be completed. OBJECTIVES: To investigate the level of moral distress of nurses working in the Italian correctional setting, by completing the validation process of the Moral Distress Scale for Correctional Nurses. METHODOLOGY: Multicenter questionnaire survey. All correctional nurses (461) affiliated with the Italian Society of Medicine and Penitentiary Health (also called \"Simspe-onlus\") were invited to participate and 238 responded. The survey was conducted between April and November 2017 through SurveyMonkey®. Analysis of covariance was conducted to investigate the relationship between moral distress and the other variables under study. Exploratory factor analysis was conducted on the scale to confirm its dimensions. ETHICAL CONSIDERATIONS: The study was approved by the Italian Society of Medicine and Penitentiary Health (Simspe-onlus). The questionnaire included informed consent, pursuant to the law in force. The software could not accept questionnaires without explicit consent. Data were analyzed anonymously. FINDINGS: The median score was 46.5, indicating moderate moral distress. The only variable affecting moral distress was work experience in correctional facilities. Longer experience was correlated to higher levels of moral distress and intention to leave. Incompetent colleagues and short staffing were related to higher levels of moral distress. The scale confirmed the one-dimensional structure suggested by the original authors. DISCUSSION: This is the first study investigating moral distress among Correctional Nurses. The prison context is a high-risk environment for nurses, increasing the intention to leave the workplace. CONCLUSION: Corrective and protective measures, such as specific education, are needed to prevent moral distress development and to reduce nurses' shortage in this area.","container-title":"Nursing ethics","ISSN":"1477-0989","language":"English","note":"Citation Key: 30966867","page":"969733019834976","title":"Moral distress in correctional nurses: A national survey.","author":[{"family":"Lazzari","given":"Tiziano"},{"family":"Terzoni","given":"Stefano"},{"family":"Destrebecq","given":"Anne"},{"family":"Meani","given":"Luca"},{"family":"Bonetti","given":"Loris"},{"family":"Ferrara","given":"Paolo"}],"issued":{"date-parts":[["2019",4]]},"citation-key":"30966867"}}],"schema":"https://github.com/citation-style-language/schema/raw/master/csl-citation.json"} </w:instrText>
            </w:r>
            <w:r>
              <w:rPr>
                <w:sz w:val="16"/>
                <w:szCs w:val="16"/>
              </w:rPr>
              <w:fldChar w:fldCharType="separate"/>
            </w:r>
            <w:r w:rsidR="001170B1">
              <w:rPr>
                <w:noProof/>
                <w:sz w:val="16"/>
                <w:szCs w:val="16"/>
              </w:rPr>
              <w:t>(3)</w:t>
            </w:r>
            <w:r>
              <w:rPr>
                <w:sz w:val="16"/>
                <w:szCs w:val="16"/>
              </w:rPr>
              <w:fldChar w:fldCharType="end"/>
            </w:r>
          </w:p>
          <w:p w14:paraId="671906D5" w14:textId="77777777" w:rsidR="0009302C" w:rsidRDefault="0009302C" w:rsidP="00E23D39">
            <w:pPr>
              <w:widowControl w:val="0"/>
              <w:numPr>
                <w:ilvl w:val="0"/>
                <w:numId w:val="3"/>
              </w:numPr>
              <w:tabs>
                <w:tab w:val="left" w:pos="2835"/>
              </w:tabs>
              <w:spacing w:line="240" w:lineRule="auto"/>
              <w:rPr>
                <w:sz w:val="16"/>
                <w:szCs w:val="16"/>
              </w:rPr>
            </w:pPr>
            <w:r>
              <w:rPr>
                <w:sz w:val="16"/>
                <w:szCs w:val="16"/>
              </w:rPr>
              <w:t xml:space="preserve">Aim: To investigate the level of moral distress of nurses working in the Italian correctional setting, by completing the validation process of the Moral Distress Scale for Correctional Nurses. </w:t>
            </w:r>
          </w:p>
          <w:p w14:paraId="462803B4" w14:textId="77777777" w:rsidR="0009302C" w:rsidRDefault="0009302C" w:rsidP="00E23D39">
            <w:pPr>
              <w:widowControl w:val="0"/>
              <w:tabs>
                <w:tab w:val="left" w:pos="2835"/>
              </w:tabs>
              <w:spacing w:line="240" w:lineRule="auto"/>
              <w:rPr>
                <w:sz w:val="16"/>
                <w:szCs w:val="16"/>
              </w:rPr>
            </w:pPr>
          </w:p>
          <w:p w14:paraId="0822E091" w14:textId="455EC380" w:rsidR="0009302C" w:rsidRDefault="0009302C" w:rsidP="00E23D39">
            <w:pPr>
              <w:widowControl w:val="0"/>
              <w:tabs>
                <w:tab w:val="left" w:pos="2835"/>
              </w:tabs>
              <w:spacing w:line="240" w:lineRule="auto"/>
              <w:rPr>
                <w:sz w:val="16"/>
                <w:szCs w:val="16"/>
              </w:rPr>
            </w:pPr>
            <w:proofErr w:type="spellStart"/>
            <w:r>
              <w:rPr>
                <w:sz w:val="16"/>
                <w:szCs w:val="16"/>
              </w:rPr>
              <w:t>Torabi</w:t>
            </w:r>
            <w:proofErr w:type="spellEnd"/>
            <w:r>
              <w:rPr>
                <w:sz w:val="16"/>
                <w:szCs w:val="16"/>
              </w:rPr>
              <w:t xml:space="preserve"> et al.: Barriers to ethical decision-making for pre-hospital care professionals </w:t>
            </w:r>
            <w:r>
              <w:rPr>
                <w:sz w:val="16"/>
                <w:szCs w:val="16"/>
              </w:rPr>
              <w:fldChar w:fldCharType="begin"/>
            </w:r>
            <w:r w:rsidR="001170B1">
              <w:rPr>
                <w:sz w:val="16"/>
                <w:szCs w:val="16"/>
              </w:rPr>
              <w:instrText xml:space="preserve"> ADDIN ZOTERO_ITEM CSL_CITATION {"citationID":"T96N4NI4","properties":{"formattedCitation":"(4)","plainCitation":"(4)","noteIndex":0},"citationItems":[{"id":817,"uris":["http://zotero.org/users/5958023/items/IXD7P8B7"],"itemData":{"id":817,"type":"article-journal","abstract":"BACKGROUND: Emergency care providers are frequently faces with situations in which they have to make decisions quickly in stressful situations. They face barriers to ethical decision-making and recognizing and finding solutions to these barriers helps them to make ethical decision. OBJECTIVES: The purpose of this study was to identify barriers of ethical decision-making in Iranian Emergency Medical Service personnel. METHODS: In this qualitative research, the participants (n = 15) were selected using the purposive sampling method, and the data were collected by deep and semi-structured interviews. Finally, the data are analyzed using the content analysis approach. ETHICAL CONSIDERATIONS: Permission to conduct the study was obtained from the Ethics Committee of the Shahid Beheshti University of Medical Sciences. The objectives of the study were explained to the participants and written consent was received from them. Also, participants were assured that necessary measures were taken to protect their anonymity and confidentiality. FINDINGS: The results of the analysis are classified in five main categories. It encompasses the following areas: perception of situation, patient-related factors, input and output imbalance, uncoordinated health system, and paradoxes. CONCLUSION: Emergency Medical Service personnel make ethical decisions every day. It is important that prehospital personnel know how to manage those decisions properly so that clients' moral rights are respected. Hence, by identifying the dimensions and obstacles of ethical decision-making in Emergency Medical Service personnel, it is possible to enhance the moral judgment and ethical accountability of the personnel and develop the strategies necessary for ethical decision-making in them.","container-title":"Nursing ethics","ISSN":"1477-0989","language":"English","note":"Citation Key: 31185799","page":"969733019848044","title":"Barriers to ethical decision-making for pre-hospital care professionals.","author":[{"family":"Torabi","given":"Mohammad"},{"family":"Borhani","given":"Fariba"},{"family":"Abbaszadeh","given":"Abbas"},{"family":"Atashzadeh-Shoorideh","given":"Foroozan"}],"issued":{"date-parts":[["2019",6]]},"citation-key":"31185799"}}],"schema":"https://github.com/citation-style-language/schema/raw/master/csl-citation.json"} </w:instrText>
            </w:r>
            <w:r>
              <w:rPr>
                <w:sz w:val="16"/>
                <w:szCs w:val="16"/>
              </w:rPr>
              <w:fldChar w:fldCharType="separate"/>
            </w:r>
            <w:r w:rsidR="001170B1">
              <w:rPr>
                <w:noProof/>
                <w:sz w:val="16"/>
                <w:szCs w:val="16"/>
              </w:rPr>
              <w:t>(4)</w:t>
            </w:r>
            <w:r>
              <w:rPr>
                <w:sz w:val="16"/>
                <w:szCs w:val="16"/>
              </w:rPr>
              <w:fldChar w:fldCharType="end"/>
            </w:r>
          </w:p>
          <w:p w14:paraId="3D0DDBCA" w14:textId="77777777" w:rsidR="0009302C" w:rsidRDefault="0009302C" w:rsidP="00E23D39">
            <w:pPr>
              <w:widowControl w:val="0"/>
              <w:numPr>
                <w:ilvl w:val="0"/>
                <w:numId w:val="5"/>
              </w:numPr>
              <w:tabs>
                <w:tab w:val="left" w:pos="2835"/>
              </w:tabs>
              <w:spacing w:line="240" w:lineRule="auto"/>
              <w:rPr>
                <w:sz w:val="16"/>
                <w:szCs w:val="16"/>
              </w:rPr>
            </w:pPr>
            <w:r>
              <w:rPr>
                <w:sz w:val="16"/>
                <w:szCs w:val="16"/>
              </w:rPr>
              <w:t xml:space="preserve">Aim: The purpose of this study was to identify barriers of ethical decision-making in Iranian Emergency Medical Service personnel. </w:t>
            </w:r>
          </w:p>
        </w:tc>
      </w:tr>
      <w:tr w:rsidR="0009302C" w14:paraId="67400A0E" w14:textId="77777777" w:rsidTr="00E23D39">
        <w:tc>
          <w:tcPr>
            <w:tcW w:w="1425" w:type="dxa"/>
            <w:shd w:val="clear" w:color="auto" w:fill="auto"/>
            <w:tcMar>
              <w:top w:w="100" w:type="dxa"/>
              <w:left w:w="100" w:type="dxa"/>
              <w:bottom w:w="100" w:type="dxa"/>
              <w:right w:w="100" w:type="dxa"/>
            </w:tcMar>
          </w:tcPr>
          <w:p w14:paraId="6F067C98" w14:textId="77777777" w:rsidR="0009302C" w:rsidRDefault="0009302C" w:rsidP="00E23D39">
            <w:pPr>
              <w:widowControl w:val="0"/>
              <w:tabs>
                <w:tab w:val="left" w:pos="2835"/>
              </w:tabs>
              <w:spacing w:line="240" w:lineRule="auto"/>
              <w:rPr>
                <w:sz w:val="16"/>
                <w:szCs w:val="16"/>
              </w:rPr>
            </w:pPr>
            <w:r>
              <w:rPr>
                <w:sz w:val="16"/>
                <w:szCs w:val="16"/>
              </w:rPr>
              <w:t>Best Practice</w:t>
            </w:r>
          </w:p>
        </w:tc>
        <w:tc>
          <w:tcPr>
            <w:tcW w:w="4080" w:type="dxa"/>
            <w:shd w:val="clear" w:color="auto" w:fill="auto"/>
            <w:tcMar>
              <w:top w:w="100" w:type="dxa"/>
              <w:left w:w="100" w:type="dxa"/>
              <w:bottom w:w="100" w:type="dxa"/>
              <w:right w:w="100" w:type="dxa"/>
            </w:tcMar>
          </w:tcPr>
          <w:p w14:paraId="66E6BF43" w14:textId="77777777" w:rsidR="0009302C" w:rsidRDefault="0009302C" w:rsidP="00E23D39">
            <w:pPr>
              <w:widowControl w:val="0"/>
              <w:tabs>
                <w:tab w:val="left" w:pos="2835"/>
              </w:tabs>
              <w:spacing w:line="240" w:lineRule="auto"/>
              <w:rPr>
                <w:sz w:val="16"/>
                <w:szCs w:val="16"/>
              </w:rPr>
            </w:pPr>
            <w:r>
              <w:rPr>
                <w:sz w:val="16"/>
                <w:szCs w:val="16"/>
              </w:rPr>
              <w:t xml:space="preserve">After a specific norm is formulated, investigators can develop interventions to enact this norm. These interventions will provide measurable outcomes to determine whether the intervention has succeeded or failed to enact the specific norm. As data accumulate from studies of interventions, investigators and ethicists can identify best practices. Once these best practices are identified, they should be disseminated broadly, occasionally with the backing of policy change. </w:t>
            </w:r>
          </w:p>
        </w:tc>
        <w:tc>
          <w:tcPr>
            <w:tcW w:w="3855" w:type="dxa"/>
            <w:shd w:val="clear" w:color="auto" w:fill="auto"/>
            <w:tcMar>
              <w:top w:w="100" w:type="dxa"/>
              <w:left w:w="100" w:type="dxa"/>
              <w:bottom w:w="100" w:type="dxa"/>
              <w:right w:w="100" w:type="dxa"/>
            </w:tcMar>
          </w:tcPr>
          <w:p w14:paraId="3D446AD8" w14:textId="2DD86EED" w:rsidR="0009302C" w:rsidRDefault="0009302C" w:rsidP="00E23D39">
            <w:pPr>
              <w:widowControl w:val="0"/>
              <w:tabs>
                <w:tab w:val="left" w:pos="2835"/>
              </w:tabs>
              <w:spacing w:line="240" w:lineRule="auto"/>
              <w:rPr>
                <w:sz w:val="16"/>
                <w:szCs w:val="16"/>
              </w:rPr>
            </w:pPr>
            <w:r>
              <w:rPr>
                <w:sz w:val="16"/>
                <w:szCs w:val="16"/>
              </w:rPr>
              <w:t xml:space="preserve">Master et al.: Conflicts of interest policies for authors, peer reviewers, and editors of bioethics journals </w:t>
            </w:r>
            <w:r>
              <w:rPr>
                <w:sz w:val="16"/>
                <w:szCs w:val="16"/>
              </w:rPr>
              <w:fldChar w:fldCharType="begin"/>
            </w:r>
            <w:r w:rsidR="001170B1">
              <w:rPr>
                <w:sz w:val="16"/>
                <w:szCs w:val="16"/>
              </w:rPr>
              <w:instrText xml:space="preserve"> ADDIN ZOTERO_ITEM CSL_CITATION {"citationID":"M3E3hUcS","properties":{"formattedCitation":"(5)","plainCitation":"(5)","noteIndex":0},"citationItems":[{"id":727,"uris":["http://zotero.org/users/5958023/items/9MKD72T7"],"itemData":{"id":727,"type":"article-journal","abstract":"BACKGROUND: In biomedical research, there have been numerous scandals highlighting conflicts of interest (COIs) leading to significant bias in judgment and questionable practices. Academic institutions, journals, and funding agencies have developed and enforced policies to mitigate issues related to COI, especially surrounding financial interests. After a case of editorial COI in a prominent bioethics journal, there is concern that the same level of oversight regarding COIs in the biomedical sciences may not apply to the field of bioethics. In this study, we examined the availability and comprehensiveness of COI policies for authors, peer reviewers, and editors of bioethics journals. METHODS: After developing a codebook, we analyzed the content of online COI policies of 63 bioethics journals, along with policy information provided by journal editors that was not publicly available. RESULTS: Just over half of the bioethics journals had COI policies for authors (57%), and only 25% for peer reviewers and 19% for editors. There was significant variation among policies regarding definitions, the types of COIs described, the management mechanisms, and the consequences for noncompliance. Definitions and descriptions centered on financial COIs, followed by personal and professional relationships. Almost all COI policies required disclosure of interests for authors as the primary management mechanism. Very few journals outlined consequences for noncompliance with COI policies or provided additional resources. CONCLUSION: Compared to other studies of biomedical journals, a much lower percentage of bioethics journals have COI policies and these vary substantially in content. The bioethics publishing community needs to develop robust policies for authors, peer reviewers, and editors and these should be made publicly available to enhance academic and public trust in bioethics scholarship.","container-title":"AJOB empirical bioethics","ISSN":"2329-4523","issue":"3","language":"English","note":"Citation Key: 30248000","page":"194-205","title":"Conflicts of interest policies for authors, peer reviewers, and editors of bioethics journals.","volume":"9","author":[{"family":"Master","given":"Zubin"},{"family":"Werner","given":"Kelly"},{"family":"Smith","given":"Elise"},{"family":"Resnik","given":"David B"},{"family":"Williams-Jones","given":"Bryn"}],"issued":{"date-parts":[["2018",7]]},"citation-key":"30248000"}}],"schema":"https://github.com/citation-style-language/schema/raw/master/csl-citation.json"} </w:instrText>
            </w:r>
            <w:r>
              <w:rPr>
                <w:sz w:val="16"/>
                <w:szCs w:val="16"/>
              </w:rPr>
              <w:fldChar w:fldCharType="separate"/>
            </w:r>
            <w:r w:rsidR="001170B1">
              <w:rPr>
                <w:noProof/>
                <w:sz w:val="16"/>
                <w:szCs w:val="16"/>
              </w:rPr>
              <w:t>(5)</w:t>
            </w:r>
            <w:r>
              <w:rPr>
                <w:sz w:val="16"/>
                <w:szCs w:val="16"/>
              </w:rPr>
              <w:fldChar w:fldCharType="end"/>
            </w:r>
          </w:p>
          <w:p w14:paraId="04C3C3D4" w14:textId="77777777" w:rsidR="0009302C" w:rsidRDefault="0009302C" w:rsidP="00E23D39">
            <w:pPr>
              <w:widowControl w:val="0"/>
              <w:numPr>
                <w:ilvl w:val="0"/>
                <w:numId w:val="1"/>
              </w:numPr>
              <w:tabs>
                <w:tab w:val="left" w:pos="2835"/>
              </w:tabs>
              <w:spacing w:line="240" w:lineRule="auto"/>
              <w:rPr>
                <w:sz w:val="16"/>
                <w:szCs w:val="16"/>
              </w:rPr>
            </w:pPr>
            <w:r>
              <w:rPr>
                <w:sz w:val="16"/>
                <w:szCs w:val="16"/>
              </w:rPr>
              <w:t xml:space="preserve">Aim: To evaluate the availability and comprehensiveness of </w:t>
            </w:r>
            <w:proofErr w:type="gramStart"/>
            <w:r>
              <w:rPr>
                <w:sz w:val="16"/>
                <w:szCs w:val="16"/>
              </w:rPr>
              <w:t>conflict of interest</w:t>
            </w:r>
            <w:proofErr w:type="gramEnd"/>
            <w:r>
              <w:rPr>
                <w:sz w:val="16"/>
                <w:szCs w:val="16"/>
              </w:rPr>
              <w:t xml:space="preserve"> policies </w:t>
            </w:r>
          </w:p>
          <w:p w14:paraId="653C49F2" w14:textId="77777777" w:rsidR="0009302C" w:rsidRDefault="0009302C" w:rsidP="00E23D39">
            <w:pPr>
              <w:widowControl w:val="0"/>
              <w:tabs>
                <w:tab w:val="left" w:pos="2835"/>
              </w:tabs>
              <w:spacing w:line="240" w:lineRule="auto"/>
              <w:rPr>
                <w:sz w:val="16"/>
                <w:szCs w:val="16"/>
              </w:rPr>
            </w:pPr>
          </w:p>
          <w:p w14:paraId="54EDB004" w14:textId="5BA540A2" w:rsidR="0009302C" w:rsidRDefault="0009302C" w:rsidP="00E23D39">
            <w:pPr>
              <w:widowControl w:val="0"/>
              <w:tabs>
                <w:tab w:val="left" w:pos="2835"/>
              </w:tabs>
              <w:spacing w:line="240" w:lineRule="auto"/>
              <w:rPr>
                <w:sz w:val="16"/>
                <w:szCs w:val="16"/>
              </w:rPr>
            </w:pPr>
            <w:r>
              <w:rPr>
                <w:sz w:val="16"/>
                <w:szCs w:val="16"/>
              </w:rPr>
              <w:t xml:space="preserve">Somers, Van </w:t>
            </w:r>
            <w:proofErr w:type="spellStart"/>
            <w:r>
              <w:rPr>
                <w:sz w:val="16"/>
                <w:szCs w:val="16"/>
              </w:rPr>
              <w:t>Staden</w:t>
            </w:r>
            <w:proofErr w:type="spellEnd"/>
            <w:r>
              <w:rPr>
                <w:sz w:val="16"/>
                <w:szCs w:val="16"/>
              </w:rPr>
              <w:t xml:space="preserve"> and Steffens: Views of clinical trial participants on the readability and their understanding of informed consent documents </w:t>
            </w:r>
            <w:r>
              <w:rPr>
                <w:sz w:val="16"/>
                <w:szCs w:val="16"/>
              </w:rPr>
              <w:fldChar w:fldCharType="begin"/>
            </w:r>
            <w:r w:rsidR="001170B1">
              <w:rPr>
                <w:sz w:val="16"/>
                <w:szCs w:val="16"/>
              </w:rPr>
              <w:instrText xml:space="preserve"> ADDIN ZOTERO_ITEM CSL_CITATION {"citationID":"kD2nHfPJ","properties":{"formattedCitation":"(6)","plainCitation":"(6)","noteIndex":0},"citationItems":[{"id":765,"uris":["http://zotero.org/users/5958023/items/FYUUIMR6"],"itemData":{"id":765,"type":"article-journal","abstract":"BACKGROUND: One of the ethical imperatives for a valid consent process in clinical medication trials is that the process be guided by and recorded in an informed consent document (ICD). Concerns have been expressed, however, about readability and participant understanding of ICDs, which are often 10-20 pages long. Objective measures of readability and understanding have been used to support these concerns in several articles, but surprisingly the voice of trial participants on ICDs has not been heard in previous studies. Hence, this study compares participants' subjective views on readability and their understanding of ICDs with those ICDs' objective readability scores. It also evaluates whether family, friends, and additional aids would foster better understanding of the ICD. METHODS: Sixty current trial participants rated the readability and their understanding of deidentified standard ICDs. These had been sourced from two multicenter international Phase III trials on medication for diabetes mellitus and cancer. RESULTS: Less than 10% of participants considered the ICDs difficult to read or difficult to understand in spite of objective readability scores at levels of about 12th grade education, but about a quarter considered the ICDs to be too technical. Participants gave mixed responses about friends or family members helping or the need for videos, pictures, additional reading material, and frequently answered questions (FAQ) sheets as an aid to their understanding. CONCLUSIONS: These findings suggest individual clinical trial participants should be engaged on their views of an ICD, for doing so is part of informed consent as a process rather than consent being merely focused on written information. Such participant-specific engagement should guide whether family and friends, videos, pictures, additional reading material, and FAQ sheets would be of assistance in improving understanding.","container-title":"AJOB empirical bioethics","ISSN":"2329-4523","issue":"4","language":"English","note":"Citation Key: 29111872","page":"277-284","title":"Views of clinical trial participants on the readability and their understanding of informed consent documents.","volume":"8","author":[{"family":"Somers","given":"Rita"},{"family":"Van Staden","given":"Cornelius"},{"family":"Steffens","given":"Francois"}],"issued":{"date-parts":[["2017",10]]},"citation-key":"29111872"}}],"schema":"https://github.com/citation-style-language/schema/raw/master/csl-citation.json"} </w:instrText>
            </w:r>
            <w:r>
              <w:rPr>
                <w:sz w:val="16"/>
                <w:szCs w:val="16"/>
              </w:rPr>
              <w:fldChar w:fldCharType="separate"/>
            </w:r>
            <w:r w:rsidR="001170B1">
              <w:rPr>
                <w:noProof/>
                <w:sz w:val="16"/>
                <w:szCs w:val="16"/>
              </w:rPr>
              <w:t>(6)</w:t>
            </w:r>
            <w:r>
              <w:rPr>
                <w:sz w:val="16"/>
                <w:szCs w:val="16"/>
              </w:rPr>
              <w:fldChar w:fldCharType="end"/>
            </w:r>
            <w:r>
              <w:rPr>
                <w:sz w:val="16"/>
                <w:szCs w:val="16"/>
              </w:rPr>
              <w:t xml:space="preserve"> </w:t>
            </w:r>
          </w:p>
          <w:p w14:paraId="3D8660E5" w14:textId="77777777" w:rsidR="0009302C" w:rsidRDefault="0009302C" w:rsidP="00E23D39">
            <w:pPr>
              <w:widowControl w:val="0"/>
              <w:numPr>
                <w:ilvl w:val="0"/>
                <w:numId w:val="2"/>
              </w:numPr>
              <w:tabs>
                <w:tab w:val="left" w:pos="2835"/>
              </w:tabs>
              <w:spacing w:line="240" w:lineRule="auto"/>
              <w:rPr>
                <w:sz w:val="16"/>
                <w:szCs w:val="16"/>
              </w:rPr>
            </w:pPr>
            <w:r>
              <w:rPr>
                <w:sz w:val="16"/>
                <w:szCs w:val="16"/>
              </w:rPr>
              <w:t xml:space="preserve">Aim: To evaluate the readability and subjective understanding of deidentified standard informed consent document. </w:t>
            </w:r>
          </w:p>
        </w:tc>
      </w:tr>
    </w:tbl>
    <w:p w14:paraId="5759DF93" w14:textId="6906D7EB" w:rsidR="001E4086" w:rsidRDefault="00231254"/>
    <w:p w14:paraId="576C0D71" w14:textId="77777777" w:rsidR="001170B1" w:rsidRPr="001170B1" w:rsidRDefault="001170B1" w:rsidP="001170B1">
      <w:pPr>
        <w:pStyle w:val="Bibliography"/>
      </w:pPr>
      <w:r>
        <w:fldChar w:fldCharType="begin"/>
      </w:r>
      <w:r>
        <w:instrText xml:space="preserve"> ADDIN ZOTERO_BIBL {"uncited":[],"omitted":[],"custom":[]} CSL_BIBLIOGRAPHY </w:instrText>
      </w:r>
      <w:r>
        <w:fldChar w:fldCharType="separate"/>
      </w:r>
      <w:r w:rsidRPr="001170B1">
        <w:t xml:space="preserve">1. </w:t>
      </w:r>
      <w:r w:rsidRPr="001170B1">
        <w:tab/>
      </w:r>
      <w:proofErr w:type="spellStart"/>
      <w:r w:rsidRPr="001170B1">
        <w:t>Eklöf</w:t>
      </w:r>
      <w:proofErr w:type="spellEnd"/>
      <w:r w:rsidRPr="001170B1">
        <w:t xml:space="preserve"> N, </w:t>
      </w:r>
      <w:proofErr w:type="spellStart"/>
      <w:r w:rsidRPr="001170B1">
        <w:t>Hupli</w:t>
      </w:r>
      <w:proofErr w:type="spellEnd"/>
      <w:r w:rsidRPr="001170B1">
        <w:t xml:space="preserve"> M, </w:t>
      </w:r>
      <w:proofErr w:type="spellStart"/>
      <w:r w:rsidRPr="001170B1">
        <w:t>Leino-Kilpi</w:t>
      </w:r>
      <w:proofErr w:type="spellEnd"/>
      <w:r w:rsidRPr="001170B1">
        <w:t xml:space="preserve"> H. Factors related to privacy of Somali refugees in health care. </w:t>
      </w:r>
      <w:proofErr w:type="spellStart"/>
      <w:r w:rsidRPr="001170B1">
        <w:t>Nurs</w:t>
      </w:r>
      <w:proofErr w:type="spellEnd"/>
      <w:r w:rsidRPr="001170B1">
        <w:t xml:space="preserve"> Ethics. 2020 Mar;27(2):514–26. </w:t>
      </w:r>
    </w:p>
    <w:p w14:paraId="674C93B8" w14:textId="77777777" w:rsidR="001170B1" w:rsidRPr="001170B1" w:rsidRDefault="001170B1" w:rsidP="001170B1">
      <w:pPr>
        <w:pStyle w:val="Bibliography"/>
      </w:pPr>
      <w:r w:rsidRPr="001170B1">
        <w:t xml:space="preserve">2. </w:t>
      </w:r>
      <w:r w:rsidRPr="001170B1">
        <w:tab/>
        <w:t xml:space="preserve">Abdalla SM, </w:t>
      </w:r>
      <w:proofErr w:type="spellStart"/>
      <w:r w:rsidRPr="001170B1">
        <w:t>Mahgoub</w:t>
      </w:r>
      <w:proofErr w:type="spellEnd"/>
      <w:r w:rsidRPr="001170B1">
        <w:t xml:space="preserve"> EA, </w:t>
      </w:r>
      <w:proofErr w:type="spellStart"/>
      <w:r w:rsidRPr="001170B1">
        <w:t>Abdelgadir</w:t>
      </w:r>
      <w:proofErr w:type="spellEnd"/>
      <w:r w:rsidRPr="001170B1">
        <w:t xml:space="preserve"> J, Elhassan N, Omer Z. Operationalization of patients’ rights in Sudan: Quantifying nurses’ knowledge. </w:t>
      </w:r>
      <w:proofErr w:type="spellStart"/>
      <w:r w:rsidRPr="001170B1">
        <w:t>Nurs</w:t>
      </w:r>
      <w:proofErr w:type="spellEnd"/>
      <w:r w:rsidRPr="001170B1">
        <w:t xml:space="preserve"> Ethics. 2018 Oct;969733018787224. </w:t>
      </w:r>
    </w:p>
    <w:p w14:paraId="7FCBFAB8" w14:textId="77777777" w:rsidR="001170B1" w:rsidRPr="001170B1" w:rsidRDefault="001170B1" w:rsidP="001170B1">
      <w:pPr>
        <w:pStyle w:val="Bibliography"/>
      </w:pPr>
      <w:r w:rsidRPr="001170B1">
        <w:t xml:space="preserve">3. </w:t>
      </w:r>
      <w:r w:rsidRPr="001170B1">
        <w:tab/>
      </w:r>
      <w:proofErr w:type="spellStart"/>
      <w:r w:rsidRPr="001170B1">
        <w:t>Lazzari</w:t>
      </w:r>
      <w:proofErr w:type="spellEnd"/>
      <w:r w:rsidRPr="001170B1">
        <w:t xml:space="preserve"> T, </w:t>
      </w:r>
      <w:proofErr w:type="spellStart"/>
      <w:r w:rsidRPr="001170B1">
        <w:t>Terzoni</w:t>
      </w:r>
      <w:proofErr w:type="spellEnd"/>
      <w:r w:rsidRPr="001170B1">
        <w:t xml:space="preserve"> S, </w:t>
      </w:r>
      <w:proofErr w:type="spellStart"/>
      <w:r w:rsidRPr="001170B1">
        <w:t>Destrebecq</w:t>
      </w:r>
      <w:proofErr w:type="spellEnd"/>
      <w:r w:rsidRPr="001170B1">
        <w:t xml:space="preserve"> A, </w:t>
      </w:r>
      <w:proofErr w:type="spellStart"/>
      <w:r w:rsidRPr="001170B1">
        <w:t>Meani</w:t>
      </w:r>
      <w:proofErr w:type="spellEnd"/>
      <w:r w:rsidRPr="001170B1">
        <w:t xml:space="preserve"> L, Bonetti L, Ferrara P. Moral distress in correctional nurses: A national survey. </w:t>
      </w:r>
      <w:proofErr w:type="spellStart"/>
      <w:r w:rsidRPr="001170B1">
        <w:t>Nurs</w:t>
      </w:r>
      <w:proofErr w:type="spellEnd"/>
      <w:r w:rsidRPr="001170B1">
        <w:t xml:space="preserve"> Ethics. 2019 Apr;969733019834976. </w:t>
      </w:r>
    </w:p>
    <w:p w14:paraId="4F5E4EDE" w14:textId="77777777" w:rsidR="001170B1" w:rsidRPr="001170B1" w:rsidRDefault="001170B1" w:rsidP="001170B1">
      <w:pPr>
        <w:pStyle w:val="Bibliography"/>
      </w:pPr>
      <w:r w:rsidRPr="001170B1">
        <w:t xml:space="preserve">4. </w:t>
      </w:r>
      <w:r w:rsidRPr="001170B1">
        <w:tab/>
      </w:r>
      <w:proofErr w:type="spellStart"/>
      <w:r w:rsidRPr="001170B1">
        <w:t>Torabi</w:t>
      </w:r>
      <w:proofErr w:type="spellEnd"/>
      <w:r w:rsidRPr="001170B1">
        <w:t xml:space="preserve"> M, </w:t>
      </w:r>
      <w:proofErr w:type="spellStart"/>
      <w:r w:rsidRPr="001170B1">
        <w:t>Borhani</w:t>
      </w:r>
      <w:proofErr w:type="spellEnd"/>
      <w:r w:rsidRPr="001170B1">
        <w:t xml:space="preserve"> F, </w:t>
      </w:r>
      <w:proofErr w:type="spellStart"/>
      <w:r w:rsidRPr="001170B1">
        <w:t>Abbaszadeh</w:t>
      </w:r>
      <w:proofErr w:type="spellEnd"/>
      <w:r w:rsidRPr="001170B1">
        <w:t xml:space="preserve"> A, </w:t>
      </w:r>
      <w:proofErr w:type="spellStart"/>
      <w:r w:rsidRPr="001170B1">
        <w:t>Atashzadeh-Shoorideh</w:t>
      </w:r>
      <w:proofErr w:type="spellEnd"/>
      <w:r w:rsidRPr="001170B1">
        <w:t xml:space="preserve"> F. Barriers to ethical decision-making for pre-hospital care professionals. </w:t>
      </w:r>
      <w:proofErr w:type="spellStart"/>
      <w:r w:rsidRPr="001170B1">
        <w:t>Nurs</w:t>
      </w:r>
      <w:proofErr w:type="spellEnd"/>
      <w:r w:rsidRPr="001170B1">
        <w:t xml:space="preserve"> Ethics. 2019 Jun;969733019848044. </w:t>
      </w:r>
    </w:p>
    <w:p w14:paraId="70047562" w14:textId="77777777" w:rsidR="001170B1" w:rsidRPr="001170B1" w:rsidRDefault="001170B1" w:rsidP="001170B1">
      <w:pPr>
        <w:pStyle w:val="Bibliography"/>
      </w:pPr>
      <w:r w:rsidRPr="001170B1">
        <w:t xml:space="preserve">5. </w:t>
      </w:r>
      <w:r w:rsidRPr="001170B1">
        <w:tab/>
        <w:t xml:space="preserve">Master Z, Werner K, Smith E, Resnik DB, Williams-Jones B. Conflicts of interest policies for authors, peer reviewers, and editors of bioethics journals. AJOB </w:t>
      </w:r>
      <w:proofErr w:type="spellStart"/>
      <w:r w:rsidRPr="001170B1">
        <w:t>Empir</w:t>
      </w:r>
      <w:proofErr w:type="spellEnd"/>
      <w:r w:rsidRPr="001170B1">
        <w:t xml:space="preserve"> </w:t>
      </w:r>
      <w:proofErr w:type="spellStart"/>
      <w:r w:rsidRPr="001170B1">
        <w:t>Bioeth</w:t>
      </w:r>
      <w:proofErr w:type="spellEnd"/>
      <w:r w:rsidRPr="001170B1">
        <w:t xml:space="preserve">. 2018 Jul;9(3):194–205. </w:t>
      </w:r>
    </w:p>
    <w:p w14:paraId="76182F87" w14:textId="77777777" w:rsidR="001170B1" w:rsidRPr="001170B1" w:rsidRDefault="001170B1" w:rsidP="001170B1">
      <w:pPr>
        <w:pStyle w:val="Bibliography"/>
      </w:pPr>
      <w:r w:rsidRPr="001170B1">
        <w:lastRenderedPageBreak/>
        <w:t xml:space="preserve">6. </w:t>
      </w:r>
      <w:r w:rsidRPr="001170B1">
        <w:tab/>
        <w:t xml:space="preserve">Somers R, Van </w:t>
      </w:r>
      <w:proofErr w:type="spellStart"/>
      <w:r w:rsidRPr="001170B1">
        <w:t>Staden</w:t>
      </w:r>
      <w:proofErr w:type="spellEnd"/>
      <w:r w:rsidRPr="001170B1">
        <w:t xml:space="preserve"> C, Steffens F. Views of clinical trial participants on the readability and their understanding of informed consent documents. AJOB </w:t>
      </w:r>
      <w:proofErr w:type="spellStart"/>
      <w:r w:rsidRPr="001170B1">
        <w:t>Empir</w:t>
      </w:r>
      <w:proofErr w:type="spellEnd"/>
      <w:r w:rsidRPr="001170B1">
        <w:t xml:space="preserve"> </w:t>
      </w:r>
      <w:proofErr w:type="spellStart"/>
      <w:r w:rsidRPr="001170B1">
        <w:t>Bioeth</w:t>
      </w:r>
      <w:proofErr w:type="spellEnd"/>
      <w:r w:rsidRPr="001170B1">
        <w:t xml:space="preserve">. 2017 Oct;8(4):277–84. </w:t>
      </w:r>
    </w:p>
    <w:p w14:paraId="4696344D" w14:textId="07E5AC4B" w:rsidR="0009302C" w:rsidRDefault="001170B1">
      <w:r>
        <w:fldChar w:fldCharType="end"/>
      </w:r>
    </w:p>
    <w:sectPr w:rsidR="0009302C" w:rsidSect="000909B0">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206A7"/>
    <w:multiLevelType w:val="multilevel"/>
    <w:tmpl w:val="CC8CBB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35608C"/>
    <w:multiLevelType w:val="multilevel"/>
    <w:tmpl w:val="3ADA3E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9B432E9"/>
    <w:multiLevelType w:val="multilevel"/>
    <w:tmpl w:val="8EC6E3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B2F00A6"/>
    <w:multiLevelType w:val="multilevel"/>
    <w:tmpl w:val="0A1AE3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2CA3E57"/>
    <w:multiLevelType w:val="multilevel"/>
    <w:tmpl w:val="87E26D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2E64C86"/>
    <w:multiLevelType w:val="multilevel"/>
    <w:tmpl w:val="FA9A9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16847781">
    <w:abstractNumId w:val="4"/>
  </w:num>
  <w:num w:numId="2" w16cid:durableId="801341153">
    <w:abstractNumId w:val="1"/>
  </w:num>
  <w:num w:numId="3" w16cid:durableId="1442845547">
    <w:abstractNumId w:val="5"/>
  </w:num>
  <w:num w:numId="4" w16cid:durableId="354310877">
    <w:abstractNumId w:val="0"/>
  </w:num>
  <w:num w:numId="5" w16cid:durableId="589123546">
    <w:abstractNumId w:val="3"/>
  </w:num>
  <w:num w:numId="6" w16cid:durableId="7387538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02C"/>
    <w:rsid w:val="000909B0"/>
    <w:rsid w:val="0009302C"/>
    <w:rsid w:val="001170B1"/>
    <w:rsid w:val="00146469"/>
    <w:rsid w:val="00231254"/>
    <w:rsid w:val="00355859"/>
    <w:rsid w:val="003B00C8"/>
    <w:rsid w:val="0064166F"/>
    <w:rsid w:val="0066440A"/>
    <w:rsid w:val="006F5D20"/>
    <w:rsid w:val="00912E7A"/>
    <w:rsid w:val="00E341A8"/>
    <w:rsid w:val="00EE347F"/>
    <w:rsid w:val="00F806F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6A555CF"/>
  <w15:chartTrackingRefBased/>
  <w15:docId w15:val="{4A2D275B-5555-0A43-9D65-03C8A7373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09302C"/>
    <w:pPr>
      <w:spacing w:line="276" w:lineRule="auto"/>
    </w:pPr>
    <w:rPr>
      <w:rFonts w:ascii="Arial" w:eastAsia="Arial" w:hAnsi="Arial" w:cs="Arial"/>
      <w:sz w:val="22"/>
      <w:szCs w:val="22"/>
      <w:lang w:val="en"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ibliography">
    <w:name w:val="Bibliography"/>
    <w:basedOn w:val="Standard"/>
    <w:link w:val="BibliographyZchn"/>
    <w:rsid w:val="001170B1"/>
    <w:pPr>
      <w:tabs>
        <w:tab w:val="left" w:pos="380"/>
      </w:tabs>
      <w:spacing w:after="240" w:line="240" w:lineRule="auto"/>
      <w:ind w:left="384" w:hanging="384"/>
    </w:pPr>
  </w:style>
  <w:style w:type="character" w:customStyle="1" w:styleId="BibliographyZchn">
    <w:name w:val="Bibliography Zchn"/>
    <w:basedOn w:val="Absatz-Standardschriftart"/>
    <w:link w:val="Bibliography"/>
    <w:rsid w:val="001170B1"/>
    <w:rPr>
      <w:rFonts w:ascii="Arial" w:eastAsia="Arial" w:hAnsi="Arial" w:cs="Arial"/>
      <w:sz w:val="22"/>
      <w:szCs w:val="22"/>
      <w:lang w:val="en"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3015</Words>
  <Characters>19000</Characters>
  <Application>Microsoft Office Word</Application>
  <DocSecurity>0</DocSecurity>
  <Lines>158</Lines>
  <Paragraphs>43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Schwietering</dc:creator>
  <cp:keywords/>
  <dc:description/>
  <cp:lastModifiedBy>Johannes Schwietering</cp:lastModifiedBy>
  <cp:revision>3</cp:revision>
  <dcterms:created xsi:type="dcterms:W3CDTF">2022-06-07T11:09:00Z</dcterms:created>
  <dcterms:modified xsi:type="dcterms:W3CDTF">2022-06-07T11:20:00Z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zotero-version="6.0.8"&gt;&lt;session id="eupVGjGM"/&gt;&lt;style id="http://www.zotero.org/styles/vancouver" locale="en-US" hasBibliography="1" bibliographyStyleHasBeenSet="1"/&gt;&lt;prefs&gt;&lt;pref name="fieldType" value="Field"/&gt;&lt;pref name="automatic</vt:lpwstr>
  </property>
  <property fmtid="{D5CDD505-2E9C-101B-9397-08002B2CF9AE}" pid="3" name="ZOTERO_PREF_2">
    <vt:lpwstr>JournalAbbreviations" value="true"/&gt;&lt;/prefs&gt;&lt;/data&gt;</vt:lpwstr>
  </property>
</Properties>
</file>