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0BBEF" w14:textId="67D32082" w:rsidR="00015F74" w:rsidRPr="00355362" w:rsidRDefault="00CC098C" w:rsidP="00B9440A">
      <w:pPr>
        <w:pStyle w:val="SMHeading"/>
      </w:pPr>
      <w:r>
        <w:rPr>
          <w:b w:val="0"/>
          <w:bCs w:val="0"/>
          <w:noProof/>
        </w:rPr>
        <w:drawing>
          <wp:anchor distT="0" distB="0" distL="114300" distR="114300" simplePos="0" relativeHeight="251658240" behindDoc="1" locked="0" layoutInCell="1" allowOverlap="1" wp14:anchorId="464D12BD" wp14:editId="0CAAAE79">
            <wp:simplePos x="0" y="0"/>
            <wp:positionH relativeFrom="column">
              <wp:posOffset>546832</wp:posOffset>
            </wp:positionH>
            <wp:positionV relativeFrom="paragraph">
              <wp:posOffset>530860</wp:posOffset>
            </wp:positionV>
            <wp:extent cx="4718304" cy="6437376"/>
            <wp:effectExtent l="0" t="0" r="0" b="1905"/>
            <wp:wrapTopAndBottom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304" cy="6437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030">
        <w:t xml:space="preserve">Supplementary </w:t>
      </w:r>
      <w:r w:rsidR="007411A1" w:rsidRPr="00355362">
        <w:t>Fig. 1.</w:t>
      </w:r>
    </w:p>
    <w:p w14:paraId="5A1D4B94" w14:textId="68BE4E6A" w:rsidR="002F1E71" w:rsidRDefault="002F1E71" w:rsidP="00B9440A">
      <w:pPr>
        <w:pStyle w:val="SMcaption"/>
        <w:rPr>
          <w:b/>
          <w:bCs/>
        </w:rPr>
      </w:pPr>
    </w:p>
    <w:p w14:paraId="50FF21D8" w14:textId="77777777" w:rsidR="002F1E71" w:rsidRDefault="002F1E71" w:rsidP="00B9440A">
      <w:pPr>
        <w:pStyle w:val="SMcaption"/>
        <w:rPr>
          <w:b/>
          <w:bCs/>
        </w:rPr>
      </w:pPr>
    </w:p>
    <w:p w14:paraId="2AD205DD" w14:textId="50912DC4" w:rsidR="002F1E71" w:rsidRPr="00E75660" w:rsidRDefault="002F1E71" w:rsidP="00B9440A">
      <w:pPr>
        <w:pStyle w:val="SMcaption"/>
        <w:rPr>
          <w:i/>
          <w:iCs/>
        </w:rPr>
      </w:pPr>
      <w:r w:rsidRPr="002F1E71">
        <w:rPr>
          <w:b/>
          <w:bCs/>
        </w:rPr>
        <w:t xml:space="preserve">Allele-selective editing of WT or </w:t>
      </w:r>
      <w:r w:rsidRPr="00F86FCB">
        <w:rPr>
          <w:b/>
          <w:bCs/>
          <w:i/>
          <w:iCs/>
        </w:rPr>
        <w:t>Obl</w:t>
      </w:r>
      <w:r w:rsidRPr="002F1E71">
        <w:rPr>
          <w:b/>
          <w:bCs/>
        </w:rPr>
        <w:t xml:space="preserve"> mutant </w:t>
      </w:r>
      <w:r w:rsidRPr="00F86FCB">
        <w:rPr>
          <w:b/>
          <w:bCs/>
          <w:i/>
          <w:iCs/>
        </w:rPr>
        <w:t>Atp2b2</w:t>
      </w:r>
      <w:r w:rsidRPr="002F1E71">
        <w:rPr>
          <w:b/>
          <w:bCs/>
        </w:rPr>
        <w:t xml:space="preserve"> gene in OC1 cell line</w:t>
      </w:r>
      <w:r w:rsidRPr="002F1E71">
        <w:t>. (</w:t>
      </w:r>
      <w:r w:rsidR="00F86FCB">
        <w:rPr>
          <w:b/>
          <w:bCs/>
        </w:rPr>
        <w:t>a</w:t>
      </w:r>
      <w:r w:rsidRPr="002F1E71">
        <w:t>) T7E1 assay of the DNA from the HEI-OC1 and Obl-OC1 cells nucleofected with RNP complexes. The two resulting DNA fragments from cleavage were indicated by asterisks. (</w:t>
      </w:r>
      <w:r w:rsidR="00F86FCB">
        <w:rPr>
          <w:b/>
          <w:bCs/>
        </w:rPr>
        <w:t>b</w:t>
      </w:r>
      <w:r w:rsidRPr="002F1E71">
        <w:t xml:space="preserve">) Distribution of the indels by NGS from the HEI-OC1 and Obl-OC1 cells nucleofected with RNP complexes. Columns and error bars represent the mean ± SD of three or more independent biological </w:t>
      </w:r>
      <w:r w:rsidRPr="002F1E71">
        <w:lastRenderedPageBreak/>
        <w:t>replicates. (</w:t>
      </w:r>
      <w:r w:rsidR="00F86FCB">
        <w:rPr>
          <w:b/>
          <w:bCs/>
        </w:rPr>
        <w:t>c</w:t>
      </w:r>
      <w:r w:rsidRPr="002F1E71">
        <w:t>) NGS analysis identified indel reads in the WT HEI-OC1 and Obl-OC1 cells nucleofected with three RNP complexes.</w:t>
      </w:r>
      <w:r w:rsidR="00E75660">
        <w:t xml:space="preserve"> The arrow points to the major editing event of 1 bp deletion by </w:t>
      </w:r>
      <w:r w:rsidR="00E75660">
        <w:rPr>
          <w:i/>
          <w:iCs/>
        </w:rPr>
        <w:t>Atp2b2-</w:t>
      </w:r>
      <w:r w:rsidR="00E75660" w:rsidRPr="00E75660">
        <w:t>Mut1</w:t>
      </w:r>
      <w:r w:rsidR="00E75660">
        <w:rPr>
          <w:i/>
          <w:iCs/>
        </w:rPr>
        <w:t xml:space="preserve"> </w:t>
      </w:r>
      <w:r w:rsidR="00E75660">
        <w:t xml:space="preserve">in the </w:t>
      </w:r>
      <w:r w:rsidR="00E75660" w:rsidRPr="00E75660">
        <w:t>Obl-OC1 cells</w:t>
      </w:r>
      <w:r w:rsidR="00E75660">
        <w:rPr>
          <w:i/>
          <w:iCs/>
        </w:rPr>
        <w:t>.</w:t>
      </w:r>
    </w:p>
    <w:p w14:paraId="205A3BC9" w14:textId="77BA0AA4" w:rsidR="009A5287" w:rsidRDefault="002F1E71" w:rsidP="002F1E71">
      <w:r>
        <w:br w:type="page"/>
      </w:r>
    </w:p>
    <w:p w14:paraId="48D90ECE" w14:textId="05FD1839" w:rsidR="0052785B" w:rsidRPr="00CC098C" w:rsidRDefault="00CC098C" w:rsidP="00670299">
      <w:pPr>
        <w:pStyle w:val="SMcaption"/>
        <w:rPr>
          <w:b/>
          <w:bCs/>
        </w:rPr>
      </w:pPr>
      <w:r w:rsidRPr="00CC098C">
        <w:rPr>
          <w:b/>
          <w:bCs/>
        </w:rPr>
        <w:lastRenderedPageBreak/>
        <w:t xml:space="preserve">Supplementary Fig. </w:t>
      </w:r>
      <w:r>
        <w:rPr>
          <w:b/>
          <w:bCs/>
        </w:rPr>
        <w:t>2</w:t>
      </w:r>
    </w:p>
    <w:p w14:paraId="58BAAA12" w14:textId="5996E77F" w:rsidR="00EB1307" w:rsidRDefault="00EB1307" w:rsidP="00670299">
      <w:pPr>
        <w:pStyle w:val="SMcaption"/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3160E67A" wp14:editId="343D4926">
            <wp:simplePos x="0" y="0"/>
            <wp:positionH relativeFrom="column">
              <wp:posOffset>812213</wp:posOffset>
            </wp:positionH>
            <wp:positionV relativeFrom="paragraph">
              <wp:posOffset>277885</wp:posOffset>
            </wp:positionV>
            <wp:extent cx="3860165" cy="6965950"/>
            <wp:effectExtent l="0" t="0" r="635" b="635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165" cy="696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47835" w14:textId="77777777" w:rsidR="00EB1307" w:rsidRDefault="00EB1307" w:rsidP="00670299">
      <w:pPr>
        <w:pStyle w:val="SMcaption"/>
        <w:rPr>
          <w:b/>
          <w:bCs/>
        </w:rPr>
      </w:pPr>
    </w:p>
    <w:p w14:paraId="2507BD7C" w14:textId="0D3BD419" w:rsidR="00670299" w:rsidRDefault="002F1E71" w:rsidP="00670299">
      <w:pPr>
        <w:pStyle w:val="SMcaption"/>
      </w:pPr>
      <w:r w:rsidRPr="002F1E71">
        <w:rPr>
          <w:b/>
          <w:bCs/>
        </w:rPr>
        <w:t>Off-target analysis by computational prediction and GUIDE-seq.</w:t>
      </w:r>
      <w:r w:rsidRPr="002F1E71">
        <w:t xml:space="preserve"> </w:t>
      </w:r>
      <w:r>
        <w:t>(</w:t>
      </w:r>
      <w:r w:rsidR="00D64873">
        <w:rPr>
          <w:b/>
          <w:bCs/>
        </w:rPr>
        <w:t>a</w:t>
      </w:r>
      <w:r>
        <w:rPr>
          <w:b/>
          <w:bCs/>
        </w:rPr>
        <w:t>)</w:t>
      </w:r>
      <w:r w:rsidRPr="002F1E71">
        <w:t xml:space="preserve"> WT allele and five off-target sites identified by computational prediction using the CRISPR Design Tool (</w:t>
      </w:r>
      <w:r w:rsidRPr="0052785B">
        <w:rPr>
          <w:i/>
          <w:iCs/>
        </w:rPr>
        <w:t>28</w:t>
      </w:r>
      <w:r w:rsidRPr="002F1E71">
        <w:t xml:space="preserve">). Mismatch positions are indicated counting the PAM as positions 21-23. </w:t>
      </w:r>
      <w:r w:rsidR="0052785B">
        <w:t>(</w:t>
      </w:r>
      <w:r w:rsidR="00D64873">
        <w:rPr>
          <w:b/>
          <w:bCs/>
        </w:rPr>
        <w:t>b</w:t>
      </w:r>
      <w:r w:rsidR="0052785B">
        <w:t>)</w:t>
      </w:r>
      <w:r w:rsidRPr="002F1E71">
        <w:t xml:space="preserve"> None of these loci </w:t>
      </w:r>
      <w:r w:rsidRPr="002F1E71">
        <w:lastRenderedPageBreak/>
        <w:t xml:space="preserve">were associated with hearing function. </w:t>
      </w:r>
      <w:r w:rsidR="0052785B">
        <w:t>(</w:t>
      </w:r>
      <w:r w:rsidR="00D64873">
        <w:rPr>
          <w:b/>
          <w:bCs/>
        </w:rPr>
        <w:t>c</w:t>
      </w:r>
      <w:r w:rsidR="0052785B">
        <w:t>)</w:t>
      </w:r>
      <w:r w:rsidRPr="002F1E71">
        <w:t xml:space="preserve"> Editing efficiency of predicted off-target loci analyzed by NGS in Obl-OC cells transfected with either RNP or plasmids DNA using a LONZA 4D-Nucleofector. The RNP delivery did not yield any off-target effect whereas the plasmid delivery showed the low-frequency editing at the WT and OT-4 loci. </w:t>
      </w:r>
      <w:r w:rsidR="0052785B">
        <w:t>(</w:t>
      </w:r>
      <w:r w:rsidR="00D64873">
        <w:rPr>
          <w:b/>
          <w:bCs/>
        </w:rPr>
        <w:t>d</w:t>
      </w:r>
      <w:r w:rsidR="0052785B">
        <w:t>)</w:t>
      </w:r>
      <w:r w:rsidRPr="002F1E71">
        <w:t xml:space="preserve"> Editing efficiency of predicted off-target loci analyzed by GUIDE-seq in Obl-OC cells transfected with Cas</w:t>
      </w:r>
      <w:proofErr w:type="gramStart"/>
      <w:r w:rsidRPr="002F1E71">
        <w:t>9;Atp</w:t>
      </w:r>
      <w:proofErr w:type="gramEnd"/>
      <w:r w:rsidRPr="002F1E71">
        <w:t xml:space="preserve">2b2-mut1 RNP. Consistent with NGS analysis of computationally predicted sites, no off-target loci were observed by GUIDE-seq method. </w:t>
      </w:r>
      <w:r w:rsidR="0052785B">
        <w:t>(</w:t>
      </w:r>
      <w:r w:rsidRPr="0052785B">
        <w:rPr>
          <w:b/>
          <w:bCs/>
        </w:rPr>
        <w:t>E</w:t>
      </w:r>
      <w:r w:rsidR="0052785B">
        <w:t>)</w:t>
      </w:r>
      <w:r w:rsidRPr="002F1E71">
        <w:t xml:space="preserve"> QUIDE-seq study on control gene Vbp1 in Obl-OC1 cells by RNP delivery of Cas9:Vbp1-gRNA identified multiple off-targets with varying frequencies shown by NGS. Mismatches compared to the on-target site are shown and highlighted in color.</w:t>
      </w:r>
    </w:p>
    <w:p w14:paraId="75DB8638" w14:textId="01B90969" w:rsidR="0052785B" w:rsidRDefault="0052785B">
      <w:r>
        <w:br w:type="page"/>
      </w:r>
    </w:p>
    <w:p w14:paraId="32AAA663" w14:textId="77777777" w:rsidR="0052785B" w:rsidRDefault="0052785B" w:rsidP="00670299">
      <w:pPr>
        <w:pStyle w:val="SMcaption"/>
      </w:pPr>
    </w:p>
    <w:p w14:paraId="2FD90803" w14:textId="47B14428" w:rsidR="0052785B" w:rsidRDefault="00CC098C" w:rsidP="00477182">
      <w:pPr>
        <w:pStyle w:val="SMcaption"/>
        <w:rPr>
          <w:b/>
          <w:bCs/>
        </w:rPr>
      </w:pPr>
      <w:r w:rsidRPr="00CC098C">
        <w:rPr>
          <w:b/>
          <w:bCs/>
        </w:rPr>
        <w:t xml:space="preserve">Supplementary Fig. </w:t>
      </w:r>
      <w:r>
        <w:rPr>
          <w:b/>
          <w:bCs/>
        </w:rPr>
        <w:t>3</w:t>
      </w:r>
    </w:p>
    <w:p w14:paraId="76907C42" w14:textId="1562AAD1" w:rsidR="00CC098C" w:rsidRDefault="00CC098C" w:rsidP="00477182">
      <w:pPr>
        <w:pStyle w:val="SMcaption"/>
        <w:rPr>
          <w:b/>
          <w:bCs/>
        </w:rPr>
      </w:pPr>
    </w:p>
    <w:p w14:paraId="053FCC5A" w14:textId="107AF104" w:rsidR="00CC098C" w:rsidRDefault="00CC098C" w:rsidP="00477182">
      <w:pPr>
        <w:pStyle w:val="SMcaption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77CDD13" wp14:editId="678E95D6">
            <wp:extent cx="5943600" cy="4881880"/>
            <wp:effectExtent l="0" t="0" r="0" b="0"/>
            <wp:docPr id="8" name="Picture 8" descr="Graphical user interface, 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chart, line 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DE24D" w14:textId="77777777" w:rsidR="00CC098C" w:rsidRDefault="00CC098C" w:rsidP="0052785B">
      <w:pPr>
        <w:pStyle w:val="SMcaption"/>
        <w:jc w:val="both"/>
        <w:rPr>
          <w:b/>
          <w:bCs/>
        </w:rPr>
      </w:pPr>
    </w:p>
    <w:p w14:paraId="7F2A0CB1" w14:textId="6417315E" w:rsidR="00477182" w:rsidRDefault="0052785B" w:rsidP="0052785B">
      <w:pPr>
        <w:pStyle w:val="SMcaption"/>
        <w:jc w:val="both"/>
      </w:pPr>
      <w:r w:rsidRPr="0052785B">
        <w:rPr>
          <w:b/>
          <w:bCs/>
        </w:rPr>
        <w:t xml:space="preserve">Long term rescue of OHC function and hearing by </w:t>
      </w:r>
      <w:r w:rsidRPr="00D64873">
        <w:rPr>
          <w:b/>
          <w:bCs/>
          <w:i/>
          <w:iCs/>
        </w:rPr>
        <w:t>in vivo</w:t>
      </w:r>
      <w:r w:rsidRPr="0052785B">
        <w:rPr>
          <w:b/>
          <w:bCs/>
        </w:rPr>
        <w:t xml:space="preserve"> lipid mediated delivery of Cas</w:t>
      </w:r>
      <w:proofErr w:type="gramStart"/>
      <w:r w:rsidRPr="0052785B">
        <w:rPr>
          <w:b/>
          <w:bCs/>
        </w:rPr>
        <w:t>9:sgRNA</w:t>
      </w:r>
      <w:proofErr w:type="gramEnd"/>
      <w:r w:rsidRPr="0052785B">
        <w:rPr>
          <w:b/>
          <w:bCs/>
        </w:rPr>
        <w:t>.</w:t>
      </w:r>
      <w:r w:rsidRPr="0052785B">
        <w:t xml:space="preserve"> Significantly reduced DPOAE thresholds in </w:t>
      </w:r>
      <w:r w:rsidRPr="00D64873">
        <w:rPr>
          <w:i/>
          <w:iCs/>
        </w:rPr>
        <w:t>Atp2b2</w:t>
      </w:r>
      <w:r w:rsidRPr="00D64873">
        <w:rPr>
          <w:i/>
          <w:iCs/>
          <w:vertAlign w:val="superscript"/>
        </w:rPr>
        <w:t>Obl/+</w:t>
      </w:r>
      <w:r w:rsidRPr="0052785B">
        <w:t xml:space="preserve"> ears injected with Cas9:Atp2b2-mut</w:t>
      </w:r>
      <w:proofErr w:type="gramStart"/>
      <w:r w:rsidRPr="0052785B">
        <w:t>1:Lipo</w:t>
      </w:r>
      <w:proofErr w:type="gramEnd"/>
      <w:r w:rsidRPr="0052785B">
        <w:t xml:space="preserve">2000 (blue) and uninjected </w:t>
      </w:r>
      <w:r w:rsidR="00D64873" w:rsidRPr="00D64873">
        <w:rPr>
          <w:i/>
          <w:iCs/>
        </w:rPr>
        <w:t>Atp2b2</w:t>
      </w:r>
      <w:r w:rsidR="00D64873" w:rsidRPr="00D64873">
        <w:rPr>
          <w:i/>
          <w:iCs/>
          <w:vertAlign w:val="superscript"/>
        </w:rPr>
        <w:t>Obl/+</w:t>
      </w:r>
      <w:r w:rsidRPr="0052785B">
        <w:t>ears (red) at (</w:t>
      </w:r>
      <w:r w:rsidR="00AF6230">
        <w:rPr>
          <w:b/>
          <w:bCs/>
        </w:rPr>
        <w:t>a</w:t>
      </w:r>
      <w:r w:rsidRPr="0052785B">
        <w:t>) 8 weeks, (</w:t>
      </w:r>
      <w:r w:rsidR="00AF6230">
        <w:rPr>
          <w:b/>
          <w:bCs/>
        </w:rPr>
        <w:t>b</w:t>
      </w:r>
      <w:r w:rsidRPr="0052785B">
        <w:t xml:space="preserve">) 16 weeks after the injection. Significantly reduced ABR thresholds in </w:t>
      </w:r>
      <w:r w:rsidR="00D64873" w:rsidRPr="00D64873">
        <w:rPr>
          <w:i/>
          <w:iCs/>
        </w:rPr>
        <w:t>Atp2b2</w:t>
      </w:r>
      <w:r w:rsidR="00D64873" w:rsidRPr="00D64873">
        <w:rPr>
          <w:i/>
          <w:iCs/>
          <w:vertAlign w:val="superscript"/>
        </w:rPr>
        <w:t>Obl/+</w:t>
      </w:r>
      <w:r w:rsidRPr="0052785B">
        <w:t xml:space="preserve">ears injected with Cas9:Atp2b2-mut1 </w:t>
      </w:r>
      <w:proofErr w:type="gramStart"/>
      <w:r w:rsidRPr="0052785B">
        <w:t>sgRNA:Lipo</w:t>
      </w:r>
      <w:proofErr w:type="gramEnd"/>
      <w:r w:rsidRPr="0052785B">
        <w:t xml:space="preserve">2000 (blue) and uninjected </w:t>
      </w:r>
      <w:r w:rsidR="00D64873" w:rsidRPr="00D64873">
        <w:rPr>
          <w:i/>
          <w:iCs/>
        </w:rPr>
        <w:t>Atp2b2</w:t>
      </w:r>
      <w:r w:rsidR="00D64873" w:rsidRPr="00D64873">
        <w:rPr>
          <w:i/>
          <w:iCs/>
          <w:vertAlign w:val="superscript"/>
        </w:rPr>
        <w:t>Obl/+</w:t>
      </w:r>
      <w:r w:rsidRPr="0052785B">
        <w:t xml:space="preserve"> ears (red) at (</w:t>
      </w:r>
      <w:r w:rsidR="00AF6230">
        <w:rPr>
          <w:b/>
          <w:bCs/>
        </w:rPr>
        <w:t>c</w:t>
      </w:r>
      <w:r w:rsidRPr="0052785B">
        <w:t>) 8 weeks, (</w:t>
      </w:r>
      <w:r w:rsidR="00AF6230">
        <w:rPr>
          <w:b/>
          <w:bCs/>
        </w:rPr>
        <w:t>d</w:t>
      </w:r>
      <w:r w:rsidRPr="0052785B">
        <w:t>) 16 weeks after the injection. Statistical tests were two-way ANOVA with Bonferroni correction for multiple comparisons: **p &lt; 0.01, ***p &lt; 0.001, and ****p &lt; 0.0001. Values and error bars reflect mean ± SEM.</w:t>
      </w:r>
    </w:p>
    <w:p w14:paraId="3FF03D25" w14:textId="275EB4B3" w:rsidR="008218C4" w:rsidRDefault="0052785B" w:rsidP="0052785B">
      <w:r>
        <w:br w:type="page"/>
      </w:r>
    </w:p>
    <w:p w14:paraId="5348BBF6" w14:textId="3522B5B9" w:rsidR="0052785B" w:rsidRDefault="00CC098C" w:rsidP="0052785B">
      <w:pPr>
        <w:pStyle w:val="SMcaption"/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6D78935" wp14:editId="094E6059">
            <wp:simplePos x="0" y="0"/>
            <wp:positionH relativeFrom="column">
              <wp:posOffset>679938</wp:posOffset>
            </wp:positionH>
            <wp:positionV relativeFrom="paragraph">
              <wp:posOffset>347199</wp:posOffset>
            </wp:positionV>
            <wp:extent cx="4297680" cy="5998464"/>
            <wp:effectExtent l="0" t="0" r="0" b="0"/>
            <wp:wrapTopAndBottom/>
            <wp:docPr id="9" name="Picture 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engineering draw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5998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98C">
        <w:rPr>
          <w:b/>
          <w:bCs/>
        </w:rPr>
        <w:t xml:space="preserve">Supplementary Fig. </w:t>
      </w:r>
      <w:r w:rsidRPr="00CC098C">
        <w:rPr>
          <w:b/>
          <w:bCs/>
        </w:rPr>
        <w:t>4</w:t>
      </w:r>
    </w:p>
    <w:p w14:paraId="27D3ADA8" w14:textId="3EA40363" w:rsidR="00CC098C" w:rsidRDefault="00CC098C" w:rsidP="0052785B">
      <w:pPr>
        <w:pStyle w:val="SMcaption"/>
        <w:jc w:val="both"/>
        <w:rPr>
          <w:b/>
          <w:bCs/>
        </w:rPr>
      </w:pPr>
    </w:p>
    <w:p w14:paraId="37D1E499" w14:textId="77777777" w:rsidR="00CC098C" w:rsidRPr="00CC098C" w:rsidRDefault="00CC098C" w:rsidP="0052785B">
      <w:pPr>
        <w:pStyle w:val="SMcaption"/>
        <w:jc w:val="both"/>
        <w:rPr>
          <w:b/>
          <w:bCs/>
        </w:rPr>
      </w:pPr>
    </w:p>
    <w:p w14:paraId="242E16FE" w14:textId="29F78C03" w:rsidR="009A5287" w:rsidRDefault="0052785B" w:rsidP="0052785B">
      <w:pPr>
        <w:pStyle w:val="SMcaption"/>
        <w:jc w:val="both"/>
      </w:pPr>
      <w:r w:rsidRPr="0052785B">
        <w:rPr>
          <w:b/>
          <w:bCs/>
        </w:rPr>
        <w:t>Hearing rescue is gRNA and Obl allele specific and depends on Cas9 DNA cleavage activity.</w:t>
      </w:r>
      <w:r w:rsidRPr="0052785B">
        <w:t xml:space="preserve"> </w:t>
      </w:r>
      <w:r>
        <w:t>(</w:t>
      </w:r>
      <w:r w:rsidR="00B64F72">
        <w:rPr>
          <w:b/>
          <w:bCs/>
        </w:rPr>
        <w:t>a</w:t>
      </w:r>
      <w:r>
        <w:t>)</w:t>
      </w:r>
      <w:r w:rsidRPr="0052785B">
        <w:t xml:space="preserve"> ABR and </w:t>
      </w:r>
      <w:r>
        <w:t>(</w:t>
      </w:r>
      <w:r w:rsidR="00B64F72">
        <w:rPr>
          <w:b/>
          <w:bCs/>
        </w:rPr>
        <w:t>b</w:t>
      </w:r>
      <w:r>
        <w:t>)</w:t>
      </w:r>
      <w:r w:rsidRPr="0052785B">
        <w:t xml:space="preserve"> DPOAE thresholds in </w:t>
      </w:r>
      <w:r w:rsidR="00B64F72" w:rsidRPr="00D64873">
        <w:rPr>
          <w:i/>
          <w:iCs/>
        </w:rPr>
        <w:t>Atp2b2</w:t>
      </w:r>
      <w:r w:rsidR="00B64F72" w:rsidRPr="00D64873">
        <w:rPr>
          <w:i/>
          <w:iCs/>
          <w:vertAlign w:val="superscript"/>
        </w:rPr>
        <w:t>Obl/+</w:t>
      </w:r>
      <w:r w:rsidRPr="0052785B">
        <w:t xml:space="preserve">ears injected with Cas9:Atp2b2-mut2 </w:t>
      </w:r>
      <w:proofErr w:type="gramStart"/>
      <w:r w:rsidRPr="0052785B">
        <w:t>sgRNA:Lipo</w:t>
      </w:r>
      <w:proofErr w:type="gramEnd"/>
      <w:r w:rsidRPr="0052785B">
        <w:t xml:space="preserve">2000 (blue) and uninjected </w:t>
      </w:r>
      <w:r w:rsidR="00B64F72" w:rsidRPr="00D64873">
        <w:rPr>
          <w:i/>
          <w:iCs/>
        </w:rPr>
        <w:t>Atp2b2</w:t>
      </w:r>
      <w:r w:rsidR="00B64F72" w:rsidRPr="00D64873">
        <w:rPr>
          <w:i/>
          <w:iCs/>
          <w:vertAlign w:val="superscript"/>
        </w:rPr>
        <w:t>Obl/+</w:t>
      </w:r>
      <w:r w:rsidRPr="0052785B">
        <w:t xml:space="preserve">ears (red) at four weeks. </w:t>
      </w:r>
      <w:r>
        <w:t>(</w:t>
      </w:r>
      <w:r w:rsidR="00B64F72">
        <w:rPr>
          <w:b/>
          <w:bCs/>
        </w:rPr>
        <w:t>c</w:t>
      </w:r>
      <w:r>
        <w:t>)</w:t>
      </w:r>
      <w:r w:rsidRPr="0052785B">
        <w:t xml:space="preserve"> ABR and </w:t>
      </w:r>
      <w:r>
        <w:t>(</w:t>
      </w:r>
      <w:r w:rsidR="00B64F72">
        <w:rPr>
          <w:b/>
          <w:bCs/>
        </w:rPr>
        <w:t>d</w:t>
      </w:r>
      <w:r>
        <w:t>)</w:t>
      </w:r>
      <w:r w:rsidRPr="0052785B">
        <w:t xml:space="preserve"> DPOAE thresholds in </w:t>
      </w:r>
      <w:r w:rsidR="00B64F72" w:rsidRPr="00D64873">
        <w:rPr>
          <w:i/>
          <w:iCs/>
        </w:rPr>
        <w:t>Atp2b2</w:t>
      </w:r>
      <w:r w:rsidR="00B64F72" w:rsidRPr="00D64873">
        <w:rPr>
          <w:i/>
          <w:iCs/>
          <w:vertAlign w:val="superscript"/>
        </w:rPr>
        <w:t>Obl/+</w:t>
      </w:r>
      <w:r w:rsidR="00B64F72">
        <w:rPr>
          <w:i/>
          <w:iCs/>
          <w:vertAlign w:val="superscript"/>
        </w:rPr>
        <w:t xml:space="preserve"> </w:t>
      </w:r>
      <w:r w:rsidRPr="0052785B">
        <w:t>ears injected with Cas</w:t>
      </w:r>
      <w:proofErr w:type="gramStart"/>
      <w:r w:rsidRPr="0052785B">
        <w:t>9:GFP</w:t>
      </w:r>
      <w:proofErr w:type="gramEnd"/>
      <w:r w:rsidRPr="0052785B">
        <w:t xml:space="preserve">-sgRNA:Lipo2000 (blue) and uninjected </w:t>
      </w:r>
      <w:r w:rsidR="00B64F72" w:rsidRPr="00D64873">
        <w:rPr>
          <w:i/>
          <w:iCs/>
        </w:rPr>
        <w:t>Atp2b2</w:t>
      </w:r>
      <w:r w:rsidR="00B64F72" w:rsidRPr="00D64873">
        <w:rPr>
          <w:i/>
          <w:iCs/>
          <w:vertAlign w:val="superscript"/>
        </w:rPr>
        <w:t>Obl/+</w:t>
      </w:r>
      <w:r w:rsidRPr="0052785B">
        <w:t xml:space="preserve"> ears (red) at four weeks. </w:t>
      </w:r>
      <w:r>
        <w:t>(</w:t>
      </w:r>
      <w:r w:rsidR="00B64F72">
        <w:rPr>
          <w:b/>
          <w:bCs/>
        </w:rPr>
        <w:t>e</w:t>
      </w:r>
      <w:r>
        <w:t>)</w:t>
      </w:r>
      <w:r w:rsidRPr="0052785B">
        <w:t xml:space="preserve"> ABR and </w:t>
      </w:r>
      <w:r>
        <w:t>(</w:t>
      </w:r>
      <w:r w:rsidR="00B64F72">
        <w:rPr>
          <w:b/>
          <w:bCs/>
        </w:rPr>
        <w:t>f</w:t>
      </w:r>
      <w:r>
        <w:t>)</w:t>
      </w:r>
      <w:r w:rsidRPr="0052785B">
        <w:t xml:space="preserve"> DPOAE thresholds in </w:t>
      </w:r>
      <w:r w:rsidR="00B64F72" w:rsidRPr="00D64873">
        <w:rPr>
          <w:i/>
          <w:iCs/>
        </w:rPr>
        <w:t>Atp2b2</w:t>
      </w:r>
      <w:r w:rsidR="00B64F72" w:rsidRPr="00D64873">
        <w:rPr>
          <w:i/>
          <w:iCs/>
          <w:vertAlign w:val="superscript"/>
        </w:rPr>
        <w:t>Obl/+</w:t>
      </w:r>
      <w:r w:rsidRPr="0052785B">
        <w:t xml:space="preserve"> ears injected with dCas9:Atp2b2-mut1 </w:t>
      </w:r>
      <w:proofErr w:type="gramStart"/>
      <w:r w:rsidRPr="0052785B">
        <w:t>sgRNA:Lipo</w:t>
      </w:r>
      <w:proofErr w:type="gramEnd"/>
      <w:r w:rsidRPr="0052785B">
        <w:t xml:space="preserve">2000 (blue) and uninjected </w:t>
      </w:r>
      <w:r w:rsidR="00B64F72" w:rsidRPr="00D64873">
        <w:rPr>
          <w:i/>
          <w:iCs/>
        </w:rPr>
        <w:t>Atp2b2</w:t>
      </w:r>
      <w:r w:rsidR="00B64F72" w:rsidRPr="00D64873">
        <w:rPr>
          <w:i/>
          <w:iCs/>
          <w:vertAlign w:val="superscript"/>
        </w:rPr>
        <w:t>Obl/+</w:t>
      </w:r>
      <w:r w:rsidRPr="0052785B">
        <w:t>ears (red) at four weeks.</w:t>
      </w:r>
    </w:p>
    <w:p w14:paraId="79022607" w14:textId="6279D20D" w:rsidR="00D2599F" w:rsidRDefault="00D2599F" w:rsidP="00D2599F">
      <w:r>
        <w:br w:type="page"/>
      </w:r>
    </w:p>
    <w:p w14:paraId="605B1901" w14:textId="7A20E50B" w:rsidR="00015F74" w:rsidRDefault="00CC098C" w:rsidP="00B9440A">
      <w:pPr>
        <w:pStyle w:val="SMHeading"/>
      </w:pPr>
      <w:r>
        <w:lastRenderedPageBreak/>
        <w:t xml:space="preserve">Supplementary </w:t>
      </w:r>
      <w:r w:rsidRPr="00355362">
        <w:t xml:space="preserve">Fig. </w:t>
      </w:r>
      <w:r>
        <w:t>5</w:t>
      </w:r>
    </w:p>
    <w:p w14:paraId="159C3465" w14:textId="5AFFE2D0" w:rsidR="00D2599F" w:rsidRDefault="00CC098C" w:rsidP="00477182">
      <w:pPr>
        <w:pStyle w:val="SMcaption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1E02F6AE" wp14:editId="7F829980">
            <wp:simplePos x="0" y="0"/>
            <wp:positionH relativeFrom="column">
              <wp:posOffset>617415</wp:posOffset>
            </wp:positionH>
            <wp:positionV relativeFrom="paragraph">
              <wp:posOffset>255563</wp:posOffset>
            </wp:positionV>
            <wp:extent cx="4290060" cy="6290945"/>
            <wp:effectExtent l="0" t="0" r="2540" b="0"/>
            <wp:wrapTopAndBottom/>
            <wp:docPr id="10" name="Picture 10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629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9E31A" w14:textId="77777777" w:rsidR="00D2599F" w:rsidRDefault="00D2599F" w:rsidP="00477182">
      <w:pPr>
        <w:pStyle w:val="SMcaption"/>
        <w:rPr>
          <w:b/>
          <w:bCs/>
        </w:rPr>
      </w:pPr>
    </w:p>
    <w:p w14:paraId="6E056F56" w14:textId="30F2ABD9" w:rsidR="009A5287" w:rsidRDefault="00E735C3" w:rsidP="00477182">
      <w:pPr>
        <w:pStyle w:val="SMcaption"/>
      </w:pPr>
      <w:r w:rsidRPr="00CC098C">
        <w:rPr>
          <w:b/>
          <w:bCs/>
          <w:i/>
          <w:iCs/>
        </w:rPr>
        <w:t>In vivo</w:t>
      </w:r>
      <w:r w:rsidRPr="00E735C3">
        <w:rPr>
          <w:b/>
          <w:bCs/>
        </w:rPr>
        <w:t xml:space="preserve"> gene editing partially rescues hearing of digenic mutation origin.</w:t>
      </w:r>
      <w:r w:rsidRPr="00E735C3">
        <w:t xml:space="preserve"> </w:t>
      </w:r>
      <w:r>
        <w:t>(</w:t>
      </w:r>
      <w:r w:rsidR="00D04142">
        <w:rPr>
          <w:b/>
          <w:bCs/>
        </w:rPr>
        <w:t>a</w:t>
      </w:r>
      <w:r>
        <w:t>)</w:t>
      </w:r>
      <w:r w:rsidRPr="00E735C3">
        <w:t xml:space="preserve"> ABR and </w:t>
      </w:r>
      <w:r>
        <w:t>(</w:t>
      </w:r>
      <w:r w:rsidR="00D04142">
        <w:rPr>
          <w:b/>
          <w:bCs/>
        </w:rPr>
        <w:t>b</w:t>
      </w:r>
      <w:r>
        <w:t>)</w:t>
      </w:r>
      <w:r w:rsidRPr="00E735C3">
        <w:t xml:space="preserve"> DPOAE thresholds in </w:t>
      </w:r>
      <w:r w:rsidR="00D04142" w:rsidRPr="00D64873">
        <w:rPr>
          <w:i/>
          <w:iCs/>
        </w:rPr>
        <w:t>Atp2b2</w:t>
      </w:r>
      <w:r w:rsidR="00D04142" w:rsidRPr="00D64873">
        <w:rPr>
          <w:i/>
          <w:iCs/>
          <w:vertAlign w:val="superscript"/>
        </w:rPr>
        <w:t>Obl</w:t>
      </w:r>
      <w:proofErr w:type="gramStart"/>
      <w:r w:rsidR="00D04142" w:rsidRPr="00D64873">
        <w:rPr>
          <w:i/>
          <w:iCs/>
          <w:vertAlign w:val="superscript"/>
        </w:rPr>
        <w:t>/</w:t>
      </w:r>
      <w:r w:rsidR="00D04142">
        <w:rPr>
          <w:i/>
          <w:iCs/>
        </w:rPr>
        <w:t>:</w:t>
      </w:r>
      <w:r w:rsidRPr="00D04142">
        <w:rPr>
          <w:i/>
          <w:iCs/>
        </w:rPr>
        <w:t>Tmc</w:t>
      </w:r>
      <w:proofErr w:type="gramEnd"/>
      <w:r w:rsidRPr="00D04142">
        <w:rPr>
          <w:i/>
          <w:iCs/>
        </w:rPr>
        <w:t>1</w:t>
      </w:r>
      <w:r w:rsidRPr="00D04142">
        <w:rPr>
          <w:i/>
          <w:iCs/>
          <w:vertAlign w:val="superscript"/>
        </w:rPr>
        <w:t>Bth/+</w:t>
      </w:r>
      <w:r w:rsidRPr="00E735C3">
        <w:t xml:space="preserve"> ears injected with Cas9:</w:t>
      </w:r>
      <w:r w:rsidRPr="00D04142">
        <w:rPr>
          <w:i/>
          <w:iCs/>
        </w:rPr>
        <w:t>Atp2b2</w:t>
      </w:r>
      <w:r w:rsidRPr="00E735C3">
        <w:t>-mut1:</w:t>
      </w:r>
      <w:r w:rsidRPr="00D04142">
        <w:rPr>
          <w:i/>
          <w:iCs/>
        </w:rPr>
        <w:t>Tmc1</w:t>
      </w:r>
      <w:r w:rsidRPr="00E735C3">
        <w:t xml:space="preserve">-mut3:Lipo2000 (blue) and uninjected </w:t>
      </w:r>
      <w:r w:rsidR="00D04142" w:rsidRPr="00D64873">
        <w:rPr>
          <w:i/>
          <w:iCs/>
        </w:rPr>
        <w:t>Atp2b2</w:t>
      </w:r>
      <w:r w:rsidR="00D04142" w:rsidRPr="00D64873">
        <w:rPr>
          <w:i/>
          <w:iCs/>
          <w:vertAlign w:val="superscript"/>
        </w:rPr>
        <w:t>Obl/</w:t>
      </w:r>
      <w:r w:rsidR="00D04142">
        <w:rPr>
          <w:i/>
          <w:iCs/>
        </w:rPr>
        <w:t>:</w:t>
      </w:r>
      <w:r w:rsidR="00D04142" w:rsidRPr="00D04142">
        <w:rPr>
          <w:i/>
          <w:iCs/>
        </w:rPr>
        <w:t>Tmc1</w:t>
      </w:r>
      <w:r w:rsidR="00D04142" w:rsidRPr="00D04142">
        <w:rPr>
          <w:i/>
          <w:iCs/>
          <w:vertAlign w:val="superscript"/>
        </w:rPr>
        <w:t>Bth/+</w:t>
      </w:r>
      <w:r w:rsidR="00D04142" w:rsidRPr="00E735C3">
        <w:t xml:space="preserve"> </w:t>
      </w:r>
      <w:r w:rsidRPr="00E735C3">
        <w:t xml:space="preserve">ears (red) at four weeks post injection. </w:t>
      </w:r>
      <w:r>
        <w:t>(</w:t>
      </w:r>
      <w:r w:rsidR="00D04142">
        <w:rPr>
          <w:b/>
          <w:bCs/>
        </w:rPr>
        <w:t>c</w:t>
      </w:r>
      <w:r>
        <w:t>)</w:t>
      </w:r>
      <w:r w:rsidRPr="00E735C3">
        <w:t xml:space="preserve"> ABR and </w:t>
      </w:r>
      <w:r>
        <w:t>(</w:t>
      </w:r>
      <w:r w:rsidR="00D04142">
        <w:rPr>
          <w:b/>
          <w:bCs/>
        </w:rPr>
        <w:t>d</w:t>
      </w:r>
      <w:r>
        <w:t>)</w:t>
      </w:r>
      <w:r w:rsidRPr="00E735C3">
        <w:t xml:space="preserve"> DPOAE thresholds in </w:t>
      </w:r>
      <w:r w:rsidR="00D04142" w:rsidRPr="00D64873">
        <w:rPr>
          <w:i/>
          <w:iCs/>
        </w:rPr>
        <w:t>Atp2b2</w:t>
      </w:r>
      <w:r w:rsidR="00D04142" w:rsidRPr="00D64873">
        <w:rPr>
          <w:i/>
          <w:iCs/>
          <w:vertAlign w:val="superscript"/>
        </w:rPr>
        <w:t>Obl</w:t>
      </w:r>
      <w:proofErr w:type="gramStart"/>
      <w:r w:rsidR="00D04142" w:rsidRPr="00D64873">
        <w:rPr>
          <w:i/>
          <w:iCs/>
          <w:vertAlign w:val="superscript"/>
        </w:rPr>
        <w:t>/</w:t>
      </w:r>
      <w:r w:rsidR="00D04142">
        <w:rPr>
          <w:i/>
          <w:iCs/>
        </w:rPr>
        <w:t>:</w:t>
      </w:r>
      <w:r w:rsidR="00D04142" w:rsidRPr="00D04142">
        <w:rPr>
          <w:i/>
          <w:iCs/>
        </w:rPr>
        <w:t>Tmc</w:t>
      </w:r>
      <w:proofErr w:type="gramEnd"/>
      <w:r w:rsidR="00D04142" w:rsidRPr="00D04142">
        <w:rPr>
          <w:i/>
          <w:iCs/>
        </w:rPr>
        <w:t>1</w:t>
      </w:r>
      <w:r w:rsidR="00D04142" w:rsidRPr="00D04142">
        <w:rPr>
          <w:i/>
          <w:iCs/>
          <w:vertAlign w:val="superscript"/>
        </w:rPr>
        <w:t>Bth/+</w:t>
      </w:r>
      <w:r w:rsidR="00D04142" w:rsidRPr="00E735C3">
        <w:t xml:space="preserve"> </w:t>
      </w:r>
      <w:proofErr w:type="spellStart"/>
      <w:r w:rsidRPr="00E735C3">
        <w:t>ars</w:t>
      </w:r>
      <w:proofErr w:type="spellEnd"/>
      <w:r w:rsidRPr="00E735C3">
        <w:t xml:space="preserve"> injected with Cas9:Tmc1-mut3:Lipo2000 (blue) and uninjected </w:t>
      </w:r>
      <w:r w:rsidR="00D04142" w:rsidRPr="00D64873">
        <w:rPr>
          <w:i/>
          <w:iCs/>
        </w:rPr>
        <w:t>Atp2b2</w:t>
      </w:r>
      <w:r w:rsidR="00D04142" w:rsidRPr="00D64873">
        <w:rPr>
          <w:i/>
          <w:iCs/>
          <w:vertAlign w:val="superscript"/>
        </w:rPr>
        <w:t>Obl/</w:t>
      </w:r>
      <w:r w:rsidR="00D04142">
        <w:rPr>
          <w:i/>
          <w:iCs/>
        </w:rPr>
        <w:t>:</w:t>
      </w:r>
      <w:r w:rsidR="00D04142" w:rsidRPr="00D04142">
        <w:rPr>
          <w:i/>
          <w:iCs/>
        </w:rPr>
        <w:t>Tmc1</w:t>
      </w:r>
      <w:r w:rsidR="00D04142" w:rsidRPr="00D04142">
        <w:rPr>
          <w:i/>
          <w:iCs/>
          <w:vertAlign w:val="superscript"/>
        </w:rPr>
        <w:t>Bth/+</w:t>
      </w:r>
      <w:r w:rsidR="00D04142" w:rsidRPr="00E735C3">
        <w:t xml:space="preserve"> </w:t>
      </w:r>
      <w:r w:rsidRPr="00E735C3">
        <w:t xml:space="preserve">ears (red) at four weeks. </w:t>
      </w:r>
      <w:r>
        <w:t>(</w:t>
      </w:r>
      <w:r w:rsidR="00D04142">
        <w:rPr>
          <w:b/>
          <w:bCs/>
        </w:rPr>
        <w:t>e</w:t>
      </w:r>
      <w:r>
        <w:t>)</w:t>
      </w:r>
      <w:r w:rsidRPr="00E735C3">
        <w:t xml:space="preserve"> ABR and </w:t>
      </w:r>
      <w:r>
        <w:t>(</w:t>
      </w:r>
      <w:r w:rsidRPr="00E735C3">
        <w:rPr>
          <w:b/>
          <w:bCs/>
        </w:rPr>
        <w:t>F</w:t>
      </w:r>
      <w:r>
        <w:t>)</w:t>
      </w:r>
      <w:r w:rsidRPr="00E735C3">
        <w:t xml:space="preserve"> DPOAE thresholds in </w:t>
      </w:r>
      <w:r w:rsidR="00D04142" w:rsidRPr="00D64873">
        <w:rPr>
          <w:i/>
          <w:iCs/>
        </w:rPr>
        <w:t>Atp2b2</w:t>
      </w:r>
      <w:r w:rsidR="00D04142" w:rsidRPr="00D64873">
        <w:rPr>
          <w:i/>
          <w:iCs/>
          <w:vertAlign w:val="superscript"/>
        </w:rPr>
        <w:t>Obl/</w:t>
      </w:r>
      <w:r w:rsidR="00D04142">
        <w:rPr>
          <w:i/>
          <w:iCs/>
        </w:rPr>
        <w:t>:</w:t>
      </w:r>
      <w:r w:rsidR="00D04142" w:rsidRPr="00D04142">
        <w:rPr>
          <w:i/>
          <w:iCs/>
        </w:rPr>
        <w:t>Tmc1</w:t>
      </w:r>
      <w:r w:rsidR="00D04142" w:rsidRPr="00D04142">
        <w:rPr>
          <w:i/>
          <w:iCs/>
          <w:vertAlign w:val="superscript"/>
        </w:rPr>
        <w:t>Bth/+</w:t>
      </w:r>
      <w:r w:rsidRPr="00E735C3">
        <w:t xml:space="preserve">ears injected with Cas9:Atp2b2-mut1 sgRNA:Lipo2000 (blue) and uninjected </w:t>
      </w:r>
      <w:r w:rsidR="00D04142" w:rsidRPr="00D64873">
        <w:rPr>
          <w:i/>
          <w:iCs/>
        </w:rPr>
        <w:t>Atp2b2</w:t>
      </w:r>
      <w:r w:rsidR="00D04142" w:rsidRPr="00D64873">
        <w:rPr>
          <w:i/>
          <w:iCs/>
          <w:vertAlign w:val="superscript"/>
        </w:rPr>
        <w:t>Obl/</w:t>
      </w:r>
      <w:r w:rsidR="00D04142">
        <w:rPr>
          <w:i/>
          <w:iCs/>
        </w:rPr>
        <w:t>:</w:t>
      </w:r>
      <w:r w:rsidR="00D04142" w:rsidRPr="00D04142">
        <w:rPr>
          <w:i/>
          <w:iCs/>
        </w:rPr>
        <w:t>Tmc1</w:t>
      </w:r>
      <w:r w:rsidR="00D04142" w:rsidRPr="00D04142">
        <w:rPr>
          <w:i/>
          <w:iCs/>
          <w:vertAlign w:val="superscript"/>
        </w:rPr>
        <w:t>Bth/+</w:t>
      </w:r>
      <w:r w:rsidRPr="00E735C3">
        <w:t xml:space="preserve">ears (red) at four weeks post </w:t>
      </w:r>
      <w:r w:rsidRPr="00E735C3">
        <w:lastRenderedPageBreak/>
        <w:t>injection. **p &lt; 0.01, ***p &lt; 0.001, and ****p &lt; 0.0001. Values and error bars reflect mean ± SEM.</w:t>
      </w:r>
    </w:p>
    <w:p w14:paraId="2FE36EE9" w14:textId="77777777" w:rsidR="00E735C3" w:rsidRDefault="00E735C3" w:rsidP="00477182">
      <w:pPr>
        <w:pStyle w:val="SMcaption"/>
      </w:pPr>
    </w:p>
    <w:p w14:paraId="10BF7DE9" w14:textId="77777777" w:rsidR="00B9440A" w:rsidRPr="00015F74" w:rsidRDefault="00B9440A" w:rsidP="00B9440A">
      <w:pPr>
        <w:pStyle w:val="SMcaption"/>
      </w:pPr>
    </w:p>
    <w:sectPr w:rsidR="00B9440A" w:rsidRPr="00015F74" w:rsidSect="00E853D5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39449" w14:textId="77777777" w:rsidR="00FF01D1" w:rsidRDefault="00FF01D1">
      <w:r>
        <w:separator/>
      </w:r>
    </w:p>
  </w:endnote>
  <w:endnote w:type="continuationSeparator" w:id="0">
    <w:p w14:paraId="18A8503F" w14:textId="77777777" w:rsidR="00FF01D1" w:rsidRDefault="00FF0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8EA3E" w14:textId="32DFF1A6" w:rsidR="00F125EE" w:rsidRDefault="0011419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92B22">
      <w:rPr>
        <w:noProof/>
      </w:rPr>
      <w:t>3</w:t>
    </w:r>
    <w:r>
      <w:fldChar w:fldCharType="end"/>
    </w:r>
  </w:p>
  <w:p w14:paraId="211F3547" w14:textId="77777777" w:rsidR="00F125EE" w:rsidRDefault="00F125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5313D" w14:textId="77777777" w:rsidR="00FF01D1" w:rsidRDefault="00FF01D1">
      <w:r>
        <w:separator/>
      </w:r>
    </w:p>
  </w:footnote>
  <w:footnote w:type="continuationSeparator" w:id="0">
    <w:p w14:paraId="29C64E88" w14:textId="77777777" w:rsidR="00FF01D1" w:rsidRDefault="00FF01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01F95" w14:textId="77777777" w:rsidR="003A2FD8" w:rsidRPr="005001AC" w:rsidRDefault="003A2FD8" w:rsidP="005001AC">
    <w:pPr>
      <w:jc w:val="right"/>
      <w:rPr>
        <w:sz w:val="20"/>
      </w:rPr>
    </w:pPr>
  </w:p>
  <w:p w14:paraId="3CD866EE" w14:textId="77777777" w:rsidR="003A2FD8" w:rsidRDefault="003A2F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12989003">
    <w:abstractNumId w:val="9"/>
  </w:num>
  <w:num w:numId="2" w16cid:durableId="464086685">
    <w:abstractNumId w:val="7"/>
  </w:num>
  <w:num w:numId="3" w16cid:durableId="1993098198">
    <w:abstractNumId w:val="6"/>
  </w:num>
  <w:num w:numId="4" w16cid:durableId="1334721201">
    <w:abstractNumId w:val="5"/>
  </w:num>
  <w:num w:numId="5" w16cid:durableId="1065953859">
    <w:abstractNumId w:val="4"/>
  </w:num>
  <w:num w:numId="6" w16cid:durableId="746270724">
    <w:abstractNumId w:val="8"/>
  </w:num>
  <w:num w:numId="7" w16cid:durableId="1855529551">
    <w:abstractNumId w:val="3"/>
  </w:num>
  <w:num w:numId="8" w16cid:durableId="581717962">
    <w:abstractNumId w:val="2"/>
  </w:num>
  <w:num w:numId="9" w16cid:durableId="2002346036">
    <w:abstractNumId w:val="1"/>
  </w:num>
  <w:num w:numId="10" w16cid:durableId="629172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15F74"/>
    <w:rsid w:val="00065EBD"/>
    <w:rsid w:val="00066D0C"/>
    <w:rsid w:val="00083B44"/>
    <w:rsid w:val="000850DC"/>
    <w:rsid w:val="000C07BF"/>
    <w:rsid w:val="000C2771"/>
    <w:rsid w:val="000D46F4"/>
    <w:rsid w:val="000F0DCE"/>
    <w:rsid w:val="000F6BE3"/>
    <w:rsid w:val="00112C5B"/>
    <w:rsid w:val="00114193"/>
    <w:rsid w:val="00115A38"/>
    <w:rsid w:val="0011687B"/>
    <w:rsid w:val="00124F82"/>
    <w:rsid w:val="0016337A"/>
    <w:rsid w:val="00164269"/>
    <w:rsid w:val="0018661C"/>
    <w:rsid w:val="001A043D"/>
    <w:rsid w:val="001A1BDE"/>
    <w:rsid w:val="001B13CE"/>
    <w:rsid w:val="001F0876"/>
    <w:rsid w:val="001F167C"/>
    <w:rsid w:val="001F5E91"/>
    <w:rsid w:val="002077B9"/>
    <w:rsid w:val="00262D72"/>
    <w:rsid w:val="00294FBB"/>
    <w:rsid w:val="002C030F"/>
    <w:rsid w:val="002F0FB6"/>
    <w:rsid w:val="002F1E71"/>
    <w:rsid w:val="0031671A"/>
    <w:rsid w:val="00331D75"/>
    <w:rsid w:val="00355362"/>
    <w:rsid w:val="00363E44"/>
    <w:rsid w:val="003659A8"/>
    <w:rsid w:val="003669F9"/>
    <w:rsid w:val="00373273"/>
    <w:rsid w:val="003918D4"/>
    <w:rsid w:val="00392402"/>
    <w:rsid w:val="00393BAB"/>
    <w:rsid w:val="00395E86"/>
    <w:rsid w:val="003A2FD8"/>
    <w:rsid w:val="003B40E6"/>
    <w:rsid w:val="003E74FB"/>
    <w:rsid w:val="003F5904"/>
    <w:rsid w:val="003F6E14"/>
    <w:rsid w:val="00405336"/>
    <w:rsid w:val="00435ABE"/>
    <w:rsid w:val="004571D5"/>
    <w:rsid w:val="00461D81"/>
    <w:rsid w:val="0046356B"/>
    <w:rsid w:val="00477182"/>
    <w:rsid w:val="004779CB"/>
    <w:rsid w:val="004A6F57"/>
    <w:rsid w:val="004E42D8"/>
    <w:rsid w:val="004E7BA2"/>
    <w:rsid w:val="004F7EDF"/>
    <w:rsid w:val="005001AC"/>
    <w:rsid w:val="0052785B"/>
    <w:rsid w:val="00527D71"/>
    <w:rsid w:val="00533910"/>
    <w:rsid w:val="005520A8"/>
    <w:rsid w:val="005607DD"/>
    <w:rsid w:val="005A558C"/>
    <w:rsid w:val="005D712F"/>
    <w:rsid w:val="005E28F8"/>
    <w:rsid w:val="005E6513"/>
    <w:rsid w:val="00607E8E"/>
    <w:rsid w:val="00632CA3"/>
    <w:rsid w:val="006372A4"/>
    <w:rsid w:val="00651114"/>
    <w:rsid w:val="00664560"/>
    <w:rsid w:val="00670299"/>
    <w:rsid w:val="00691985"/>
    <w:rsid w:val="00697611"/>
    <w:rsid w:val="006A1B64"/>
    <w:rsid w:val="007108F5"/>
    <w:rsid w:val="00713E5B"/>
    <w:rsid w:val="007402FC"/>
    <w:rsid w:val="007411A1"/>
    <w:rsid w:val="00744FF3"/>
    <w:rsid w:val="00793072"/>
    <w:rsid w:val="007E2786"/>
    <w:rsid w:val="00807D35"/>
    <w:rsid w:val="008218C4"/>
    <w:rsid w:val="00867A98"/>
    <w:rsid w:val="00870867"/>
    <w:rsid w:val="00885C9B"/>
    <w:rsid w:val="008D5D2A"/>
    <w:rsid w:val="00914B63"/>
    <w:rsid w:val="009354F3"/>
    <w:rsid w:val="009447DC"/>
    <w:rsid w:val="00945471"/>
    <w:rsid w:val="00950234"/>
    <w:rsid w:val="00961BA5"/>
    <w:rsid w:val="009743A9"/>
    <w:rsid w:val="009A5287"/>
    <w:rsid w:val="009A7C5F"/>
    <w:rsid w:val="009B2AC5"/>
    <w:rsid w:val="009B7984"/>
    <w:rsid w:val="009F4BED"/>
    <w:rsid w:val="009F7D93"/>
    <w:rsid w:val="00A02E0C"/>
    <w:rsid w:val="00A3403B"/>
    <w:rsid w:val="00A51A12"/>
    <w:rsid w:val="00A53A78"/>
    <w:rsid w:val="00A627D4"/>
    <w:rsid w:val="00A74DA2"/>
    <w:rsid w:val="00A77632"/>
    <w:rsid w:val="00AB0030"/>
    <w:rsid w:val="00AB0091"/>
    <w:rsid w:val="00AB399E"/>
    <w:rsid w:val="00AC59D0"/>
    <w:rsid w:val="00AD16B1"/>
    <w:rsid w:val="00AD499C"/>
    <w:rsid w:val="00AF6230"/>
    <w:rsid w:val="00B36869"/>
    <w:rsid w:val="00B43B31"/>
    <w:rsid w:val="00B47CFA"/>
    <w:rsid w:val="00B574A3"/>
    <w:rsid w:val="00B57F00"/>
    <w:rsid w:val="00B63245"/>
    <w:rsid w:val="00B64F72"/>
    <w:rsid w:val="00B77B2A"/>
    <w:rsid w:val="00B82C22"/>
    <w:rsid w:val="00B93DBA"/>
    <w:rsid w:val="00B9440A"/>
    <w:rsid w:val="00BB2D2A"/>
    <w:rsid w:val="00BC290E"/>
    <w:rsid w:val="00BC3E04"/>
    <w:rsid w:val="00BD58CF"/>
    <w:rsid w:val="00BF0C92"/>
    <w:rsid w:val="00C04CC1"/>
    <w:rsid w:val="00C4096C"/>
    <w:rsid w:val="00C50C6D"/>
    <w:rsid w:val="00C600D9"/>
    <w:rsid w:val="00C92B22"/>
    <w:rsid w:val="00CC098C"/>
    <w:rsid w:val="00CC1384"/>
    <w:rsid w:val="00CD3720"/>
    <w:rsid w:val="00CF1848"/>
    <w:rsid w:val="00CF5C2F"/>
    <w:rsid w:val="00D04142"/>
    <w:rsid w:val="00D04BCF"/>
    <w:rsid w:val="00D11A56"/>
    <w:rsid w:val="00D143D9"/>
    <w:rsid w:val="00D2599F"/>
    <w:rsid w:val="00D30C95"/>
    <w:rsid w:val="00D51C15"/>
    <w:rsid w:val="00D5511B"/>
    <w:rsid w:val="00D64873"/>
    <w:rsid w:val="00D766F1"/>
    <w:rsid w:val="00DD2E17"/>
    <w:rsid w:val="00DF7D88"/>
    <w:rsid w:val="00E257C8"/>
    <w:rsid w:val="00E40A10"/>
    <w:rsid w:val="00E41512"/>
    <w:rsid w:val="00E4519A"/>
    <w:rsid w:val="00E735C3"/>
    <w:rsid w:val="00E75660"/>
    <w:rsid w:val="00E853D5"/>
    <w:rsid w:val="00E9773B"/>
    <w:rsid w:val="00EA6F42"/>
    <w:rsid w:val="00EB1307"/>
    <w:rsid w:val="00EC13A3"/>
    <w:rsid w:val="00EC7C85"/>
    <w:rsid w:val="00ED2CBE"/>
    <w:rsid w:val="00F125EE"/>
    <w:rsid w:val="00F12E98"/>
    <w:rsid w:val="00F169CA"/>
    <w:rsid w:val="00F22029"/>
    <w:rsid w:val="00F515FB"/>
    <w:rsid w:val="00F630EA"/>
    <w:rsid w:val="00F7007E"/>
    <w:rsid w:val="00F73193"/>
    <w:rsid w:val="00F74F95"/>
    <w:rsid w:val="00F80705"/>
    <w:rsid w:val="00F86FCB"/>
    <w:rsid w:val="00FA1481"/>
    <w:rsid w:val="00FF01D1"/>
    <w:rsid w:val="00FF04E3"/>
    <w:rsid w:val="4959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597622"/>
  <w15:docId w15:val="{EAC22EA6-1BB9-493A-BA9A-8FFD465DA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semiHidden/>
    <w:rsid w:val="007402FC"/>
    <w:rPr>
      <w:color w:val="0000FF"/>
      <w:u w:val="single"/>
    </w:rPr>
  </w:style>
  <w:style w:type="character" w:styleId="FollowedHyperlink">
    <w:name w:val="FollowedHyperlink"/>
    <w:semiHidden/>
    <w:unhideWhenUsed/>
    <w:rsid w:val="00793072"/>
    <w:rPr>
      <w:color w:val="800080"/>
      <w:u w:val="single"/>
    </w:rPr>
  </w:style>
  <w:style w:type="character" w:styleId="CommentReference">
    <w:name w:val="annotation reference"/>
    <w:semiHidden/>
    <w:unhideWhenUsed/>
    <w:rsid w:val="00793072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8218C4"/>
    <w:rPr>
      <w:color w:val="808080"/>
      <w:shd w:val="clear" w:color="auto" w:fill="E6E6E6"/>
    </w:rPr>
  </w:style>
  <w:style w:type="paragraph" w:customStyle="1" w:styleId="PubInfo">
    <w:name w:val="PubInfo"/>
    <w:basedOn w:val="Normal"/>
    <w:qFormat/>
    <w:rsid w:val="00533910"/>
    <w:pPr>
      <w:suppressAutoHyphens/>
      <w:jc w:val="center"/>
    </w:pPr>
    <w:rPr>
      <w:sz w:val="20"/>
      <w:lang w:eastAsia="ar-SA"/>
    </w:rPr>
  </w:style>
  <w:style w:type="paragraph" w:customStyle="1" w:styleId="DoiInfo">
    <w:name w:val="DoiInfo"/>
    <w:basedOn w:val="Normal"/>
    <w:qFormat/>
    <w:rsid w:val="00533910"/>
    <w:pPr>
      <w:suppressAutoHyphens/>
      <w:jc w:val="center"/>
    </w:pPr>
    <w:rPr>
      <w:sz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8221A7F0343744B07CC2CED3D6F8EE" ma:contentTypeVersion="12" ma:contentTypeDescription="Create a new document." ma:contentTypeScope="" ma:versionID="4ed130d46c3bc80f8d043bccdf574eeb">
  <xsd:schema xmlns:xsd="http://www.w3.org/2001/XMLSchema" xmlns:xs="http://www.w3.org/2001/XMLSchema" xmlns:p="http://schemas.microsoft.com/office/2006/metadata/properties" xmlns:ns3="96858f5b-69cf-4d49-a520-6ae816db1d8d" xmlns:ns4="1867113f-8995-4870-a940-2b72f688d265" targetNamespace="http://schemas.microsoft.com/office/2006/metadata/properties" ma:root="true" ma:fieldsID="194ceea0314d884e28c6faa81920b7ec" ns3:_="" ns4:_="">
    <xsd:import namespace="96858f5b-69cf-4d49-a520-6ae816db1d8d"/>
    <xsd:import namespace="1867113f-8995-4870-a940-2b72f688d2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58f5b-69cf-4d49-a520-6ae816db1d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7113f-8995-4870-a940-2b72f688d26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6A6A5F-BF35-401C-A3A1-63045C8310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8F523CB-42AC-406D-90D9-CA3AE16CA9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858f5b-69cf-4d49-a520-6ae816db1d8d"/>
    <ds:schemaRef ds:uri="1867113f-8995-4870-a940-2b72f688d2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76C972-A183-49AB-BF18-FB119101A4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571</Words>
  <Characters>3258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Supporting Online Material for</vt:lpstr>
      <vt:lpstr>Supporting Online Material for</vt:lpstr>
    </vt:vector>
  </TitlesOfParts>
  <Company>AAAS</Company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</dc:creator>
  <cp:keywords/>
  <cp:lastModifiedBy>Zheng-Yi Chen</cp:lastModifiedBy>
  <cp:revision>11</cp:revision>
  <cp:lastPrinted>2018-01-11T19:53:00Z</cp:lastPrinted>
  <dcterms:created xsi:type="dcterms:W3CDTF">2022-06-16T18:12:00Z</dcterms:created>
  <dcterms:modified xsi:type="dcterms:W3CDTF">2022-06-21T02:06:00Z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0x0101000C8221A7F0343744B07CC2CED3D6F8EE</vt:lpwstr>
  </property>
</Properties>
</file>