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175" w:type="dxa"/>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709"/>
        <w:gridCol w:w="992"/>
        <w:gridCol w:w="993"/>
        <w:gridCol w:w="850"/>
        <w:gridCol w:w="851"/>
        <w:gridCol w:w="1134"/>
        <w:gridCol w:w="2126"/>
        <w:gridCol w:w="3969"/>
        <w:gridCol w:w="2551"/>
      </w:tblGrid>
      <w:tr w:rsidR="00FF4BD9" w:rsidRPr="00EC3E91" w14:paraId="44DF34C8" w14:textId="77777777" w:rsidTr="00FF4BD9">
        <w:trPr>
          <w:tblHeader/>
        </w:trPr>
        <w:tc>
          <w:tcPr>
            <w:tcW w:w="709" w:type="dxa"/>
          </w:tcPr>
          <w:p w14:paraId="58616D9A" w14:textId="77777777" w:rsidR="00FF4BD9" w:rsidRPr="00EC3E91" w:rsidRDefault="00FF4BD9" w:rsidP="00D56C0C">
            <w:pPr>
              <w:rPr>
                <w:rFonts w:cstheme="minorHAnsi"/>
                <w:b/>
                <w:sz w:val="20"/>
                <w:szCs w:val="20"/>
                <w:lang w:val="en-US"/>
              </w:rPr>
            </w:pPr>
            <w:r w:rsidRPr="00EC3E91">
              <w:rPr>
                <w:rFonts w:cstheme="minorHAnsi"/>
                <w:b/>
                <w:sz w:val="20"/>
                <w:szCs w:val="20"/>
                <w:lang w:val="en-US"/>
              </w:rPr>
              <w:t>Reference</w:t>
            </w:r>
          </w:p>
        </w:tc>
        <w:tc>
          <w:tcPr>
            <w:tcW w:w="992" w:type="dxa"/>
          </w:tcPr>
          <w:p w14:paraId="2CB68D14" w14:textId="77777777" w:rsidR="00FF4BD9" w:rsidRPr="00EC3E91" w:rsidRDefault="00FF4BD9" w:rsidP="00D56C0C">
            <w:pPr>
              <w:rPr>
                <w:rFonts w:cstheme="minorHAnsi"/>
                <w:b/>
                <w:sz w:val="20"/>
                <w:szCs w:val="20"/>
                <w:lang w:val="en-US"/>
              </w:rPr>
            </w:pPr>
            <w:r w:rsidRPr="00EC3E91">
              <w:rPr>
                <w:rFonts w:cstheme="minorHAnsi"/>
                <w:b/>
                <w:sz w:val="20"/>
                <w:szCs w:val="20"/>
                <w:lang w:val="en-US"/>
              </w:rPr>
              <w:t>Country</w:t>
            </w:r>
          </w:p>
        </w:tc>
        <w:tc>
          <w:tcPr>
            <w:tcW w:w="993" w:type="dxa"/>
          </w:tcPr>
          <w:p w14:paraId="724F13D3" w14:textId="77777777" w:rsidR="00FF4BD9" w:rsidRPr="00EC3E91" w:rsidRDefault="00FF4BD9" w:rsidP="00D56C0C">
            <w:pPr>
              <w:rPr>
                <w:rFonts w:cstheme="minorHAnsi"/>
                <w:b/>
                <w:sz w:val="20"/>
                <w:szCs w:val="20"/>
                <w:lang w:val="en-US"/>
              </w:rPr>
            </w:pPr>
            <w:r w:rsidRPr="00EC3E91">
              <w:rPr>
                <w:rFonts w:cstheme="minorHAnsi"/>
                <w:b/>
                <w:sz w:val="20"/>
                <w:szCs w:val="20"/>
                <w:lang w:val="en-US"/>
              </w:rPr>
              <w:t>Setting</w:t>
            </w:r>
          </w:p>
        </w:tc>
        <w:tc>
          <w:tcPr>
            <w:tcW w:w="850" w:type="dxa"/>
          </w:tcPr>
          <w:p w14:paraId="5EB88481" w14:textId="77777777" w:rsidR="00FF4BD9" w:rsidRPr="00EC3E91" w:rsidRDefault="00FF4BD9" w:rsidP="00D56C0C">
            <w:pPr>
              <w:rPr>
                <w:rFonts w:cstheme="minorHAnsi"/>
                <w:b/>
                <w:sz w:val="20"/>
                <w:szCs w:val="20"/>
                <w:lang w:val="en-US"/>
              </w:rPr>
            </w:pPr>
            <w:r w:rsidRPr="00EC3E91">
              <w:rPr>
                <w:rFonts w:cstheme="minorHAnsi"/>
                <w:b/>
                <w:sz w:val="20"/>
                <w:szCs w:val="20"/>
                <w:lang w:val="en-US"/>
              </w:rPr>
              <w:t>Design</w:t>
            </w:r>
          </w:p>
        </w:tc>
        <w:tc>
          <w:tcPr>
            <w:tcW w:w="851" w:type="dxa"/>
          </w:tcPr>
          <w:p w14:paraId="67C036A2" w14:textId="4B83691A" w:rsidR="00FF4BD9" w:rsidRPr="00EC3E91" w:rsidRDefault="00FF4BD9" w:rsidP="00D56C0C">
            <w:pPr>
              <w:rPr>
                <w:rFonts w:cstheme="minorHAnsi"/>
                <w:b/>
                <w:sz w:val="20"/>
                <w:szCs w:val="20"/>
                <w:lang w:val="en-US"/>
              </w:rPr>
            </w:pPr>
            <w:r w:rsidRPr="00EC3E91">
              <w:rPr>
                <w:rFonts w:cstheme="minorHAnsi"/>
                <w:b/>
                <w:sz w:val="20"/>
                <w:szCs w:val="20"/>
                <w:lang w:val="en-US"/>
              </w:rPr>
              <w:t>Type of evaluation</w:t>
            </w:r>
          </w:p>
        </w:tc>
        <w:tc>
          <w:tcPr>
            <w:tcW w:w="1134" w:type="dxa"/>
          </w:tcPr>
          <w:p w14:paraId="53FCC2A9" w14:textId="7519E236" w:rsidR="00FF4BD9" w:rsidRPr="00EC3E91" w:rsidRDefault="00FF4BD9" w:rsidP="00D56C0C">
            <w:pPr>
              <w:rPr>
                <w:rFonts w:cstheme="minorHAnsi"/>
                <w:b/>
                <w:sz w:val="20"/>
                <w:szCs w:val="20"/>
                <w:lang w:val="en-US"/>
              </w:rPr>
            </w:pPr>
            <w:r w:rsidRPr="00EC3E91">
              <w:rPr>
                <w:rFonts w:cstheme="minorHAnsi"/>
                <w:b/>
                <w:sz w:val="20"/>
                <w:szCs w:val="20"/>
                <w:lang w:val="en-US"/>
              </w:rPr>
              <w:t xml:space="preserve">Type of LVC  </w:t>
            </w:r>
          </w:p>
        </w:tc>
        <w:tc>
          <w:tcPr>
            <w:tcW w:w="2126" w:type="dxa"/>
          </w:tcPr>
          <w:p w14:paraId="22C4B71F" w14:textId="77777777" w:rsidR="00FF4BD9" w:rsidRPr="00EC3E91" w:rsidRDefault="00FF4BD9" w:rsidP="00D56C0C">
            <w:pPr>
              <w:rPr>
                <w:rFonts w:cstheme="minorHAnsi"/>
                <w:b/>
                <w:sz w:val="20"/>
                <w:szCs w:val="20"/>
                <w:lang w:val="en-US"/>
              </w:rPr>
            </w:pPr>
            <w:r w:rsidRPr="00EC3E91">
              <w:rPr>
                <w:rFonts w:cstheme="minorHAnsi"/>
                <w:b/>
                <w:sz w:val="20"/>
                <w:szCs w:val="20"/>
                <w:lang w:val="en-US"/>
              </w:rPr>
              <w:t>Low-value care practice</w:t>
            </w:r>
          </w:p>
        </w:tc>
        <w:tc>
          <w:tcPr>
            <w:tcW w:w="3969" w:type="dxa"/>
          </w:tcPr>
          <w:p w14:paraId="6FB1DF0D" w14:textId="77777777" w:rsidR="00FF4BD9" w:rsidRPr="00EC3E91" w:rsidRDefault="00FF4BD9" w:rsidP="00D56C0C">
            <w:pPr>
              <w:rPr>
                <w:rFonts w:cstheme="minorHAnsi"/>
                <w:b/>
                <w:sz w:val="20"/>
                <w:szCs w:val="20"/>
                <w:lang w:val="en-US"/>
              </w:rPr>
            </w:pPr>
            <w:r w:rsidRPr="00EC3E91">
              <w:rPr>
                <w:rFonts w:cstheme="minorHAnsi"/>
                <w:b/>
                <w:sz w:val="20"/>
                <w:szCs w:val="20"/>
                <w:lang w:val="en-US"/>
              </w:rPr>
              <w:t>Guideline/</w:t>
            </w:r>
          </w:p>
          <w:p w14:paraId="15C6D7CF" w14:textId="77777777" w:rsidR="00FF4BD9" w:rsidRPr="00EC3E91" w:rsidRDefault="00FF4BD9" w:rsidP="00D56C0C">
            <w:pPr>
              <w:rPr>
                <w:rFonts w:cstheme="minorHAnsi"/>
                <w:b/>
                <w:sz w:val="20"/>
                <w:szCs w:val="20"/>
                <w:lang w:val="en-US"/>
              </w:rPr>
            </w:pPr>
            <w:r w:rsidRPr="00EC3E91">
              <w:rPr>
                <w:rFonts w:cstheme="minorHAnsi"/>
                <w:b/>
                <w:sz w:val="20"/>
                <w:szCs w:val="20"/>
                <w:lang w:val="en-US"/>
              </w:rPr>
              <w:t>recommendation</w:t>
            </w:r>
          </w:p>
        </w:tc>
        <w:tc>
          <w:tcPr>
            <w:tcW w:w="2551" w:type="dxa"/>
          </w:tcPr>
          <w:p w14:paraId="0851CAD6" w14:textId="6DC457D7" w:rsidR="00FF4BD9" w:rsidRPr="00EC3E91" w:rsidRDefault="00FF4BD9" w:rsidP="00D56C0C">
            <w:pPr>
              <w:rPr>
                <w:rFonts w:cstheme="minorHAnsi"/>
                <w:b/>
                <w:sz w:val="20"/>
                <w:szCs w:val="20"/>
                <w:lang w:val="en-US"/>
              </w:rPr>
            </w:pPr>
            <w:r w:rsidRPr="00EC3E91">
              <w:rPr>
                <w:rFonts w:cstheme="minorHAnsi"/>
                <w:b/>
                <w:sz w:val="20"/>
                <w:szCs w:val="20"/>
                <w:lang w:val="en-US"/>
              </w:rPr>
              <w:t xml:space="preserve">Strategies used </w:t>
            </w:r>
          </w:p>
        </w:tc>
      </w:tr>
      <w:tr w:rsidR="00FF4BD9" w:rsidRPr="00CF707F" w14:paraId="72073712" w14:textId="77777777" w:rsidTr="00FF4BD9">
        <w:trPr>
          <w:tblHeader/>
        </w:trPr>
        <w:tc>
          <w:tcPr>
            <w:tcW w:w="709" w:type="dxa"/>
          </w:tcPr>
          <w:p w14:paraId="41F8A99C" w14:textId="0F713D7B"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{"citationItems":[{"id":"ITEM-1","itemData":{"DOI":"10.1016/j.amjmed.2014.01.024","abstract":"Background The purpose of this study was to examine the impact of a multifaceted, clinical decision support (CDS)-enabled intervention on magnetic resonance imaging (MRI) use in adult primary care patients with low back pain. Methods After a baseline observation period, we implemented a CDS targeting lumbar-spine MRI use in primary care patients with low back pain through our computerized physician order entry, as well as 2 accountability tools: mandatory peer-to-peer consultation when test utility was uncertain and quarterly practice pattern variation reports to providers. Our primary outcome measure was rate of lumbar-spine MRI use. Secondary measures included utilization of MRI of any body part, comparing it with that of a concurrent national comparison, as well as proportion of lumbar-spine MRI performed in the study cohort that was adherent to evidence-based guideline. Chi-squared, t-tests, and logistic regression were used to assess pre- and postintervention differences. Results In the study cohort preintervention, 5.3% of low back pain-related primary care visits resulted in lumbar-spine MRI, compared with 3.7% of visits postintervention (P &lt;.0001, adjusted odds ratio 0.68). There was a 30.8% relative decrease (6.5% vs 4.5%, P &lt;.0001, adjusted odds ratio 0.67) in the use of MRI of any body part by the primary care providers in the study cohort. This difference was not detected in the control cohort (5.6% vs 5.3%, P =.712). In the study cohort, adherence to evidence-based guideline in the use of lumbar-spine MRI increased from 78% to 96% (P =.0002). Conclusions CDS and associated accountability tools may reduce potentially inappropriate imaging in patients with low back pain.","author":[{"dropping-particle":"","family":"Ip","given":"I K","non-dropping-particle":"","parse-names":false,"suffix":""},{"dropping-particle":"","family":"Gershanik","given":"E F","non-dropping-particle":"","parse-names":false,"suffix":""},{"dropping-particle":"","family":"Schneider","given":"L I","non-dropping-particle":"","parse-names":false,"suffix":""},{"dropping-particle":"","family":"Raja","given":"A S","non-dropping-particle":"","parse-names":false,"suffix":""},{"dropping-particle":"","family":"Mar","given":"W","non-dropping-particle":"","parse-names":false,"suffix":""},{"dropping-particle":"","family":"Seltzer","given":"S","non-dropping-particle":"","parse-names":false,"suffix":""},{"dropping-particle":"","family":"Healey","given":"M J","non-dropping-particle":"","parse-names":false,"suffix":""},{"dropping-particle":"","family":"Khorasani","given":"R","non-dropping-particle":"","parse-names":false,"suffix":""}],"container-title":"American Journal of Medicine","id":"ITEM-1","issue":"6","issued":{"date-parts":[["2014"]]},"note":"medicalis [United States] Percipio: medicalis [United States]","page":"512-518.e1","title":"Impact of IT-enabled intervention on MRI use for back pain","type":"article-journal","volume":"127"},"uris":["http://www.mendeley.com/documents/?uuid=f41aa27d-5c24-4285-9f08-d36f3fa6bfec"]}],"mendeley":{"formattedCitation":"(1)","plainTextFormattedCitation":"(1)","previouslyFormattedCitation":"(1)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w:t>
            </w:r>
            <w:r w:rsidRPr="00EC3E91">
              <w:rPr>
                <w:rFonts w:cstheme="minorHAnsi"/>
                <w:sz w:val="20"/>
                <w:szCs w:val="20"/>
                <w:lang w:val="en-US"/>
              </w:rPr>
              <w:fldChar w:fldCharType="end"/>
            </w:r>
          </w:p>
        </w:tc>
        <w:tc>
          <w:tcPr>
            <w:tcW w:w="992" w:type="dxa"/>
          </w:tcPr>
          <w:p w14:paraId="7B8F8E0D" w14:textId="5785632F" w:rsidR="00FF4BD9" w:rsidRPr="00EC3E91" w:rsidRDefault="00FF4BD9" w:rsidP="00D56C0C">
            <w:pPr>
              <w:rPr>
                <w:rFonts w:cstheme="minorHAnsi"/>
                <w:sz w:val="20"/>
                <w:szCs w:val="20"/>
                <w:lang w:val="en-US"/>
              </w:rPr>
            </w:pPr>
            <w:r w:rsidRPr="00EC3E91">
              <w:rPr>
                <w:rFonts w:cstheme="minorHAnsi"/>
                <w:sz w:val="20"/>
                <w:szCs w:val="20"/>
                <w:lang w:val="en-US"/>
              </w:rPr>
              <w:t xml:space="preserve">US </w:t>
            </w:r>
          </w:p>
        </w:tc>
        <w:tc>
          <w:tcPr>
            <w:tcW w:w="993" w:type="dxa"/>
          </w:tcPr>
          <w:p w14:paraId="4D497465" w14:textId="6C163551" w:rsidR="00FF4BD9" w:rsidRPr="00EC3E91" w:rsidRDefault="00FF4BD9" w:rsidP="00D56C0C">
            <w:pPr>
              <w:rPr>
                <w:rFonts w:cstheme="minorHAnsi"/>
                <w:sz w:val="20"/>
                <w:szCs w:val="20"/>
                <w:lang w:val="en-US"/>
              </w:rPr>
            </w:pPr>
            <w:r w:rsidRPr="00EC3E91">
              <w:rPr>
                <w:rFonts w:cstheme="minorHAnsi"/>
                <w:sz w:val="20"/>
                <w:szCs w:val="20"/>
                <w:lang w:val="en-US"/>
              </w:rPr>
              <w:t>Primary care</w:t>
            </w:r>
          </w:p>
        </w:tc>
        <w:tc>
          <w:tcPr>
            <w:tcW w:w="850" w:type="dxa"/>
          </w:tcPr>
          <w:p w14:paraId="16032148" w14:textId="4E733512"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112091CA" w14:textId="6FF9D77F"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2985A290" w14:textId="578A1B4B" w:rsidR="00FF4BD9" w:rsidRPr="00EC3E91" w:rsidRDefault="00FF4BD9" w:rsidP="00D56C0C">
            <w:pPr>
              <w:rPr>
                <w:rFonts w:cstheme="minorHAnsi"/>
                <w:sz w:val="20"/>
                <w:szCs w:val="20"/>
                <w:lang w:val="en-US"/>
              </w:rPr>
            </w:pPr>
            <w:r w:rsidRPr="00EC3E91">
              <w:rPr>
                <w:rFonts w:cstheme="minorHAnsi"/>
                <w:sz w:val="20"/>
                <w:szCs w:val="20"/>
                <w:lang w:val="en-US"/>
              </w:rPr>
              <w:t xml:space="preserve">Imaging </w:t>
            </w:r>
          </w:p>
        </w:tc>
        <w:tc>
          <w:tcPr>
            <w:tcW w:w="2126" w:type="dxa"/>
          </w:tcPr>
          <w:p w14:paraId="06BA404A" w14:textId="0E5C81DA" w:rsidR="00FF4BD9" w:rsidRPr="00EC3E91" w:rsidRDefault="00FF4BD9" w:rsidP="00D56C0C">
            <w:pPr>
              <w:rPr>
                <w:rFonts w:cstheme="minorHAnsi"/>
                <w:sz w:val="20"/>
                <w:szCs w:val="20"/>
                <w:lang w:val="en-US"/>
              </w:rPr>
            </w:pPr>
            <w:r w:rsidRPr="00EC3E91">
              <w:rPr>
                <w:rFonts w:cstheme="minorHAnsi"/>
                <w:sz w:val="20"/>
                <w:szCs w:val="20"/>
                <w:lang w:val="en-US"/>
              </w:rPr>
              <w:t xml:space="preserve">Routine MRI </w:t>
            </w:r>
          </w:p>
        </w:tc>
        <w:tc>
          <w:tcPr>
            <w:tcW w:w="3969" w:type="dxa"/>
          </w:tcPr>
          <w:p w14:paraId="3240FF6C" w14:textId="0A2E87BC" w:rsidR="00FF4BD9" w:rsidRPr="00EC3E91" w:rsidRDefault="00FF4BD9" w:rsidP="00D56C0C">
            <w:pPr>
              <w:rPr>
                <w:rFonts w:cstheme="minorHAnsi"/>
                <w:sz w:val="20"/>
                <w:szCs w:val="20"/>
                <w:lang w:val="en-US"/>
              </w:rPr>
            </w:pPr>
            <w:r w:rsidRPr="00EC3E91">
              <w:rPr>
                <w:rFonts w:cstheme="minorHAnsi"/>
                <w:sz w:val="20"/>
                <w:szCs w:val="20"/>
                <w:lang w:val="en-US"/>
              </w:rPr>
              <w:t>Diagnosis and treatment of low back pain: a joint clinical practice guideline from the American College of Physicians and the American Pain Society</w:t>
            </w:r>
          </w:p>
        </w:tc>
        <w:tc>
          <w:tcPr>
            <w:tcW w:w="2551" w:type="dxa"/>
          </w:tcPr>
          <w:p w14:paraId="02938FFB" w14:textId="5309C881" w:rsidR="00FF4BD9" w:rsidRPr="00EC3E91" w:rsidRDefault="00FF4BD9" w:rsidP="00D56C0C">
            <w:pPr>
              <w:rPr>
                <w:rFonts w:cstheme="minorHAnsi"/>
                <w:sz w:val="20"/>
                <w:szCs w:val="20"/>
                <w:lang w:val="en-US"/>
              </w:rPr>
            </w:pPr>
            <w:r w:rsidRPr="00EC3E91">
              <w:rPr>
                <w:rFonts w:cstheme="minorHAnsi"/>
                <w:sz w:val="20"/>
                <w:szCs w:val="20"/>
                <w:lang w:val="en-US"/>
              </w:rPr>
              <w:t>Remind clinicians [ACCOUNTABILITY TOOL]</w:t>
            </w:r>
          </w:p>
        </w:tc>
      </w:tr>
      <w:tr w:rsidR="00FF4BD9" w:rsidRPr="00CF707F" w14:paraId="184186DB" w14:textId="77777777" w:rsidTr="00FF4BD9">
        <w:trPr>
          <w:tblHeader/>
        </w:trPr>
        <w:tc>
          <w:tcPr>
            <w:tcW w:w="709" w:type="dxa"/>
          </w:tcPr>
          <w:p w14:paraId="19D891CC" w14:textId="5FBD5489"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{"citationItems":[{"id":"ITEM-1","itemData":{"ISSN":"1471-2393","abstract":"BACKGROUND: After the launch of Janani Suraksha Yojana, a conditional cash transfer scheme in India, the proportion of women giving birth in institutions has rapidly increased. However, there are important gaps in quality of childbirth services during institutional deliveries. The aim of this intervention was to improve the quality of childbirth services in selected high caseload public health facilities of 10 districts of Rajasthan. This intervention titled \"Parijaat\" was designed by Action Research &amp; Training for Health, in partnership with the state government and United Nations Population Fund. METHODS: The intervention was carried out in 44 public health facilities in 10 districts of Rajasthan, India. These included district hospitals (9), community health centres (32) and primary health centres (3). The main intervention was orientation training of doctors and program managers and regular visits to facilities involving assessment, feedback, training and action. The adherence to evidence based practices before, during and after this intervention were measured using structured checklists and scoring sheets. Main outcome measures included changes in practices during labour, delivery or immediate postpartum period. RESULTS: Use of several unnecessary or harmful practices reduced significantly. Most importantly, proportion of facilities using routine augmentation of labour reduced (p = 0), episiotomy for primigravidas (p = 0.0003), fundal pressure (p = 0.0003), and routine suction of newborns (0 = 0.0005). Among the beneficial practices, use of oxytocin after delivery increased (p = 0.0001) and the practice of listening foetal heart sounds during labour (p = 0.0001). Some practices did not show any improvements, such as dorsal position for delivery, use of partograph, and hand-washing. CONCLUSIONS: An intervention based on repeated facility visits combined with actions at the level of decision makers can lead to substantial improvements in quality of childbirth practices at health facilities.","author":[{"dropping-particle":"","family":"Iyengar","given":"K","non-dropping-particle":"","parse-names":false,"suffix":""},{"dropping-particle":"","family":"Jain","given":"M","non-dropping-particle":"","parse-names":false,"suffix":""},{"dropping-particle":"","family":"Thomas","given":"S","non-dropping-particle":"","parse-names":false,"suffix":""},{"dropping-particle":"","family":"Dashora","given":"K","non-dropping-particle":"","parse-names":false,"suffix":""},{"dropping-particle":"","family":"Liu","given":"W","non-dropping-particle":"","parse-names":false,"suffix":""},{"dropping-particle":"","family":"Saini","given":"P","non-dropping-particle":"","parse-names":false,"suffix":""},{"dropping-particle":"","family":"Dattatreya","given":"R","non-dropping-particle":"","parse-names":false,"suffix":""},{"dropping-particle":"","family":"Parker","given":"I","non-dropping-particle":"","parse-names":false,"suffix":""},{"dropping-particle":"","family":"Iyengar","given":"S","non-dropping-particle":"","parse-names":false,"suffix":""}],"container-title":"BMC Pregnancy &amp; Childbirth","id":"ITEM-1","issued":{"date-parts":[["2014"]]},"page":"270","title":"Adherence to evidence based care practices for childbirth before and after a quality improvement intervention in health facilities of Rajasthan, India","type":"article-journal","volume":"14"},"uris":["http://www.mendeley.com/documents/?uuid=60775710-cc91-4a0e-9c2c-f6081d17fd9d"]}],"mendeley":{"formattedCitation":"(2)","plainTextFormattedCitation":"(2)","previouslyFormattedCitation":"(2)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w:t>
            </w:r>
            <w:r w:rsidRPr="00EC3E91">
              <w:rPr>
                <w:rFonts w:cstheme="minorHAnsi"/>
                <w:sz w:val="20"/>
                <w:szCs w:val="20"/>
                <w:lang w:val="en-US"/>
              </w:rPr>
              <w:fldChar w:fldCharType="end"/>
            </w:r>
          </w:p>
        </w:tc>
        <w:tc>
          <w:tcPr>
            <w:tcW w:w="992" w:type="dxa"/>
          </w:tcPr>
          <w:p w14:paraId="245E0B04" w14:textId="545F1417" w:rsidR="00FF4BD9" w:rsidRPr="00EC3E91" w:rsidRDefault="00FF4BD9" w:rsidP="00D56C0C">
            <w:pPr>
              <w:rPr>
                <w:rFonts w:cstheme="minorHAnsi"/>
                <w:sz w:val="20"/>
                <w:szCs w:val="20"/>
                <w:lang w:val="en-US"/>
              </w:rPr>
            </w:pPr>
            <w:r w:rsidRPr="00EC3E91">
              <w:rPr>
                <w:rFonts w:cstheme="minorHAnsi"/>
                <w:sz w:val="20"/>
                <w:szCs w:val="20"/>
                <w:lang w:val="en-US"/>
              </w:rPr>
              <w:t xml:space="preserve">India </w:t>
            </w:r>
          </w:p>
        </w:tc>
        <w:tc>
          <w:tcPr>
            <w:tcW w:w="993" w:type="dxa"/>
          </w:tcPr>
          <w:p w14:paraId="46D94C01" w14:textId="61FC53BA" w:rsidR="00FF4BD9" w:rsidRPr="00EC3E91" w:rsidRDefault="00FF4BD9" w:rsidP="00D56C0C">
            <w:pPr>
              <w:rPr>
                <w:rFonts w:cstheme="minorHAnsi"/>
                <w:sz w:val="20"/>
                <w:szCs w:val="20"/>
                <w:lang w:val="en-US"/>
              </w:rPr>
            </w:pPr>
            <w:r w:rsidRPr="00EC3E91">
              <w:rPr>
                <w:rFonts w:cstheme="minorHAnsi"/>
                <w:sz w:val="20"/>
                <w:szCs w:val="20"/>
                <w:lang w:val="en-US"/>
              </w:rPr>
              <w:t>Multiple settings</w:t>
            </w:r>
          </w:p>
        </w:tc>
        <w:tc>
          <w:tcPr>
            <w:tcW w:w="850" w:type="dxa"/>
          </w:tcPr>
          <w:p w14:paraId="19459B02" w14:textId="2D9341D9"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1E584AA2" w14:textId="0FD33B7B"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3C33F774" w14:textId="12ACB0C9" w:rsidR="00FF4BD9" w:rsidRPr="00EC3E91" w:rsidRDefault="00FF4BD9" w:rsidP="00D56C0C">
            <w:pPr>
              <w:rPr>
                <w:rFonts w:cstheme="minorHAnsi"/>
                <w:sz w:val="20"/>
                <w:szCs w:val="20"/>
                <w:lang w:val="en-US"/>
              </w:rPr>
            </w:pPr>
            <w:r w:rsidRPr="00EC3E91">
              <w:rPr>
                <w:rFonts w:cstheme="minorHAnsi"/>
                <w:sz w:val="20"/>
                <w:szCs w:val="20"/>
                <w:lang w:val="en-US"/>
              </w:rPr>
              <w:t>Birth (obstetrics)</w:t>
            </w:r>
          </w:p>
        </w:tc>
        <w:tc>
          <w:tcPr>
            <w:tcW w:w="2126" w:type="dxa"/>
          </w:tcPr>
          <w:p w14:paraId="30A8E55F" w14:textId="3D2C4568" w:rsidR="00FF4BD9" w:rsidRPr="00EC3E91" w:rsidRDefault="00FF4BD9" w:rsidP="00D56C0C">
            <w:pPr>
              <w:rPr>
                <w:rFonts w:cstheme="minorHAnsi"/>
                <w:sz w:val="20"/>
                <w:szCs w:val="20"/>
                <w:lang w:val="en-US"/>
              </w:rPr>
            </w:pPr>
            <w:r w:rsidRPr="00EC3E91">
              <w:rPr>
                <w:rFonts w:cstheme="minorHAnsi"/>
                <w:sz w:val="20"/>
                <w:szCs w:val="20"/>
                <w:lang w:val="en-US"/>
              </w:rPr>
              <w:t xml:space="preserve">Shaving of pubic hair, routine enema, dorsal position for delivery, augmentation of </w:t>
            </w:r>
            <w:r w:rsidR="005B4949" w:rsidRPr="00EC3E91">
              <w:rPr>
                <w:rFonts w:cstheme="minorHAnsi"/>
                <w:sz w:val="20"/>
                <w:szCs w:val="20"/>
                <w:lang w:val="en-US"/>
              </w:rPr>
              <w:t>labor</w:t>
            </w:r>
            <w:r w:rsidRPr="00EC3E91">
              <w:rPr>
                <w:rFonts w:cstheme="minorHAnsi"/>
                <w:sz w:val="20"/>
                <w:szCs w:val="20"/>
                <w:lang w:val="en-US"/>
              </w:rPr>
              <w:t xml:space="preserve">, episiotomy for primis, fundal pressure, vaginal packing and routine suction of all </w:t>
            </w:r>
            <w:r w:rsidR="004A2529" w:rsidRPr="00EC3E91">
              <w:rPr>
                <w:rFonts w:cstheme="minorHAnsi"/>
                <w:sz w:val="20"/>
                <w:szCs w:val="20"/>
                <w:lang w:val="en-US"/>
              </w:rPr>
              <w:t>new-borns</w:t>
            </w:r>
          </w:p>
        </w:tc>
        <w:tc>
          <w:tcPr>
            <w:tcW w:w="3969" w:type="dxa"/>
          </w:tcPr>
          <w:p w14:paraId="13595935" w14:textId="5AC3ED49" w:rsidR="00FF4BD9" w:rsidRPr="00EC3E91" w:rsidRDefault="00BA44B7" w:rsidP="008A0558">
            <w:pPr>
              <w:rPr>
                <w:rFonts w:cstheme="minorHAnsi"/>
                <w:sz w:val="20"/>
                <w:szCs w:val="20"/>
                <w:lang w:val="en-US"/>
              </w:rPr>
            </w:pPr>
            <w:r w:rsidRPr="00EC3E91">
              <w:rPr>
                <w:rFonts w:cstheme="minorHAnsi"/>
                <w:sz w:val="20"/>
                <w:szCs w:val="20"/>
                <w:lang w:val="en-US"/>
              </w:rPr>
              <w:t>a) WHO</w:t>
            </w:r>
            <w:r w:rsidR="00FF4BD9" w:rsidRPr="00EC3E91">
              <w:rPr>
                <w:rFonts w:cstheme="minorHAnsi"/>
                <w:sz w:val="20"/>
                <w:szCs w:val="20"/>
                <w:lang w:val="en-US"/>
              </w:rPr>
              <w:t xml:space="preserve"> Technical working group: care in normal birth: a practical guide </w:t>
            </w:r>
          </w:p>
          <w:p w14:paraId="5A744B3F" w14:textId="6C72D583" w:rsidR="00FF4BD9" w:rsidRPr="00EC3E91" w:rsidRDefault="00BA44B7" w:rsidP="008A0558">
            <w:pPr>
              <w:rPr>
                <w:rFonts w:cstheme="minorHAnsi"/>
                <w:sz w:val="20"/>
                <w:szCs w:val="20"/>
                <w:lang w:val="en-US"/>
              </w:rPr>
            </w:pPr>
            <w:r w:rsidRPr="00EC3E91">
              <w:rPr>
                <w:rFonts w:cstheme="minorHAnsi"/>
                <w:sz w:val="20"/>
                <w:szCs w:val="20"/>
                <w:lang w:val="en-US"/>
              </w:rPr>
              <w:t>b) WHO</w:t>
            </w:r>
            <w:r w:rsidR="00FF4BD9" w:rsidRPr="00EC3E91">
              <w:rPr>
                <w:rFonts w:cstheme="minorHAnsi"/>
                <w:sz w:val="20"/>
                <w:szCs w:val="20"/>
                <w:lang w:val="en-US"/>
              </w:rPr>
              <w:t xml:space="preserve"> reproductive health library </w:t>
            </w:r>
            <w:r w:rsidR="005B4949" w:rsidRPr="00EC3E91">
              <w:rPr>
                <w:rFonts w:cstheme="minorHAnsi"/>
                <w:sz w:val="20"/>
                <w:szCs w:val="20"/>
                <w:lang w:val="en-US"/>
              </w:rPr>
              <w:t>c) WHO</w:t>
            </w:r>
            <w:r w:rsidR="00FF4BD9" w:rsidRPr="00EC3E91">
              <w:rPr>
                <w:rFonts w:cstheme="minorHAnsi"/>
                <w:sz w:val="20"/>
                <w:szCs w:val="20"/>
                <w:lang w:val="en-US"/>
              </w:rPr>
              <w:t xml:space="preserve">, UNPF, </w:t>
            </w:r>
            <w:r w:rsidRPr="00EC3E91">
              <w:rPr>
                <w:rFonts w:cstheme="minorHAnsi"/>
                <w:sz w:val="20"/>
                <w:szCs w:val="20"/>
                <w:lang w:val="en-US"/>
              </w:rPr>
              <w:t>UNICEF</w:t>
            </w:r>
            <w:r w:rsidR="00FF4BD9" w:rsidRPr="00EC3E91">
              <w:rPr>
                <w:rFonts w:cstheme="minorHAnsi"/>
                <w:sz w:val="20"/>
                <w:szCs w:val="20"/>
                <w:lang w:val="en-US"/>
              </w:rPr>
              <w:t xml:space="preserve">, The world bank: pregnancy, childbirth, postpartum and </w:t>
            </w:r>
            <w:r w:rsidRPr="00EC3E91">
              <w:rPr>
                <w:rFonts w:cstheme="minorHAnsi"/>
                <w:sz w:val="20"/>
                <w:szCs w:val="20"/>
                <w:lang w:val="en-US"/>
              </w:rPr>
              <w:t>new-born</w:t>
            </w:r>
            <w:r w:rsidR="00FF4BD9" w:rsidRPr="00EC3E91">
              <w:rPr>
                <w:rFonts w:cstheme="minorHAnsi"/>
                <w:sz w:val="20"/>
                <w:szCs w:val="20"/>
                <w:lang w:val="en-US"/>
              </w:rPr>
              <w:t xml:space="preserve"> care: a guide for essential practice. 2nd ed. 2006</w:t>
            </w:r>
          </w:p>
        </w:tc>
        <w:tc>
          <w:tcPr>
            <w:tcW w:w="2551" w:type="dxa"/>
          </w:tcPr>
          <w:p w14:paraId="3A7792A5" w14:textId="5B535057" w:rsidR="00FF4BD9" w:rsidRPr="00EC3E91" w:rsidRDefault="00FF4BD9" w:rsidP="00D56C0C">
            <w:pPr>
              <w:rPr>
                <w:rFonts w:cstheme="minorHAnsi"/>
                <w:sz w:val="20"/>
                <w:szCs w:val="20"/>
                <w:lang w:val="en-US"/>
              </w:rPr>
            </w:pPr>
            <w:r w:rsidRPr="00EC3E91">
              <w:rPr>
                <w:rFonts w:cstheme="minorHAnsi"/>
                <w:sz w:val="20"/>
                <w:szCs w:val="20"/>
                <w:lang w:val="en-US"/>
              </w:rPr>
              <w:t xml:space="preserve">Make training dynamic, audit and feedback </w:t>
            </w:r>
          </w:p>
        </w:tc>
      </w:tr>
      <w:tr w:rsidR="00FF4BD9" w:rsidRPr="00E119DD" w14:paraId="66FDC644" w14:textId="77777777" w:rsidTr="00FF4BD9">
        <w:trPr>
          <w:tblHeader/>
        </w:trPr>
        <w:tc>
          <w:tcPr>
            <w:tcW w:w="709" w:type="dxa"/>
          </w:tcPr>
          <w:p w14:paraId="24DF3AE7" w14:textId="4DEC00B5"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{"citationItems":[{"id":"ITEM-1","itemData":{"ISSN":"0030-9982","abstract":"OBJECTIVES: To minimise irrational use of antibiotics by implementing guidelines for antibiotic usage in obstetrics and Gynaeocology. METHODS: The observational study was conducted from January to December 2010 at the maternity unit of Aga Khan Hospital for Women and children, Kharadar, a secondary care facility in Karachi, Pakistan. Data was collected from medical records related to the study period. Prophylactic antibiotics were given according to the American College of Obstetricians and Gynaecologists recommendation 2009. Surveillance was done by surgical site infection rates and infectious morbidity. Data was analysed on SPSS 13. RESULTS: Therapeutic antibiotic use was rationalized, reducing the use of therapeutic antibiotics from 97% (n = 160/165) in January 2010 to 8% (n = 10/125) in December 2010. Surgical site infection rates were less than 5%. Cost of antibiotics per patient decreased by 90%. Decrease in the length of stay and workload on nursing staff was also observed. CONCLUSION: Implementing guidelines for antibiotic use in obstetrics and gynaecology and translating it into our protocols was effective in decreasing the irrational antibiotic consumption and increasing the rational use of antibiotics in the hospital.","author":[{"dropping-particle":"","family":"Nausheen","given":"S","non-dropping-particle":"","parse-names":false,"suffix":""},{"dropping-particle":"","family":"Hammad","given":"R","non-dropping-particle":"","parse-names":false,"suffix":""},{"dropping-particle":"","family":"Khan","given":"A","non-dropping-particle":"","parse-names":false,"suffix":""}],"container-title":"JPMA - Journal of the Pakistan Medical Association","id":"ITEM-1","issue":"1","issued":{"date-parts":[["2013"]]},"page":"60-64","title":"Rational use of antibiotics--a quality improvement initiative in hospital setting","type":"article-journal","volume":"63"},"uris":["http://www.mendeley.com/documents/?uuid=9a618cd5-4bf9-40a9-b95b-16cd33e0b054"]}],"mendeley":{"formattedCitation":"(3)","plainTextFormattedCitation":"(3)","previouslyFormattedCitation":"(3)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w:t>
            </w:r>
            <w:r w:rsidRPr="00EC3E91">
              <w:rPr>
                <w:rFonts w:cstheme="minorHAnsi"/>
                <w:sz w:val="20"/>
                <w:szCs w:val="20"/>
                <w:lang w:val="en-US"/>
              </w:rPr>
              <w:fldChar w:fldCharType="end"/>
            </w:r>
          </w:p>
        </w:tc>
        <w:tc>
          <w:tcPr>
            <w:tcW w:w="992" w:type="dxa"/>
          </w:tcPr>
          <w:p w14:paraId="22E3845D" w14:textId="2C031C99" w:rsidR="00FF4BD9" w:rsidRPr="00EC3E91" w:rsidRDefault="00FF4BD9" w:rsidP="00D56C0C">
            <w:pPr>
              <w:rPr>
                <w:rFonts w:cstheme="minorHAnsi"/>
                <w:sz w:val="20"/>
                <w:szCs w:val="20"/>
                <w:lang w:val="en-US"/>
              </w:rPr>
            </w:pPr>
            <w:r w:rsidRPr="00EC3E91">
              <w:rPr>
                <w:rFonts w:cstheme="minorHAnsi"/>
                <w:sz w:val="20"/>
                <w:szCs w:val="20"/>
                <w:lang w:val="en-US"/>
              </w:rPr>
              <w:t>Pakistan</w:t>
            </w:r>
          </w:p>
        </w:tc>
        <w:tc>
          <w:tcPr>
            <w:tcW w:w="993" w:type="dxa"/>
          </w:tcPr>
          <w:p w14:paraId="0D59B277" w14:textId="760DA659"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45202811" w14:textId="23B61B8B"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7DADEDC9" w14:textId="05A01E43"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14884184" w14:textId="5ADB3F38"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4A46246B" w14:textId="24FFE6CF"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 prophylaxis for </w:t>
            </w:r>
            <w:r w:rsidR="005B4949" w:rsidRPr="00EC3E91">
              <w:rPr>
                <w:rFonts w:cstheme="minorHAnsi"/>
                <w:sz w:val="20"/>
                <w:szCs w:val="20"/>
                <w:lang w:val="en-US"/>
              </w:rPr>
              <w:t>gynecologic</w:t>
            </w:r>
            <w:r w:rsidRPr="00EC3E91">
              <w:rPr>
                <w:rFonts w:cstheme="minorHAnsi"/>
                <w:sz w:val="20"/>
                <w:szCs w:val="20"/>
                <w:lang w:val="en-US"/>
              </w:rPr>
              <w:t xml:space="preserve"> and obstetric procedures</w:t>
            </w:r>
          </w:p>
        </w:tc>
        <w:tc>
          <w:tcPr>
            <w:tcW w:w="3969" w:type="dxa"/>
          </w:tcPr>
          <w:p w14:paraId="7FEFF0F0" w14:textId="10FB98BD" w:rsidR="00FF4BD9" w:rsidRPr="00EC3E91" w:rsidRDefault="00FF4BD9" w:rsidP="00D56C0C">
            <w:pPr>
              <w:rPr>
                <w:rFonts w:cstheme="minorHAnsi"/>
                <w:sz w:val="20"/>
                <w:szCs w:val="20"/>
                <w:lang w:val="en-US"/>
              </w:rPr>
            </w:pPr>
            <w:r w:rsidRPr="00EC3E91">
              <w:rPr>
                <w:rFonts w:cstheme="minorHAnsi"/>
                <w:sz w:val="20"/>
                <w:szCs w:val="20"/>
                <w:lang w:val="en-US"/>
              </w:rPr>
              <w:t xml:space="preserve">The American College of Obstetricians and </w:t>
            </w:r>
            <w:r w:rsidR="0019466F" w:rsidRPr="00EC3E91">
              <w:rPr>
                <w:rFonts w:cstheme="minorHAnsi"/>
                <w:sz w:val="20"/>
                <w:szCs w:val="20"/>
                <w:lang w:val="en-US"/>
              </w:rPr>
              <w:t>Gynecologists</w:t>
            </w:r>
            <w:r w:rsidRPr="00EC3E91">
              <w:rPr>
                <w:rFonts w:cstheme="minorHAnsi"/>
                <w:sz w:val="20"/>
                <w:szCs w:val="20"/>
                <w:lang w:val="en-US"/>
              </w:rPr>
              <w:t xml:space="preserve"> (ACOG) practice bulleting on antibiotic prophylaxis for </w:t>
            </w:r>
            <w:r w:rsidR="0019466F" w:rsidRPr="00EC3E91">
              <w:rPr>
                <w:rFonts w:cstheme="minorHAnsi"/>
                <w:sz w:val="20"/>
                <w:szCs w:val="20"/>
                <w:lang w:val="en-US"/>
              </w:rPr>
              <w:t>gynecologic</w:t>
            </w:r>
            <w:r w:rsidRPr="00EC3E91">
              <w:rPr>
                <w:rFonts w:cstheme="minorHAnsi"/>
                <w:sz w:val="20"/>
                <w:szCs w:val="20"/>
                <w:lang w:val="en-US"/>
              </w:rPr>
              <w:t xml:space="preserve"> and obstetric procedures</w:t>
            </w:r>
          </w:p>
        </w:tc>
        <w:tc>
          <w:tcPr>
            <w:tcW w:w="2551" w:type="dxa"/>
          </w:tcPr>
          <w:p w14:paraId="32FB1FC0" w14:textId="3908C804" w:rsidR="00FF4BD9" w:rsidRPr="00EC3E91" w:rsidRDefault="00FF4BD9" w:rsidP="00D56C0C">
            <w:pPr>
              <w:rPr>
                <w:rFonts w:cstheme="minorHAnsi"/>
                <w:sz w:val="20"/>
                <w:szCs w:val="20"/>
                <w:lang w:val="en-US"/>
              </w:rPr>
            </w:pPr>
            <w:r w:rsidRPr="00EC3E91">
              <w:rPr>
                <w:rFonts w:cstheme="minorHAnsi"/>
                <w:sz w:val="20"/>
                <w:szCs w:val="20"/>
                <w:lang w:val="en-US"/>
              </w:rPr>
              <w:t xml:space="preserve">Distribute educational materials, conduct educational meeting, develop and organize quality monitoring system, </w:t>
            </w:r>
          </w:p>
        </w:tc>
      </w:tr>
      <w:tr w:rsidR="00FF4BD9" w:rsidRPr="00E119DD" w14:paraId="31B12373" w14:textId="77777777" w:rsidTr="00FF4BD9">
        <w:trPr>
          <w:tblHeader/>
        </w:trPr>
        <w:tc>
          <w:tcPr>
            <w:tcW w:w="709" w:type="dxa"/>
          </w:tcPr>
          <w:p w14:paraId="30ABFD6A" w14:textId="7B8C613F"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{"citationItems":[{"id":"ITEM-1","itemData":{"DOI":"10.1001/jama.2016.0275","ISSN":"15383598","abstract":"IMPORTANCE: Interventions based on behavioral science might reduce inappropriate antibiotic prescribing. OBJECTIVE: To assess effects of behavioral interventions and rates of inappropriate (not guideline-concordant) antibiotic prescribing during ambulatory visits for acute respiratory tract infections. DESIGN, SETTING, AND PARTICIPANTS: Cluster randomized clinical trial conducted among 47 primary care practices in Boston and Los Angeles. Participants were 248 enrolled clinicians randomized to receive 0, 1, 2, or 3 interventions for 18 months. All clinicians received education on antibiotic prescribing guidelines on enrollment. Interventions began between November 1, 2011, and October 1, 2012. Follow-up for the latest-starting sites ended on April 1, 2014. Adult patients with comorbidities and concomitant infections were excluded. INTERVENTIONS: Three behavioral interventions, implemented alone or in combination: suggested alternatives presented electronic order sets suggesting nonantibiotic treatments; accountable justification prompted clinicians to enter free-text justifications for prescribing antibiotics into patients' electronic health records; peer comparison sent emails to clinicians that compared their antibiotic prescribing rates with those of \"top performers\" (those with the lowest inappropriate prescribing rates). MAIN OUTCOMES AND MEASURES: Antibiotic prescribing rates for visits with antibiotic-inappropriate diagnoses (nonspecific upper respiratory tract infections, acute bronchitis, and influenza) from 18 months preintervention to 18 months afterward, adjusting each intervention's effects for co-occurring interventions and preintervention trends, with random effects for practices and clinicians. RESULTS: There were 14,753 visits (mean patient age, 47 years; 69% women) for antibiotic-inappropriate acute respiratory tract infections during the baseline period and 16,959 visits (mean patient age, 48 years; 67% women) during the intervention period. Mean antibiotic prescribing rates decreased from 24.1% at intervention start to 13.1% at intervention month 18 (absolute difference, -11.0%) for control practices; from 22.1% to 6.1% (absolute difference, -16.0%) for suggested alternatives (difference in differences, -5.0% [95% CI, -7.8% to 0.1%]; P=.66 for differences in trajectories); from 23.2% to 5.2% (absolute difference, -18.1%) for accountable justification (difference in differences, -7.0% [95% CI, -9.1% to -2.9%]; P&lt;.001); and from 19.9% t…","author":[{"dropping-particle":"","family":"Meeker","given":"Daniella","non-dropping-particle":"","parse-names":false,"suffix":""},{"dropping-particle":"","family":"Linder","given":"Jeffrey A.","non-dropping-particle":"","parse-names":false,"suffix":""},{"dropping-particle":"","family":"Fox","given":"Craig R.","non-dropping-particle":"","parse-names":false,"suffix":""},{"dropping-particle":"","family":"Friedberg","given":"Mark W.","non-dropping-particle":"","parse-names":false,"suffix":""},{"dropping-particle":"","family":"Persell","given":"Stephen D.","non-dropping-particle":"","parse-names":false,"suffix":""},{"dropping-particle":"","family":"Goldstein","given":"Noah J.","non-dropping-particle":"","parse-names":false,"suffix":""},{"dropping-particle":"","family":"Knight","given":"Tara K.","non-dropping-particle":"","parse-names":false,"suffix":""},{"dropping-particle":"","family":"Hay","given":"Joel W.","non-dropping-particle":"","parse-names":false,"suffix":""},{"dropping-particle":"","family":"Doctor","given":"Jason N.","non-dropping-particle":"","parse-names":false,"suffix":""}],"container-title":"JAMA","id":"ITEM-1","issue":"6","issued":{"date-parts":[["2016"]]},"page":"562-570","title":"Effect of Behavioral Interventions on Inappropriate Antibiotic Prescribing Among Primary Care Practices: A Randomized Clinical Trial","type":"article-journal","volume":"315"},"uris":["http://www.mendeley.com/documents/?uuid=755c8ae9-43d9-4474-b026-7475675b715c"]}],"mendeley":{"formattedCitation":"(4)","plainTextFormattedCitation":"(4)","previouslyFormattedCitation":"(4)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w:t>
            </w:r>
            <w:r w:rsidRPr="00EC3E91">
              <w:rPr>
                <w:rFonts w:cstheme="minorHAnsi"/>
                <w:sz w:val="20"/>
                <w:szCs w:val="20"/>
                <w:lang w:val="en-US"/>
              </w:rPr>
              <w:fldChar w:fldCharType="end"/>
            </w:r>
          </w:p>
        </w:tc>
        <w:tc>
          <w:tcPr>
            <w:tcW w:w="992" w:type="dxa"/>
          </w:tcPr>
          <w:p w14:paraId="512595C3" w14:textId="2493EB6B"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29EF33E8" w14:textId="24A1EE7B" w:rsidR="00FF4BD9" w:rsidRPr="00EC3E91" w:rsidRDefault="00FF4BD9" w:rsidP="00D56C0C">
            <w:pPr>
              <w:rPr>
                <w:rFonts w:cstheme="minorHAnsi"/>
                <w:sz w:val="20"/>
                <w:szCs w:val="20"/>
                <w:lang w:val="en-US"/>
              </w:rPr>
            </w:pPr>
            <w:r w:rsidRPr="00EC3E91">
              <w:rPr>
                <w:rFonts w:cstheme="minorHAnsi"/>
                <w:sz w:val="20"/>
                <w:szCs w:val="20"/>
                <w:lang w:val="en-US"/>
              </w:rPr>
              <w:t>Primary care</w:t>
            </w:r>
          </w:p>
        </w:tc>
        <w:tc>
          <w:tcPr>
            <w:tcW w:w="850" w:type="dxa"/>
          </w:tcPr>
          <w:p w14:paraId="58A70B7E" w14:textId="5CC7A447" w:rsidR="00FF4BD9" w:rsidRPr="00EC3E91" w:rsidRDefault="00FF4BD9" w:rsidP="00D56C0C">
            <w:pPr>
              <w:rPr>
                <w:rFonts w:cstheme="minorHAnsi"/>
                <w:sz w:val="20"/>
                <w:szCs w:val="20"/>
                <w:lang w:val="en-US"/>
              </w:rPr>
            </w:pPr>
            <w:r w:rsidRPr="00EC3E91">
              <w:rPr>
                <w:rFonts w:cstheme="minorHAnsi"/>
                <w:sz w:val="20"/>
                <w:szCs w:val="20"/>
                <w:lang w:val="en-US"/>
              </w:rPr>
              <w:t>Quant RCT</w:t>
            </w:r>
          </w:p>
        </w:tc>
        <w:tc>
          <w:tcPr>
            <w:tcW w:w="851" w:type="dxa"/>
          </w:tcPr>
          <w:p w14:paraId="1B70D42A" w14:textId="5AB7B018"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52881E9B" w14:textId="2C6E49AC"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4B0B07DC" w14:textId="6643A87D" w:rsidR="00FF4BD9" w:rsidRPr="00EC3E91" w:rsidRDefault="00FF4BD9" w:rsidP="00D56C0C">
            <w:pPr>
              <w:rPr>
                <w:rFonts w:cstheme="minorHAnsi"/>
                <w:sz w:val="20"/>
                <w:szCs w:val="20"/>
                <w:lang w:val="en-US"/>
              </w:rPr>
            </w:pPr>
            <w:r w:rsidRPr="00EC3E91">
              <w:rPr>
                <w:rFonts w:cstheme="minorHAnsi"/>
                <w:sz w:val="20"/>
                <w:szCs w:val="20"/>
                <w:lang w:val="en-US"/>
              </w:rPr>
              <w:t>Inappropriate use of antibiotics (e.g., nonspecific upper respiratory tract infections, acute bronchitis, and influenza)</w:t>
            </w:r>
          </w:p>
        </w:tc>
        <w:tc>
          <w:tcPr>
            <w:tcW w:w="3969" w:type="dxa"/>
          </w:tcPr>
          <w:p w14:paraId="01395DD0" w14:textId="6CBC292D" w:rsidR="00FF4BD9" w:rsidRPr="00EC3E91" w:rsidRDefault="00FF4BD9" w:rsidP="00E31087">
            <w:pPr>
              <w:rPr>
                <w:rFonts w:cstheme="minorHAnsi"/>
                <w:sz w:val="20"/>
                <w:szCs w:val="20"/>
                <w:lang w:val="en-US"/>
              </w:rPr>
            </w:pPr>
            <w:r w:rsidRPr="00EC3E91">
              <w:rPr>
                <w:rFonts w:ascii="Calibri" w:eastAsia="Times New Roman" w:hAnsi="Calibri" w:cs="Calibri"/>
                <w:color w:val="000000"/>
                <w:lang w:val="en-US"/>
              </w:rPr>
              <w:t>Principles of appropriate antibiotic use for treatment of nonspecific upper respiratory tract infections in adults. From Annals of Internal Medicine</w:t>
            </w:r>
          </w:p>
        </w:tc>
        <w:tc>
          <w:tcPr>
            <w:tcW w:w="2551" w:type="dxa"/>
          </w:tcPr>
          <w:p w14:paraId="10D0B4B4" w14:textId="0A303462" w:rsidR="00FF4BD9" w:rsidRPr="00EC3E91" w:rsidRDefault="00FF4BD9" w:rsidP="00D56C0C">
            <w:pPr>
              <w:rPr>
                <w:rFonts w:cstheme="minorHAnsi"/>
                <w:sz w:val="20"/>
                <w:szCs w:val="20"/>
                <w:lang w:val="en-US"/>
              </w:rPr>
            </w:pPr>
            <w:r w:rsidRPr="00EC3E91">
              <w:rPr>
                <w:rFonts w:cstheme="minorHAnsi"/>
                <w:sz w:val="20"/>
                <w:szCs w:val="20"/>
                <w:lang w:val="en-US"/>
              </w:rPr>
              <w:t>Remind clinicians, [ACCOUNTABILITY TOOL]</w:t>
            </w:r>
          </w:p>
        </w:tc>
      </w:tr>
      <w:tr w:rsidR="00FF4BD9" w:rsidRPr="00E119DD" w14:paraId="69EA593C" w14:textId="77777777" w:rsidTr="00FF4BD9">
        <w:trPr>
          <w:tblHeader/>
        </w:trPr>
        <w:tc>
          <w:tcPr>
            <w:tcW w:w="709" w:type="dxa"/>
          </w:tcPr>
          <w:p w14:paraId="73A9D1BF" w14:textId="10CDD33A"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{"citationItems":[{"id":"ITEM-1","itemData":{"ISSN":"1176-9092","abstract":"Background: Elderly people (aged 65 years or more) are at increased risk of polypharmacy (five or more medications), inappropriate medication use, and associated increased health care costs. The use of clinical decision support (CDS) within an electronic medical record (EMR) could improve medication safety. Methods: Participatory action research methods were applied to preproduction design and development and postproduction optimization of an EMR-embedded CDS implementation of the Beers’ Criteria for medication management and the Cockcroft–Gault formula for estimating glomerular filtration rates (GFR). The “Seniors Medication Alert and Review Technologies” (SMART) intervention was used in primary care and geriatrics specialty clinics. Passive (chart messages) and active (order-entry alerts) prompts exposed potentially inappropriate medications, decreased GFR, and the possible need for medication adjustments. Physician reactions were assessed using surveys, EMR simulations, focus groups, and semi-structured interviews. EMR audit data were used to identify eligible patient encounters, the frequency of CDS events, how alerts were managed, and when evidence links were followed. Results: Analysis of subjective data revealed that most clinicians agreed that CDS appeared at appropriate times during patient care. Although managing alerts incurred a modest time burden, most also agreed that workflow was not disrupted. Prevalent concerns related to clinician accountability and potential liability. Approximately 36% of eligible encounters triggered at least one SMART alert, with GFR alert, and most frequent medication warnings were with hypnotics and anticholinergics. Approximately 25% of alerts were overridden and ~15% elicited an evidence check. Conclusion: While most SMART alerts validated clinician choices, they were received as valuable reminders for evidence-informed care and education. Data from this study may aid other attempts to implement Beers’ Criteria in ambulatory care EMRs.","author":[{"dropping-particle":"","family":"Alagiakrishnan","given":"K","non-dropping-particle":"","parse-names":false,"suffix":""},{"dropping-particle":"","family":"Wilson","given":"P","non-dropping-particle":"","parse-names":false,"suffix":""},{"dropping-particle":"","family":"Sadowski","given":"C A","non-dropping-particle":"","parse-names":false,"suffix":""},{"dropping-particle":"","family":"Rolfson","given":"D","non-dropping-particle":"","parse-names":false,"suffix":""},{"dropping-particle":"","family":"Ballermann","given":"M","non-dropping-particle":"","parse-names":false,"suffix":""},{"dropping-particle":"","family":"Ausford","given":"A","non-dropping-particle":"","parse-names":false,"suffix":""},{"dropping-particle":"","family":"Vermeer","given":"K","non-dropping-particle":"","parse-names":false,"suffix":""},{"dropping-particle":"","family":"Mohindra","given":"K","non-dropping-particle":"","parse-names":false,"suffix":""},{"dropping-particle":"","family":"Romney","given":"J","non-dropping-particle":"","parse-names":false,"suffix":""},{"dropping-particle":"","family":"Hayward","given":"R S","non-dropping-particle":"","parse-names":false,"suffix":""}],"container-title":"Clinical Interventions in Aging","id":"ITEM-1","issued":{"date-parts":[["2016"]]},"page":"73-81","title":"Physicians’ use of computerized clinical decision supports to improve medication management in the elderly – The Seniors Medication Alert and Review Technology intervention","type":"article-journal","volume":"11"},"uris":["http://www.mendeley.com/documents/?uuid=cb541997-68fb-4426-a62d-2b82212ecc5a"]}],"mendeley":{"formattedCitation":"(5)","plainTextFormattedCitation":"(5)","previouslyFormattedCitation":"(5)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w:t>
            </w:r>
            <w:r w:rsidRPr="00EC3E91">
              <w:rPr>
                <w:rFonts w:cstheme="minorHAnsi"/>
                <w:sz w:val="20"/>
                <w:szCs w:val="20"/>
                <w:lang w:val="en-US"/>
              </w:rPr>
              <w:fldChar w:fldCharType="end"/>
            </w:r>
          </w:p>
        </w:tc>
        <w:tc>
          <w:tcPr>
            <w:tcW w:w="992" w:type="dxa"/>
          </w:tcPr>
          <w:p w14:paraId="54E08236" w14:textId="44FEE66C" w:rsidR="00FF4BD9" w:rsidRPr="00EC3E91" w:rsidRDefault="00FF4BD9" w:rsidP="00D56C0C">
            <w:pPr>
              <w:rPr>
                <w:rFonts w:cstheme="minorHAnsi"/>
                <w:sz w:val="20"/>
                <w:szCs w:val="20"/>
                <w:lang w:val="en-US"/>
              </w:rPr>
            </w:pPr>
            <w:r w:rsidRPr="00EC3E91">
              <w:rPr>
                <w:rFonts w:cstheme="minorHAnsi"/>
                <w:sz w:val="20"/>
                <w:szCs w:val="20"/>
                <w:lang w:val="en-US"/>
              </w:rPr>
              <w:t xml:space="preserve">Canada </w:t>
            </w:r>
          </w:p>
        </w:tc>
        <w:tc>
          <w:tcPr>
            <w:tcW w:w="993" w:type="dxa"/>
          </w:tcPr>
          <w:p w14:paraId="43F0308D" w14:textId="72077391" w:rsidR="00FF4BD9" w:rsidRPr="00EC3E91" w:rsidRDefault="00FF4BD9" w:rsidP="00D56C0C">
            <w:pPr>
              <w:rPr>
                <w:rFonts w:cstheme="minorHAnsi"/>
                <w:sz w:val="20"/>
                <w:szCs w:val="20"/>
                <w:lang w:val="en-US"/>
              </w:rPr>
            </w:pPr>
            <w:r w:rsidRPr="00EC3E91">
              <w:rPr>
                <w:rFonts w:cstheme="minorHAnsi"/>
                <w:sz w:val="20"/>
                <w:szCs w:val="20"/>
                <w:lang w:val="en-US"/>
              </w:rPr>
              <w:t>Aged Care</w:t>
            </w:r>
          </w:p>
        </w:tc>
        <w:tc>
          <w:tcPr>
            <w:tcW w:w="850" w:type="dxa"/>
          </w:tcPr>
          <w:p w14:paraId="70837061" w14:textId="1BE9FC4D" w:rsidR="00FF4BD9" w:rsidRPr="00EC3E91" w:rsidRDefault="00FF4BD9" w:rsidP="00D56C0C">
            <w:pPr>
              <w:rPr>
                <w:rFonts w:cstheme="minorHAnsi"/>
                <w:sz w:val="20"/>
                <w:szCs w:val="20"/>
                <w:lang w:val="en-US"/>
              </w:rPr>
            </w:pPr>
            <w:r w:rsidRPr="00EC3E91">
              <w:rPr>
                <w:rFonts w:cstheme="minorHAnsi"/>
                <w:sz w:val="20"/>
                <w:szCs w:val="20"/>
                <w:lang w:val="en-US"/>
              </w:rPr>
              <w:t xml:space="preserve">Mixed – Case study </w:t>
            </w:r>
          </w:p>
        </w:tc>
        <w:tc>
          <w:tcPr>
            <w:tcW w:w="851" w:type="dxa"/>
          </w:tcPr>
          <w:p w14:paraId="7D7B2D4C" w14:textId="077F544A" w:rsidR="00FF4BD9" w:rsidRPr="00EC3E91" w:rsidRDefault="00BA44B7" w:rsidP="00D56C0C">
            <w:pPr>
              <w:rPr>
                <w:rFonts w:cstheme="minorHAnsi"/>
                <w:sz w:val="20"/>
                <w:szCs w:val="20"/>
                <w:lang w:val="en-US"/>
              </w:rPr>
            </w:pPr>
            <w:r w:rsidRPr="00EC3E91">
              <w:rPr>
                <w:rFonts w:cstheme="minorHAnsi"/>
                <w:sz w:val="20"/>
                <w:szCs w:val="20"/>
                <w:lang w:val="en-US"/>
              </w:rPr>
              <w:t>Feasibility</w:t>
            </w:r>
            <w:r w:rsidR="00FF4BD9" w:rsidRPr="00EC3E91">
              <w:rPr>
                <w:rFonts w:cstheme="minorHAnsi"/>
                <w:sz w:val="20"/>
                <w:szCs w:val="20"/>
                <w:lang w:val="en-US"/>
              </w:rPr>
              <w:t xml:space="preserve"> </w:t>
            </w:r>
          </w:p>
        </w:tc>
        <w:tc>
          <w:tcPr>
            <w:tcW w:w="1134" w:type="dxa"/>
          </w:tcPr>
          <w:p w14:paraId="7985CABF" w14:textId="00845E9D"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1CBFF142" w14:textId="6748FB26" w:rsidR="00FF4BD9" w:rsidRPr="00EC3E91" w:rsidRDefault="00FF4BD9" w:rsidP="00D56C0C">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0A972BCD" w14:textId="2DE47DE9" w:rsidR="00FF4BD9" w:rsidRPr="00EC3E91" w:rsidRDefault="00BA44B7" w:rsidP="00A54070">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 </w:t>
            </w:r>
          </w:p>
        </w:tc>
        <w:tc>
          <w:tcPr>
            <w:tcW w:w="2551" w:type="dxa"/>
          </w:tcPr>
          <w:p w14:paraId="6477FB23" w14:textId="3933919C" w:rsidR="00FF4BD9" w:rsidRPr="00EC3E91" w:rsidRDefault="00FF4BD9" w:rsidP="00D56C0C">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4A88A276" w14:textId="77777777" w:rsidTr="00FF4BD9">
        <w:trPr>
          <w:tblHeader/>
        </w:trPr>
        <w:tc>
          <w:tcPr>
            <w:tcW w:w="709" w:type="dxa"/>
          </w:tcPr>
          <w:p w14:paraId="5E6E45BC" w14:textId="6BC39F56"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{"citationItems":[{"id":"ITEM-1","itemData":{"DOI":"10.1111/ijpp.12397","ISSN":"0961-7671","abstract":"Polypharmacy is both common and harmful for frail residents of long-term care facilities (LTCF). We aimed to study rates of polypharmacy and potentially inappropriate medications (PIMs) before and after the implementation of a new model of coordinated primary care in LTCF, ‘Care by Design (CBD)’.This was an observational before/after study in 10 LTCFs in Halifax, NS, Canada. Chart reviews were conducted for 529 LTCF residents for whom medication use was available. Both regularly scheduled and PRN medications were included but topical, inhaled and other non-systemic agents were excluded. Polypharmacy was defined as the concomitant use of more than 10 medications. PIMs were identified using Beers Criteria.Mean age of LTCF residents was older pre- versus post-CBD (85.7 versus 82.1 years; P = 0.0015). The burden of polypharmacy was high, but decreased significantly from 86.8% pre-CBD to 79.5% post-CBD (P = 0.046). The mean number of medications per resident decreased from 16.7 (SD 5.6) pre- to 15.5 (SD 6.2) post-CBD (P = 0.037). Residents with dementia were taking fewer medications both overall and following the implementation of CBD (mean 15.9, SD 0.6 pre-CBD versus 14.4, SD 0.4 post-CBD; P = 0.04). PIM rates were high and showed no change with CBD (86.2% versus 81.1%, P = 0.16).Polypharmacy was the norm of this sample of LTCF residents. Implementation of coordinated care through the CBD model was associated with a small decrease in polypharmacy but not overall use of PIMs. Further targeted efforts are required to substantially reduce both polypharmacy and PIMs in clinical practice.","author":[{"dropping-particle":"","family":"Andrew","given":"Melissa K","non-dropping-particle":"","parse-names":false,"suffix":""},{"dropping-particle":"","family":"Purcell","given":"Chad A","non-dropping-particle":"","parse-names":false,"suffix":""},{"dropping-particle":"","family":"Marshall","given":"Emily G","non-dropping-particle":"","parse-names":false,"suffix":""},{"dropping-particle":"","family":"Varatharasan","given":"Nirupa","non-dropping-particle":"","parse-names":false,"suffix":""},{"dropping-particle":"","family":"Clarke","given":"Barry","non-dropping-particle":"","parse-names":false,"suffix":""},{"dropping-particle":"","family":"Bowles","given":"Susan K","non-dropping-particle":"","parse-names":false,"suffix":""}],"container-title":"International Journal of Pharmacy Practice","id":"ITEM-1","issue":"4","issued":{"date-parts":[["2018","8","1"]]},"page":"318-324","title":"Polypharmacy and use of potentially inappropriate medications in long-term care facilities: does coordinated primary care make a difference?","type":"article-journal","volume":"26"},"uris":["http://www.mendeley.com/documents/?uuid=811166ae-734c-48f3-aa99-c24f1b015985"]}],"mendeley":{"formattedCitation":"(6)","plainTextFormattedCitation":"(6)","previouslyFormattedCitation":"(6)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w:t>
            </w:r>
            <w:r w:rsidRPr="00EC3E91">
              <w:rPr>
                <w:rFonts w:cstheme="minorHAnsi"/>
                <w:sz w:val="20"/>
                <w:szCs w:val="20"/>
                <w:lang w:val="en-US"/>
              </w:rPr>
              <w:fldChar w:fldCharType="end"/>
            </w:r>
          </w:p>
        </w:tc>
        <w:tc>
          <w:tcPr>
            <w:tcW w:w="992" w:type="dxa"/>
          </w:tcPr>
          <w:p w14:paraId="47762F90" w14:textId="54C430B2" w:rsidR="00FF4BD9" w:rsidRPr="00EC3E91" w:rsidRDefault="00FF4BD9" w:rsidP="00D56C0C">
            <w:pPr>
              <w:rPr>
                <w:rFonts w:cstheme="minorHAnsi"/>
                <w:sz w:val="20"/>
                <w:szCs w:val="20"/>
                <w:lang w:val="en-US"/>
              </w:rPr>
            </w:pPr>
            <w:r w:rsidRPr="00EC3E91">
              <w:rPr>
                <w:rFonts w:cstheme="minorHAnsi"/>
                <w:sz w:val="20"/>
                <w:szCs w:val="20"/>
                <w:lang w:val="en-US"/>
              </w:rPr>
              <w:t xml:space="preserve">Canada </w:t>
            </w:r>
          </w:p>
        </w:tc>
        <w:tc>
          <w:tcPr>
            <w:tcW w:w="993" w:type="dxa"/>
          </w:tcPr>
          <w:p w14:paraId="1C0B813B" w14:textId="7689F7D3" w:rsidR="00FF4BD9" w:rsidRPr="00EC3E91" w:rsidRDefault="00FF4BD9" w:rsidP="00D56C0C">
            <w:pPr>
              <w:rPr>
                <w:rFonts w:cstheme="minorHAnsi"/>
                <w:sz w:val="20"/>
                <w:szCs w:val="20"/>
                <w:lang w:val="en-US"/>
              </w:rPr>
            </w:pPr>
            <w:r w:rsidRPr="00EC3E91">
              <w:rPr>
                <w:rFonts w:cstheme="minorHAnsi"/>
                <w:sz w:val="20"/>
                <w:szCs w:val="20"/>
                <w:lang w:val="en-US"/>
              </w:rPr>
              <w:t>Aged Care</w:t>
            </w:r>
          </w:p>
        </w:tc>
        <w:tc>
          <w:tcPr>
            <w:tcW w:w="850" w:type="dxa"/>
          </w:tcPr>
          <w:p w14:paraId="006966B7" w14:textId="75767E08"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66962962" w14:textId="0BD15B36"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29BE8991" w14:textId="3EE06A32"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0DB0564C" w14:textId="7DAD3DFE" w:rsidR="00FF4BD9" w:rsidRPr="00EC3E91" w:rsidRDefault="00FF4BD9" w:rsidP="00D56C0C">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40EB5430" w14:textId="6BE17DC8" w:rsidR="00FF4BD9" w:rsidRPr="00EC3E91" w:rsidRDefault="00FF4BD9" w:rsidP="00E31087">
            <w:pPr>
              <w:rPr>
                <w:rFonts w:cstheme="minorHAnsi"/>
                <w:sz w:val="20"/>
                <w:szCs w:val="20"/>
                <w:lang w:val="en-US"/>
              </w:rPr>
            </w:pPr>
            <w:r w:rsidRPr="00EC3E91">
              <w:rPr>
                <w:rFonts w:cstheme="minorHAnsi"/>
                <w:sz w:val="20"/>
                <w:szCs w:val="20"/>
                <w:lang w:val="en-US"/>
              </w:rPr>
              <w:t>Beers Criteria</w:t>
            </w:r>
          </w:p>
        </w:tc>
        <w:tc>
          <w:tcPr>
            <w:tcW w:w="2551" w:type="dxa"/>
          </w:tcPr>
          <w:p w14:paraId="1F098038" w14:textId="19813988" w:rsidR="00FF4BD9" w:rsidRPr="00EC3E91" w:rsidRDefault="00FF4BD9" w:rsidP="00D56C0C">
            <w:pPr>
              <w:rPr>
                <w:rFonts w:cstheme="minorHAnsi"/>
                <w:sz w:val="20"/>
                <w:szCs w:val="20"/>
                <w:lang w:val="en-US"/>
              </w:rPr>
            </w:pPr>
            <w:r w:rsidRPr="00EC3E91">
              <w:rPr>
                <w:rFonts w:cstheme="minorHAnsi"/>
                <w:sz w:val="20"/>
                <w:szCs w:val="20"/>
                <w:lang w:val="en-US"/>
              </w:rPr>
              <w:t xml:space="preserve">Develop and organize quality monitoring systems </w:t>
            </w:r>
          </w:p>
        </w:tc>
      </w:tr>
      <w:tr w:rsidR="00FF4BD9" w:rsidRPr="00E119DD" w14:paraId="51475BA8" w14:textId="77777777" w:rsidTr="00FF4BD9">
        <w:trPr>
          <w:tblHeader/>
        </w:trPr>
        <w:tc>
          <w:tcPr>
            <w:tcW w:w="709" w:type="dxa"/>
          </w:tcPr>
          <w:p w14:paraId="76CD5298" w14:textId="2AECA43C" w:rsidR="00FF4BD9" w:rsidRPr="00EC3E91" w:rsidRDefault="00FF4BD9" w:rsidP="00D56C0C">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{"citationItems":[{"id":"ITEM-1","itemData":{"abstract":"Asymptomatic bacteriuria, common in long-term care (LTC) residents, can appear similar to urinary tract infections (UTIs) based on urinalysis (UA) alone but can be differentiated from UTI if the resident has either no symptoms or insufficient symptoms to diagnose UTI. Asymptomatic bacteriuria unlike UTI, should not be treated with antibiotics. Therefore, appropriate assessment of signs and symptoms in residents with suspected UTI could reduce misdiagnoses of UTI and inappropriate antibiotic use. The purpose of this quality improvement project was to implement a multifaceted, evidence-based program to improve knowledge and assessment of UTI signs and symptoms in LTC residents. The project included a newly developed algorithm, the Cooper Urinary Surveillance Tool, to be used by nurses and providers along with staff education and change champions. Pre-and post-analysis measured UTI incidence, UA testing frequency, appropriateness of UTI diagnoses, and provider knowledge. Results showed statistically significant reductions in the incidence of overall UTI diagnoses and in inappropriate UTI diagnoses. The findings demonstrate that the intervention was effective for improving the appropriateness of UTI diagnoses in order to reduce unnecessary prescribing of antibiotics to LTC residents.","author":[{"dropping-particle":"","family":"Cooper","given":"D L","non-dropping-particle":"","parse-names":false,"suffix":""},{"dropping-particle":"","family":"Titler","given":"M","non-dropping-particle":"","parse-names":false,"suffix":""},{"dropping-particle":"","family":"Struble","given":"L","non-dropping-particle":"","parse-names":false,"suffix":""},{"dropping-particle":"","family":"Redman","given":"R","non-dropping-particle":"","parse-names":false,"suffix":""}],"container-title":"Annals of Long-Term Care","id":"ITEM-1","issue":"2","issued":{"date-parts":[["2017"]]},"page":"36-43","title":"A multifaceted, evidence-based program to reduce inappropriate antibiotic treatment of suspected urinary tract infections","type":"article-journal","volume":"25"},"uris":["http://www.mendeley.com/documents/?uuid=bc6f0d16-cda0-463a-88dc-f788e7710c2c"]}],"mendeley":{"formattedCitation":"(7)","plainTextFormattedCitation":"(7)","previouslyFormattedCitation":"(7)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w:t>
            </w:r>
            <w:r w:rsidRPr="00EC3E91">
              <w:rPr>
                <w:rFonts w:cstheme="minorHAnsi"/>
                <w:sz w:val="20"/>
                <w:szCs w:val="20"/>
                <w:lang w:val="en-US"/>
              </w:rPr>
              <w:fldChar w:fldCharType="end"/>
            </w:r>
          </w:p>
        </w:tc>
        <w:tc>
          <w:tcPr>
            <w:tcW w:w="992" w:type="dxa"/>
          </w:tcPr>
          <w:p w14:paraId="3DE6873B" w14:textId="622967CF"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4FDEBF92" w14:textId="25AB7947" w:rsidR="00FF4BD9" w:rsidRPr="00EC3E91" w:rsidRDefault="00FF4BD9" w:rsidP="00D56C0C">
            <w:pPr>
              <w:rPr>
                <w:rFonts w:cstheme="minorHAnsi"/>
                <w:sz w:val="20"/>
                <w:szCs w:val="20"/>
                <w:lang w:val="en-US"/>
              </w:rPr>
            </w:pPr>
            <w:r w:rsidRPr="00EC3E91">
              <w:rPr>
                <w:rFonts w:cstheme="minorHAnsi"/>
                <w:sz w:val="20"/>
                <w:szCs w:val="20"/>
                <w:lang w:val="en-US"/>
              </w:rPr>
              <w:t xml:space="preserve">Aged Care </w:t>
            </w:r>
          </w:p>
        </w:tc>
        <w:tc>
          <w:tcPr>
            <w:tcW w:w="850" w:type="dxa"/>
          </w:tcPr>
          <w:p w14:paraId="2F68156A" w14:textId="4CF748B0"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470A4106" w14:textId="1C534A53"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6F6D61E3" w14:textId="3EA626FA"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308FA2A3" w14:textId="77777777" w:rsidR="00FF4BD9" w:rsidRPr="00EC3E91" w:rsidRDefault="00FF4BD9" w:rsidP="00ED58A1">
            <w:pPr>
              <w:rPr>
                <w:rFonts w:cstheme="minorHAnsi"/>
                <w:sz w:val="20"/>
                <w:szCs w:val="20"/>
                <w:lang w:val="en-US"/>
              </w:rPr>
            </w:pPr>
            <w:r w:rsidRPr="00EC3E91">
              <w:rPr>
                <w:rFonts w:cstheme="minorHAnsi"/>
                <w:sz w:val="20"/>
                <w:szCs w:val="20"/>
                <w:lang w:val="en-US"/>
              </w:rPr>
              <w:t>inappropriate</w:t>
            </w:r>
          </w:p>
          <w:p w14:paraId="52513215" w14:textId="115F2793" w:rsidR="00FF4BD9" w:rsidRPr="00EC3E91" w:rsidRDefault="00FF4BD9" w:rsidP="00ED58A1">
            <w:pPr>
              <w:rPr>
                <w:rFonts w:cstheme="minorHAnsi"/>
                <w:sz w:val="20"/>
                <w:szCs w:val="20"/>
                <w:lang w:val="en-US"/>
              </w:rPr>
            </w:pPr>
            <w:r w:rsidRPr="00EC3E91">
              <w:rPr>
                <w:rFonts w:cstheme="minorHAnsi"/>
                <w:sz w:val="20"/>
                <w:szCs w:val="20"/>
                <w:lang w:val="en-US"/>
              </w:rPr>
              <w:t>antibiotic use in LTC residents with suspected UTI</w:t>
            </w:r>
          </w:p>
        </w:tc>
        <w:tc>
          <w:tcPr>
            <w:tcW w:w="3969" w:type="dxa"/>
          </w:tcPr>
          <w:p w14:paraId="504C0B61" w14:textId="77777777" w:rsidR="00FF4BD9" w:rsidRPr="00EC3E91" w:rsidRDefault="00FF4BD9" w:rsidP="00E31087">
            <w:pPr>
              <w:rPr>
                <w:rFonts w:cstheme="minorHAnsi"/>
                <w:sz w:val="20"/>
                <w:szCs w:val="20"/>
                <w:lang w:val="en-US"/>
              </w:rPr>
            </w:pPr>
            <w:r w:rsidRPr="00EC3E91">
              <w:rPr>
                <w:rFonts w:cstheme="minorHAnsi"/>
                <w:sz w:val="20"/>
                <w:szCs w:val="20"/>
                <w:lang w:val="en-US"/>
              </w:rPr>
              <w:t>Guidelines for the diagnosis and treatment of asymptomatic bacteriuria in adults. By Infectious Diseases</w:t>
            </w:r>
          </w:p>
          <w:p w14:paraId="105D6587" w14:textId="77777777" w:rsidR="00FF4BD9" w:rsidRPr="00EC3E91" w:rsidRDefault="00FF4BD9" w:rsidP="00E31087">
            <w:pPr>
              <w:rPr>
                <w:rFonts w:cstheme="minorHAnsi"/>
                <w:sz w:val="20"/>
                <w:szCs w:val="20"/>
                <w:lang w:val="en-US"/>
              </w:rPr>
            </w:pPr>
            <w:r w:rsidRPr="00EC3E91">
              <w:rPr>
                <w:rFonts w:cstheme="minorHAnsi"/>
                <w:sz w:val="20"/>
                <w:szCs w:val="20"/>
                <w:lang w:val="en-US"/>
              </w:rPr>
              <w:t>Society of America; American Society of Nephrology; American Geriatric</w:t>
            </w:r>
          </w:p>
          <w:p w14:paraId="0FFB29C5" w14:textId="0222598D" w:rsidR="00FF4BD9" w:rsidRPr="00EC3E91" w:rsidRDefault="00FF4BD9" w:rsidP="00E31087">
            <w:pPr>
              <w:rPr>
                <w:rFonts w:cstheme="minorHAnsi"/>
                <w:sz w:val="20"/>
                <w:szCs w:val="20"/>
                <w:lang w:val="en-US"/>
              </w:rPr>
            </w:pPr>
            <w:r w:rsidRPr="00EC3E91">
              <w:rPr>
                <w:rFonts w:cstheme="minorHAnsi"/>
                <w:sz w:val="20"/>
                <w:szCs w:val="20"/>
                <w:lang w:val="en-US"/>
              </w:rPr>
              <w:t xml:space="preserve">Society. Infectious Diseases Society of America. </w:t>
            </w:r>
          </w:p>
        </w:tc>
        <w:tc>
          <w:tcPr>
            <w:tcW w:w="2551" w:type="dxa"/>
          </w:tcPr>
          <w:p w14:paraId="317E31C0" w14:textId="1E4C272C" w:rsidR="00FF4BD9" w:rsidRPr="00EC3E91" w:rsidRDefault="00FF4BD9" w:rsidP="00D56C0C">
            <w:pPr>
              <w:rPr>
                <w:rFonts w:cstheme="minorHAnsi"/>
                <w:sz w:val="20"/>
                <w:szCs w:val="20"/>
                <w:lang w:val="en-US"/>
              </w:rPr>
            </w:pPr>
            <w:r w:rsidRPr="00EC3E91">
              <w:rPr>
                <w:rFonts w:cstheme="minorHAnsi"/>
                <w:sz w:val="20"/>
                <w:szCs w:val="20"/>
                <w:lang w:val="en-US"/>
              </w:rPr>
              <w:t>Remind clinicians, make training dynamic, identify and prepare champions</w:t>
            </w:r>
          </w:p>
        </w:tc>
      </w:tr>
      <w:tr w:rsidR="00FF4BD9" w:rsidRPr="00E119DD" w14:paraId="447F16B1" w14:textId="77777777" w:rsidTr="00FF4BD9">
        <w:trPr>
          <w:tblHeader/>
        </w:trPr>
        <w:tc>
          <w:tcPr>
            <w:tcW w:w="709" w:type="dxa"/>
          </w:tcPr>
          <w:p w14:paraId="39940BC1" w14:textId="5C0BB3CE"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{"citationItems":[{"id":"ITEM-1","itemData":{"DOI":"10.12968/npre.2017.15.10.504","ISSN":"1479-9189","abstract":"This article reports on the outcome and evaluation of the focused intervention training and support (FITS) into practice programme, a training and support programme for care home staff aimed at reducing inappropriate anti-psychotic prescribing for people living with dementia by implementing alternative psychosocial interventions. This programme was adapted from an original randomised-controlled trial that successfully reduced the prescribing of antipsychotic medications in care homes. The aim of the new programme was to replicate the impact of the original trial, but using a less resource-intense model, so that it could be implemented across care homes in the UK within existing resource conditions. The programme successfully reduced anti-psychotic prescribing and improved staff knowledge and attitudes. Barriers and facilitators of implementation were identified at four key levels: the dementia care coach; the care home; the organisation; and external relationships. Crucial to success was the provision of dedicated time for dementia care coaches to implement, the ongoing support provided by the expert-practitioner role, and the quality of relationships with prescribers. The implications of these for the FITS into practice programme, other similar interventions, and the work of prescribers with care homes are discussed.","author":[{"dropping-particle":"","family":"Latham","given":"Isabelle","non-dropping-particle":"","parse-names":false,"suffix":""},{"dropping-particle":"","family":"Brooker","given":"Dawn","non-dropping-particle":"","parse-names":false,"suffix":""}],"container-title":"Nurse Prescribing","id":"ITEM-1","issue":"10","issued":{"date-parts":[["2017"]]},"title":"Reducing anti-psychotic prescribing for care home residents with dementia","type":"article-journal","volume":"15"},"uris":["http://www.mendeley.com/documents/?uuid=35fc5f72-113d-32ee-b612-e06753e5c987"]}],"mendeley":{"formattedCitation":"(8)","plainTextFormattedCitation":"(8)","previouslyFormattedCitation":"(8)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w:t>
            </w:r>
            <w:r w:rsidRPr="00EC3E91">
              <w:rPr>
                <w:rFonts w:cstheme="minorHAnsi"/>
                <w:sz w:val="20"/>
                <w:szCs w:val="20"/>
                <w:lang w:val="en-US"/>
              </w:rPr>
              <w:fldChar w:fldCharType="end"/>
            </w:r>
          </w:p>
        </w:tc>
        <w:tc>
          <w:tcPr>
            <w:tcW w:w="992" w:type="dxa"/>
          </w:tcPr>
          <w:p w14:paraId="7F93CF24" w14:textId="1C018C5E" w:rsidR="00FF4BD9" w:rsidRPr="00EC3E91" w:rsidRDefault="00FF4BD9" w:rsidP="00D56C0C">
            <w:pPr>
              <w:rPr>
                <w:rFonts w:cstheme="minorHAnsi"/>
                <w:sz w:val="20"/>
                <w:szCs w:val="20"/>
                <w:lang w:val="en-US"/>
              </w:rPr>
            </w:pPr>
            <w:r w:rsidRPr="00EC3E91">
              <w:rPr>
                <w:rFonts w:cstheme="minorHAnsi"/>
                <w:sz w:val="20"/>
                <w:szCs w:val="20"/>
                <w:lang w:val="en-US"/>
              </w:rPr>
              <w:t>UK</w:t>
            </w:r>
          </w:p>
        </w:tc>
        <w:tc>
          <w:tcPr>
            <w:tcW w:w="993" w:type="dxa"/>
          </w:tcPr>
          <w:p w14:paraId="647E84B9" w14:textId="0C9361F1" w:rsidR="00FF4BD9" w:rsidRPr="00EC3E91" w:rsidRDefault="00FF4BD9" w:rsidP="00D56C0C">
            <w:pPr>
              <w:rPr>
                <w:rFonts w:cstheme="minorHAnsi"/>
                <w:sz w:val="20"/>
                <w:szCs w:val="20"/>
                <w:lang w:val="en-US"/>
              </w:rPr>
            </w:pPr>
            <w:r w:rsidRPr="00EC3E91">
              <w:rPr>
                <w:rFonts w:cstheme="minorHAnsi"/>
                <w:sz w:val="20"/>
                <w:szCs w:val="20"/>
                <w:lang w:val="en-US"/>
              </w:rPr>
              <w:t>Aged Care</w:t>
            </w:r>
          </w:p>
        </w:tc>
        <w:tc>
          <w:tcPr>
            <w:tcW w:w="850" w:type="dxa"/>
          </w:tcPr>
          <w:p w14:paraId="64B695BB" w14:textId="5FAEF1E8" w:rsidR="00FF4BD9" w:rsidRPr="00EC3E91" w:rsidRDefault="00FF4BD9" w:rsidP="00D56C0C">
            <w:pPr>
              <w:rPr>
                <w:rFonts w:cstheme="minorHAnsi"/>
                <w:sz w:val="20"/>
                <w:szCs w:val="20"/>
                <w:lang w:val="en-US"/>
              </w:rPr>
            </w:pPr>
            <w:r w:rsidRPr="00EC3E91">
              <w:rPr>
                <w:rFonts w:cstheme="minorHAnsi"/>
                <w:sz w:val="20"/>
                <w:szCs w:val="20"/>
                <w:lang w:val="en-US"/>
              </w:rPr>
              <w:t xml:space="preserve">Mixed Case study </w:t>
            </w:r>
          </w:p>
        </w:tc>
        <w:tc>
          <w:tcPr>
            <w:tcW w:w="851" w:type="dxa"/>
          </w:tcPr>
          <w:p w14:paraId="4B9B0FAF" w14:textId="488BB3E1" w:rsidR="00FF4BD9" w:rsidRPr="00EC3E91" w:rsidRDefault="00FF4BD9" w:rsidP="00D56C0C">
            <w:pPr>
              <w:rPr>
                <w:rFonts w:cstheme="minorHAnsi"/>
                <w:sz w:val="20"/>
                <w:szCs w:val="20"/>
                <w:lang w:val="en-US"/>
              </w:rPr>
            </w:pPr>
            <w:r w:rsidRPr="00EC3E91">
              <w:rPr>
                <w:rFonts w:cstheme="minorHAnsi"/>
                <w:sz w:val="20"/>
                <w:szCs w:val="20"/>
                <w:lang w:val="en-US"/>
              </w:rPr>
              <w:t>Efficacy/Effectiveness &amp; Process evaluation</w:t>
            </w:r>
          </w:p>
        </w:tc>
        <w:tc>
          <w:tcPr>
            <w:tcW w:w="1134" w:type="dxa"/>
          </w:tcPr>
          <w:p w14:paraId="16B583DE" w14:textId="44243DD4" w:rsidR="00FF4BD9" w:rsidRPr="00EC3E91" w:rsidRDefault="00FE6FCC" w:rsidP="00D56C0C">
            <w:pPr>
              <w:rPr>
                <w:rFonts w:cstheme="minorHAnsi"/>
                <w:sz w:val="20"/>
                <w:szCs w:val="20"/>
                <w:lang w:val="en-US"/>
              </w:rPr>
            </w:pPr>
            <w:r w:rsidRPr="00EC3E91">
              <w:rPr>
                <w:rFonts w:cstheme="minorHAnsi"/>
                <w:sz w:val="20"/>
                <w:szCs w:val="20"/>
                <w:lang w:val="en-US"/>
              </w:rPr>
              <w:t>Anti-psychotics</w:t>
            </w:r>
            <w:r w:rsidR="00FF4BD9" w:rsidRPr="00EC3E91">
              <w:rPr>
                <w:rFonts w:cstheme="minorHAnsi"/>
                <w:sz w:val="20"/>
                <w:szCs w:val="20"/>
                <w:lang w:val="en-US"/>
              </w:rPr>
              <w:t xml:space="preserve"> </w:t>
            </w:r>
          </w:p>
        </w:tc>
        <w:tc>
          <w:tcPr>
            <w:tcW w:w="2126" w:type="dxa"/>
          </w:tcPr>
          <w:p w14:paraId="4C90A694" w14:textId="30A1E5A7" w:rsidR="00FF4BD9" w:rsidRPr="00EC3E91" w:rsidRDefault="00FF4BD9" w:rsidP="00D56C0C">
            <w:pPr>
              <w:rPr>
                <w:rFonts w:cstheme="minorHAnsi"/>
                <w:sz w:val="20"/>
                <w:szCs w:val="20"/>
                <w:lang w:val="en-US"/>
              </w:rPr>
            </w:pPr>
            <w:r w:rsidRPr="00EC3E91">
              <w:rPr>
                <w:rFonts w:cstheme="minorHAnsi"/>
                <w:sz w:val="20"/>
                <w:szCs w:val="20"/>
                <w:lang w:val="en-US"/>
              </w:rPr>
              <w:t>Inappropriate prescribing of anti-psychotic medication</w:t>
            </w:r>
          </w:p>
        </w:tc>
        <w:tc>
          <w:tcPr>
            <w:tcW w:w="3969" w:type="dxa"/>
          </w:tcPr>
          <w:p w14:paraId="645347D1" w14:textId="1B7027F1" w:rsidR="00FF4BD9" w:rsidRPr="00EC3E91" w:rsidRDefault="00FF4BD9" w:rsidP="00D56C0C">
            <w:pPr>
              <w:rPr>
                <w:rFonts w:cstheme="minorHAnsi"/>
                <w:sz w:val="20"/>
                <w:szCs w:val="20"/>
                <w:lang w:val="en-US"/>
              </w:rPr>
            </w:pPr>
            <w:r w:rsidRPr="00EC3E91">
              <w:rPr>
                <w:rFonts w:cstheme="minorHAnsi"/>
                <w:sz w:val="20"/>
                <w:szCs w:val="20"/>
                <w:lang w:val="en-US"/>
              </w:rPr>
              <w:t>National Institute for Health and Clinical Excellence/Social Care Institute for Excellence. Guideline on supporting people with dementia and their carer</w:t>
            </w:r>
            <w:r w:rsidR="00FE6FCC" w:rsidRPr="00EC3E91">
              <w:rPr>
                <w:rFonts w:cstheme="minorHAnsi"/>
                <w:sz w:val="20"/>
                <w:szCs w:val="20"/>
                <w:lang w:val="en-US"/>
              </w:rPr>
              <w:t>’</w:t>
            </w:r>
            <w:r w:rsidRPr="00EC3E91">
              <w:rPr>
                <w:rFonts w:cstheme="minorHAnsi"/>
                <w:sz w:val="20"/>
                <w:szCs w:val="20"/>
                <w:lang w:val="en-US"/>
              </w:rPr>
              <w:t>s in health and social care. 2007 London, British Psychological Society and Gaskell</w:t>
            </w:r>
          </w:p>
        </w:tc>
        <w:tc>
          <w:tcPr>
            <w:tcW w:w="2551" w:type="dxa"/>
          </w:tcPr>
          <w:p w14:paraId="69F704C6" w14:textId="225B9E2D" w:rsidR="00FF4BD9" w:rsidRPr="00EC3E91" w:rsidRDefault="00FF4BD9" w:rsidP="00D56C0C">
            <w:pPr>
              <w:rPr>
                <w:rFonts w:cstheme="minorHAnsi"/>
                <w:sz w:val="20"/>
                <w:szCs w:val="20"/>
                <w:lang w:val="en-US"/>
              </w:rPr>
            </w:pPr>
            <w:r w:rsidRPr="00EC3E91">
              <w:rPr>
                <w:rFonts w:cstheme="minorHAnsi"/>
                <w:sz w:val="20"/>
                <w:szCs w:val="20"/>
                <w:lang w:val="en-US"/>
              </w:rPr>
              <w:t xml:space="preserve">Use train the trainer strategies </w:t>
            </w:r>
          </w:p>
        </w:tc>
      </w:tr>
      <w:tr w:rsidR="00FF4BD9" w:rsidRPr="00E119DD" w14:paraId="7F9832E9" w14:textId="77777777" w:rsidTr="00FF4BD9">
        <w:trPr>
          <w:tblHeader/>
        </w:trPr>
        <w:tc>
          <w:tcPr>
            <w:tcW w:w="709" w:type="dxa"/>
          </w:tcPr>
          <w:p w14:paraId="5A965A51" w14:textId="19ECC05F"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Appropriate antibiotic prescribing is associated with favourable levels of antimicrobial resistance (AMR) and clinical outcomes. Most intervention studies on antibiotic prescribing originate from settings with high level of AMR. In a Norwegian hospital setting with low level of AMR, the literature on interventions for promoting guideline-recommended antibiotic prescribing in hospital is scarce and requested. Preliminary studies have shown improvement potentials regarding antibiotic prescribing according to guidelines. We aimed to promote appropriate antibiotic prescribing in patients with community-acquired pneumonia (CAP) and acute exacerbations of chronic obstructive pulmonary disease (AECOPD) at a respiratory medicine department in a Norwegian University hospital. Our specific objectives were to increase prescribing of appropriate empirical antibiotics, reduce high-dose benzylpenicillin and reduce total treatment duration. METHODS: We performed an audit and feedback intervention study, combined with distribution of a recently published pocket version of the national clinical practice guideline. We included patients discharged with CAP or AECOPD and prescribed antibiotics during hospital stay, and excluded those presenting with aspiration, nosocomial infection and co-infections. The pre- and post-intervention period was 9 and 6 months, respectively. Feedback was provided orally to the department physicians at an internal-educational meeting. To explore the effect of the intervention on appropriate empirical antibiotics and mean total treatment duration we applied before-after analysis (Student's t-test) and interrupted time series (ITS). We used Pearson's chi2 to compare dose changes. RESULTS: In the pre-and post-intervention period we included 253 and 155 patients, respectively. Following the intervention, overall mean prescribing of appropriate empirical antibiotics increased from 61.7 to 83.8 % (P &lt; 0.001), overall mean total treatment duration decreased from 11.2 to 10.4 days (P = 0.015), and prescribing of high-dose benzylpenicillin decreased from 48.8 to 38.6 % (P = 0.125). With ITS we found that six months post-intervention, the effect on appropriate empirical antibiotic prescribing had increased and sustained, while the effect on treatment duration was at pre-intervention level. CONCLUSION: The combination of audit and feedback plus distribution of a pocket version of guideline recommendations led to a substantial increase in presc…","author":[{"dropping-particle":"","family":"Hogli","given":"J U","non-dropping-particle":"","parse-names":false,"suffix":""},{"dropping-particle":"","family":"Garcia","given":"B H","non-dropping-particle":"","parse-names":false,"suffix":""},{"dropping-particle":"","family":"Skjold","given":"F","non-dropping-particle":"","parse-names":false,"suffix":""},{"dropping-particle":"","family":"Skogen","given":"V","non-dropping-particle":"","parse-names":false,"suffix":""},{"dropping-particle":"","family":"Smabrekke","given":"L","non-dropping-particle":"","parse-names":false,"suffix":""}],"container-title":"BMC Infectious Diseases","id":"ITEM-1","issued":{"date-parts":[["2016"]]},"page":"96","title":"An audit and feedback intervention study increased adherence to antibiotic prescribing guidelines at a Norwegian hospital","type":"article-journal","volume":"16"},"uris":["http://www.mendeley.com/documents/?uuid=9b39ff5e-f189-46f3-a451-a62dcfbb8627"]}],"mendeley":{"formattedCitation":"(9)","plainTextFormattedCitation":"(9)","previouslyFormattedCitation":"(9)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w:t>
            </w:r>
            <w:r w:rsidRPr="00EC3E91">
              <w:rPr>
                <w:rFonts w:cstheme="minorHAnsi"/>
                <w:sz w:val="20"/>
                <w:szCs w:val="20"/>
                <w:lang w:val="en-US"/>
              </w:rPr>
              <w:fldChar w:fldCharType="end"/>
            </w:r>
          </w:p>
        </w:tc>
        <w:tc>
          <w:tcPr>
            <w:tcW w:w="992" w:type="dxa"/>
          </w:tcPr>
          <w:p w14:paraId="5513C358" w14:textId="6E02414C" w:rsidR="00FF4BD9" w:rsidRPr="00EC3E91" w:rsidRDefault="00FF4BD9" w:rsidP="00D56C0C">
            <w:pPr>
              <w:rPr>
                <w:rFonts w:cstheme="minorHAnsi"/>
                <w:sz w:val="20"/>
                <w:szCs w:val="20"/>
                <w:lang w:val="en-US"/>
              </w:rPr>
            </w:pPr>
            <w:r w:rsidRPr="00EC3E91">
              <w:rPr>
                <w:rFonts w:cstheme="minorHAnsi"/>
                <w:sz w:val="20"/>
                <w:szCs w:val="20"/>
                <w:lang w:val="en-US"/>
              </w:rPr>
              <w:t xml:space="preserve">Norway </w:t>
            </w:r>
          </w:p>
        </w:tc>
        <w:tc>
          <w:tcPr>
            <w:tcW w:w="993" w:type="dxa"/>
          </w:tcPr>
          <w:p w14:paraId="7239F2B7" w14:textId="2678D073"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342137F7" w14:textId="742A2601"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796CBE57" w14:textId="0BAC6E94"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5BCF17F9" w14:textId="7D7D3CC3"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32D79BC7" w14:textId="0257856D" w:rsidR="00FF4BD9" w:rsidRPr="00EC3E91" w:rsidRDefault="00FF4BD9" w:rsidP="00D56C0C">
            <w:pPr>
              <w:rPr>
                <w:rFonts w:cstheme="minorHAnsi"/>
                <w:sz w:val="20"/>
                <w:szCs w:val="20"/>
                <w:lang w:val="en-US"/>
              </w:rPr>
            </w:pPr>
            <w:r w:rsidRPr="00EC3E91">
              <w:rPr>
                <w:rFonts w:cstheme="minorHAnsi"/>
                <w:sz w:val="20"/>
                <w:szCs w:val="20"/>
                <w:lang w:val="en-US"/>
              </w:rPr>
              <w:t>Inappropriate use of antibiotics for CAP and AECOPD patients</w:t>
            </w:r>
          </w:p>
        </w:tc>
        <w:tc>
          <w:tcPr>
            <w:tcW w:w="3969" w:type="dxa"/>
          </w:tcPr>
          <w:p w14:paraId="147FDF7D" w14:textId="2C93B9E2" w:rsidR="00FF4BD9" w:rsidRPr="00EC3E91" w:rsidRDefault="00FF4BD9" w:rsidP="00A54070">
            <w:pPr>
              <w:rPr>
                <w:rFonts w:cstheme="minorHAnsi"/>
                <w:sz w:val="20"/>
                <w:szCs w:val="20"/>
                <w:lang w:val="en-US"/>
              </w:rPr>
            </w:pPr>
            <w:r w:rsidRPr="00EC3E91">
              <w:rPr>
                <w:rFonts w:cstheme="minorHAnsi"/>
                <w:sz w:val="20"/>
                <w:szCs w:val="20"/>
                <w:lang w:val="en-US"/>
              </w:rPr>
              <w:t xml:space="preserve">The Norwegian Directorate of Health. National </w:t>
            </w:r>
            <w:r w:rsidR="00FE6FCC" w:rsidRPr="00EC3E91">
              <w:rPr>
                <w:rFonts w:cstheme="minorHAnsi"/>
                <w:sz w:val="20"/>
                <w:szCs w:val="20"/>
                <w:lang w:val="en-US"/>
              </w:rPr>
              <w:t>clinical</w:t>
            </w:r>
            <w:r w:rsidRPr="00EC3E91">
              <w:rPr>
                <w:rFonts w:cstheme="minorHAnsi"/>
                <w:sz w:val="20"/>
                <w:szCs w:val="20"/>
                <w:lang w:val="en-US"/>
              </w:rPr>
              <w:t xml:space="preserve"> guideline for use of antibiotics in hospital. 2013. </w:t>
            </w:r>
          </w:p>
        </w:tc>
        <w:tc>
          <w:tcPr>
            <w:tcW w:w="2551" w:type="dxa"/>
          </w:tcPr>
          <w:p w14:paraId="08AD68C0" w14:textId="5D11663B" w:rsidR="00FF4BD9" w:rsidRPr="00EC3E91" w:rsidRDefault="00FF4BD9" w:rsidP="00D56C0C">
            <w:pPr>
              <w:rPr>
                <w:rFonts w:cstheme="minorHAnsi"/>
                <w:sz w:val="20"/>
                <w:szCs w:val="20"/>
                <w:lang w:val="en-US"/>
              </w:rPr>
            </w:pPr>
            <w:r w:rsidRPr="00EC3E91">
              <w:rPr>
                <w:rFonts w:cstheme="minorHAnsi"/>
                <w:sz w:val="20"/>
                <w:szCs w:val="20"/>
                <w:lang w:val="en-US"/>
              </w:rPr>
              <w:t>Remind clinicians, audit and provide feedback</w:t>
            </w:r>
          </w:p>
        </w:tc>
      </w:tr>
      <w:tr w:rsidR="00FF4BD9" w:rsidRPr="00E119DD" w14:paraId="39603CB5" w14:textId="77777777" w:rsidTr="00FF4BD9">
        <w:trPr>
          <w:tblHeader/>
        </w:trPr>
        <w:tc>
          <w:tcPr>
            <w:tcW w:w="709" w:type="dxa"/>
          </w:tcPr>
          <w:p w14:paraId="0CE61872" w14:textId="3AC1D536"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 - 1745-6215 - 1745-6215","abstract":"BACKGROUND: The OPTI-SCRIPT cluster randomised controlled trial (RCT) found that a three-phase multifaceted intervention including academic detailing with a pharmacist, GP-led medicines reviews, supported by web-based pharmaceutical treatment algorithms, and tailored patient information leaflets, was effective in reducing potentially inappropriate prescribing (PIP) in Irish primary care. We report a process evaluation exploring the implementation of the intervention, the experiences of those participating in the study and lessons for future implementation. METHODS: The OPTI-SCRIPT trial included 21 GP practices and 196 patients. The process evaluation used mixed methods. Quantitative data were collected from all GP practices and semi-structured interviews were conducted with GPs from intervention and control groups, and a purposive sample of patients from the intervention group. All interviews were transcribed verbatim and analysed using a thematic analysis. RESULTS: Despite receiving a standardised academic detailing session, intervention delivery varied among GP practices. Just over 70 % of practices completed medicines review as recommended with the patient present. Only single-handed practices conducted reviews without patients present, highlighting the influence of practice characteristics and resources on variation. Medications were more likely to be completely stopped or switched to another more appropriate medication when reviews were conducted with patients present. The patient information leaflets were not used by any of the intervention practices. Both GP (32 %) and patient (40 %) recruitment rates were modest. For those who did participate, overall, the experience was positively viewed, with GPs and patients referring to the value of medication reviews to improve prescribing and reduce unnecessary medications. Lack of time in busy GP practices and remuneration were identified as organisational barriers to future implementation. CONCLUSIONS: The OPTI-SCRIPT intervention was positively viewed by both GPs and patients, both of whom valued the study's objectives. Patient information leaflets were not a successful component of the intervention. Academic detailing and medication reviews are important components in changing PIP, and having patients present during the review process seems to be a more effective approach for decreasing PIP. TRIAL REGISTRATION: Current controlled trials ISRCTN41694007 . Registered on 21 March 2012.","author":[{"dropping-particle":"","family":"Clyne","given":"B","non-dropping-particle":"","parse-names":false,"suffix":""},{"dropping-particle":"","family":"Cooper","given":"J A","non-dropping-particle":"","parse-names":false,"suffix":""},{"dropping-particle":"","family":"Hughes","given":"C M","non-dropping-particle":"","parse-names":false,"suffix":""},{"dropping-particle":"","family":"Fahey","given":"T","non-dropping-particle":"","parse-names":false,"suffix":""},{"dropping-particle":"","family":"Smith","given":"S M","non-dropping-particle":"","parse-names":false,"suffix":""},{"dropping-particle":"","family":"Team","given":"Opti-Script study","non-dropping-particle":"","parse-names":false,"suffix":""}],"container-title":"Trials","id":"ITEM-1","issue":"1","issued":{"date-parts":[["2016"]]},"page":"386","title":"A process evaluation of a cluster randomised trial to reduce potentially inappropriate prescribing in older people in primary care (OPTI-SCRIPT study)","type":"article-journal","volume":"17"},"uris":["http://www.mendeley.com/documents/?uuid=501fbd68-c81c-4a18-ad94-51216ef3157e"]}],"mendeley":{"formattedCitation":"(10)","plainTextFormattedCitation":"(10)","previouslyFormattedCitation":"(10)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w:t>
            </w:r>
            <w:r w:rsidRPr="00EC3E91">
              <w:rPr>
                <w:rFonts w:cstheme="minorHAnsi"/>
                <w:sz w:val="20"/>
                <w:szCs w:val="20"/>
                <w:lang w:val="en-US"/>
              </w:rPr>
              <w:fldChar w:fldCharType="end"/>
            </w:r>
          </w:p>
        </w:tc>
        <w:tc>
          <w:tcPr>
            <w:tcW w:w="992" w:type="dxa"/>
          </w:tcPr>
          <w:p w14:paraId="7244945E" w14:textId="66BA6A15" w:rsidR="00FF4BD9" w:rsidRPr="00EC3E91" w:rsidRDefault="00FF4BD9" w:rsidP="00D56C0C">
            <w:pPr>
              <w:rPr>
                <w:rFonts w:cstheme="minorHAnsi"/>
                <w:sz w:val="20"/>
                <w:szCs w:val="20"/>
                <w:lang w:val="en-US"/>
              </w:rPr>
            </w:pPr>
            <w:r w:rsidRPr="00EC3E91">
              <w:rPr>
                <w:rFonts w:cstheme="minorHAnsi"/>
                <w:sz w:val="20"/>
                <w:szCs w:val="20"/>
                <w:lang w:val="en-US"/>
              </w:rPr>
              <w:t xml:space="preserve">Ireland </w:t>
            </w:r>
          </w:p>
        </w:tc>
        <w:tc>
          <w:tcPr>
            <w:tcW w:w="993" w:type="dxa"/>
          </w:tcPr>
          <w:p w14:paraId="4BFCDAE0" w14:textId="42914309" w:rsidR="00FF4BD9" w:rsidRPr="00EC3E91" w:rsidRDefault="00FF4BD9" w:rsidP="00D56C0C">
            <w:pPr>
              <w:rPr>
                <w:rFonts w:cstheme="minorHAnsi"/>
                <w:sz w:val="20"/>
                <w:szCs w:val="20"/>
                <w:lang w:val="en-US"/>
              </w:rPr>
            </w:pPr>
            <w:r w:rsidRPr="00EC3E91">
              <w:rPr>
                <w:rFonts w:cstheme="minorHAnsi"/>
                <w:sz w:val="20"/>
                <w:szCs w:val="20"/>
                <w:lang w:val="en-US"/>
              </w:rPr>
              <w:t xml:space="preserve">Primary care </w:t>
            </w:r>
          </w:p>
        </w:tc>
        <w:tc>
          <w:tcPr>
            <w:tcW w:w="850" w:type="dxa"/>
          </w:tcPr>
          <w:p w14:paraId="3E659F9D" w14:textId="4147F20F" w:rsidR="00FF4BD9" w:rsidRPr="00EC3E91" w:rsidRDefault="00FF4BD9" w:rsidP="00D56C0C">
            <w:pPr>
              <w:rPr>
                <w:rFonts w:cstheme="minorHAnsi"/>
                <w:sz w:val="20"/>
                <w:szCs w:val="20"/>
                <w:lang w:val="en-US"/>
              </w:rPr>
            </w:pPr>
            <w:r w:rsidRPr="00EC3E91">
              <w:rPr>
                <w:rFonts w:cstheme="minorHAnsi"/>
                <w:sz w:val="20"/>
                <w:szCs w:val="20"/>
                <w:lang w:val="en-US"/>
              </w:rPr>
              <w:t>Mixed RCT</w:t>
            </w:r>
          </w:p>
        </w:tc>
        <w:tc>
          <w:tcPr>
            <w:tcW w:w="851" w:type="dxa"/>
          </w:tcPr>
          <w:p w14:paraId="5BA91483" w14:textId="671250CE" w:rsidR="00FF4BD9" w:rsidRPr="00EC3E91" w:rsidRDefault="00FF4BD9" w:rsidP="00D56C0C">
            <w:pPr>
              <w:rPr>
                <w:rFonts w:cstheme="minorHAnsi"/>
                <w:sz w:val="20"/>
                <w:szCs w:val="20"/>
                <w:lang w:val="en-US"/>
              </w:rPr>
            </w:pPr>
            <w:r w:rsidRPr="00EC3E91">
              <w:rPr>
                <w:rFonts w:cstheme="minorHAnsi"/>
                <w:sz w:val="20"/>
                <w:szCs w:val="20"/>
                <w:lang w:val="en-US"/>
              </w:rPr>
              <w:t>Process evaluation</w:t>
            </w:r>
          </w:p>
        </w:tc>
        <w:tc>
          <w:tcPr>
            <w:tcW w:w="1134" w:type="dxa"/>
          </w:tcPr>
          <w:p w14:paraId="0084D490" w14:textId="6120D02E"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02DB4C2B" w14:textId="209ED400" w:rsidR="00FF4BD9" w:rsidRPr="00EC3E91" w:rsidRDefault="00FF4BD9" w:rsidP="00D56C0C">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3205B569" w14:textId="407FB08A" w:rsidR="00FF4BD9" w:rsidRPr="00EC3E91" w:rsidRDefault="00FE6FCC" w:rsidP="00635E91">
            <w:pPr>
              <w:rPr>
                <w:rFonts w:ascii="Calibri" w:eastAsia="Times New Roman" w:hAnsi="Calibri" w:cs="Calibri"/>
                <w:color w:val="000000"/>
                <w:lang w:val="en-US"/>
              </w:rPr>
            </w:pPr>
            <w:r w:rsidRPr="00EC3E91">
              <w:rPr>
                <w:rFonts w:cstheme="minorHAnsi"/>
                <w:color w:val="000000"/>
                <w:sz w:val="20"/>
                <w:szCs w:val="20"/>
                <w:lang w:val="en-US"/>
              </w:rPr>
              <w:t>Beer’s</w:t>
            </w:r>
            <w:r w:rsidR="00FF4BD9" w:rsidRPr="00EC3E91">
              <w:rPr>
                <w:rFonts w:cstheme="minorHAnsi"/>
                <w:color w:val="000000"/>
                <w:sz w:val="20"/>
                <w:szCs w:val="20"/>
                <w:lang w:val="en-US"/>
              </w:rPr>
              <w:t xml:space="preserve"> criteria, the STOPP criteria, the Improving Prescribing in the Elderly Tool</w:t>
            </w:r>
          </w:p>
        </w:tc>
        <w:tc>
          <w:tcPr>
            <w:tcW w:w="2551" w:type="dxa"/>
          </w:tcPr>
          <w:p w14:paraId="200D4D6E" w14:textId="44F57419" w:rsidR="00FF4BD9" w:rsidRPr="00EC3E91" w:rsidRDefault="00FF4BD9" w:rsidP="00D56C0C">
            <w:pPr>
              <w:rPr>
                <w:rFonts w:cstheme="minorHAnsi"/>
                <w:sz w:val="20"/>
                <w:szCs w:val="20"/>
                <w:lang w:val="en-US"/>
              </w:rPr>
            </w:pPr>
            <w:r w:rsidRPr="00EC3E91">
              <w:rPr>
                <w:rFonts w:cstheme="minorHAnsi"/>
                <w:sz w:val="20"/>
                <w:szCs w:val="20"/>
                <w:lang w:val="en-US"/>
              </w:rPr>
              <w:t>conduct educational outreach, remind clinicians, develop educational materials</w:t>
            </w:r>
          </w:p>
        </w:tc>
      </w:tr>
      <w:tr w:rsidR="00FF4BD9" w:rsidRPr="00EC3E91" w14:paraId="35E62FD6" w14:textId="77777777" w:rsidTr="00FF4BD9">
        <w:trPr>
          <w:tblHeader/>
        </w:trPr>
        <w:tc>
          <w:tcPr>
            <w:tcW w:w="709" w:type="dxa"/>
          </w:tcPr>
          <w:p w14:paraId="3C05AF61" w14:textId="6883A500"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Inhaled glucocorticosteroids (ICS) are first-line anti-inflammatory treatment in asthma, but not in chronic obstructive pulmonary disease (COPD). To restrict ICS use in COPD to cases of severe disease, new terms for reimbursement of drug costs were introduced in Norway in 2006, requiring a diagnosis of COPD to be verified by spirometry. OBJECTIVES: To describe how GPs' diagnoses and treatment of patients who used ICS before 2006 changed after a reassessment of the patients that included spirometry. METHODS: From the shared electronic patient record system in one group practice, patients &gt;= 50 years prescribed ICS (including in combination with long-acting beta2-agonists) during the previous year were identified and invited to a tailored consultation including spirometry to assure the quality of diagnosis and treatment. GPs' diagnoses and ICS prescribing patterns after this reassessment were recorded, retrospectively. RESULTS: Of 164 patients identified, 112 were included. Post-bronchodilator spirometry showed airflow limitation indicating COPD in 55 patients. Of the 57 remaining patients, five had a positive reversibility test. The number of patients diagnosed with asthma increased (from 25 to 62) after the reassessment. A diagnosis of COPD was also more frequently used, whereas fewer patients had other pulmonary diagnoses. ICS was discontinued in 31 patients; 20 with mild to moderate COPD and 11 with normal spirometry. CONCLUSION: Altered reimbursement terms for ICS changed GPs' diagnostic practice in a way that made the diagnoses better fit with the treatment given, but over-diagnosis of asthma could not be excluded. Spirometry was useful for identifying ICS overuse.","author":[{"dropping-particle":"","family":"Dalbak","given":"L G","non-dropping-particle":"","parse-names":false,"suffix":""},{"dropping-particle":"","family":"Rognstad","given":"S","non-dropping-particle":"","parse-names":false,"suffix":""},{"dropping-particle":"","family":"Melbye","given":"H","non-dropping-particle":"","parse-names":false,"suffix":""},{"dropping-particle":"","family":"Stra","given":"","non-dropping-particle":"","parse-names":false,"suffix":""},{"dropping-particle":"","family":"J.","given":"","non-dropping-particle":"","parse-names":false,"suffix":""}],"container-title":"European Journal of General Practice","id":"ITEM-1","issue":"2","issued":{"date-parts":[["2013"]]},"page":"106-110","title":"Changed terms for drug payment influenced GPs' diagnoses and prescribing practice for inhaled corticosteroids","type":"article-journal","volume":"19"},"uris":["http://www.mendeley.com/documents/?uuid=26326ed1-3cec-48b7-bf6a-6895ec74c940"]}],"mendeley":{"formattedCitation":"(11)","plainTextFormattedCitation":"(11)","previouslyFormattedCitation":"(11)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w:t>
            </w:r>
            <w:r w:rsidRPr="00EC3E91">
              <w:rPr>
                <w:rFonts w:cstheme="minorHAnsi"/>
                <w:sz w:val="20"/>
                <w:szCs w:val="20"/>
                <w:lang w:val="en-US"/>
              </w:rPr>
              <w:fldChar w:fldCharType="end"/>
            </w:r>
          </w:p>
        </w:tc>
        <w:tc>
          <w:tcPr>
            <w:tcW w:w="992" w:type="dxa"/>
          </w:tcPr>
          <w:p w14:paraId="4125E046" w14:textId="48AFBEE2" w:rsidR="00FF4BD9" w:rsidRPr="00EC3E91" w:rsidRDefault="00FF4BD9" w:rsidP="00D56C0C">
            <w:pPr>
              <w:rPr>
                <w:rFonts w:cstheme="minorHAnsi"/>
                <w:sz w:val="20"/>
                <w:szCs w:val="20"/>
                <w:lang w:val="en-US"/>
              </w:rPr>
            </w:pPr>
            <w:r w:rsidRPr="00EC3E91">
              <w:rPr>
                <w:rFonts w:cstheme="minorHAnsi"/>
                <w:sz w:val="20"/>
                <w:szCs w:val="20"/>
                <w:lang w:val="en-US"/>
              </w:rPr>
              <w:t xml:space="preserve">Norway </w:t>
            </w:r>
          </w:p>
        </w:tc>
        <w:tc>
          <w:tcPr>
            <w:tcW w:w="993" w:type="dxa"/>
          </w:tcPr>
          <w:p w14:paraId="6519B492" w14:textId="6CA9D1E4" w:rsidR="00FF4BD9" w:rsidRPr="00EC3E91" w:rsidRDefault="00FF4BD9" w:rsidP="00D56C0C">
            <w:pPr>
              <w:rPr>
                <w:rFonts w:cstheme="minorHAnsi"/>
                <w:sz w:val="20"/>
                <w:szCs w:val="20"/>
                <w:lang w:val="en-US"/>
              </w:rPr>
            </w:pPr>
            <w:r w:rsidRPr="00EC3E91">
              <w:rPr>
                <w:rFonts w:cstheme="minorHAnsi"/>
                <w:sz w:val="20"/>
                <w:szCs w:val="20"/>
                <w:lang w:val="en-US"/>
              </w:rPr>
              <w:t xml:space="preserve">Primary Care </w:t>
            </w:r>
          </w:p>
        </w:tc>
        <w:tc>
          <w:tcPr>
            <w:tcW w:w="850" w:type="dxa"/>
          </w:tcPr>
          <w:p w14:paraId="26312865" w14:textId="3FBDB5E5" w:rsidR="00FF4BD9" w:rsidRPr="00EC3E91" w:rsidRDefault="00FF4BD9" w:rsidP="00D56C0C">
            <w:pPr>
              <w:rPr>
                <w:rFonts w:cstheme="minorHAnsi"/>
                <w:sz w:val="20"/>
                <w:szCs w:val="20"/>
                <w:lang w:val="en-US"/>
              </w:rPr>
            </w:pPr>
            <w:r w:rsidRPr="00EC3E91">
              <w:rPr>
                <w:rFonts w:cstheme="minorHAnsi"/>
                <w:sz w:val="20"/>
                <w:szCs w:val="20"/>
                <w:lang w:val="en-US"/>
              </w:rPr>
              <w:t xml:space="preserve">Quant pre-post </w:t>
            </w:r>
          </w:p>
        </w:tc>
        <w:tc>
          <w:tcPr>
            <w:tcW w:w="851" w:type="dxa"/>
          </w:tcPr>
          <w:p w14:paraId="46E77EFC" w14:textId="3F79EA2D"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39FF70A6" w14:textId="77E50D3B" w:rsidR="00FF4BD9" w:rsidRPr="00EC3E91" w:rsidRDefault="00FF4BD9" w:rsidP="00D56C0C">
            <w:pPr>
              <w:rPr>
                <w:rFonts w:cstheme="minorHAnsi"/>
                <w:sz w:val="20"/>
                <w:szCs w:val="20"/>
                <w:lang w:val="en-US"/>
              </w:rPr>
            </w:pPr>
            <w:r w:rsidRPr="00EC3E91">
              <w:rPr>
                <w:rFonts w:cstheme="minorHAnsi"/>
                <w:sz w:val="20"/>
                <w:szCs w:val="20"/>
                <w:lang w:val="en-US"/>
              </w:rPr>
              <w:t>Corticosteroids COPD</w:t>
            </w:r>
          </w:p>
        </w:tc>
        <w:tc>
          <w:tcPr>
            <w:tcW w:w="2126" w:type="dxa"/>
          </w:tcPr>
          <w:p w14:paraId="767220F9" w14:textId="6F55059F" w:rsidR="00FF4BD9" w:rsidRPr="00EC3E91" w:rsidRDefault="00FF4BD9" w:rsidP="006E08A6">
            <w:pPr>
              <w:pStyle w:val="CommentText"/>
              <w:rPr>
                <w:lang w:val="en-US"/>
              </w:rPr>
            </w:pPr>
            <w:r w:rsidRPr="00EC3E91">
              <w:rPr>
                <w:lang w:val="en-US"/>
              </w:rPr>
              <w:t>Inappropriate use of inhaled corticosteroids</w:t>
            </w:r>
          </w:p>
          <w:p w14:paraId="179167C0" w14:textId="5035B426" w:rsidR="00FF4BD9" w:rsidRPr="00EC3E91" w:rsidRDefault="00FF4BD9" w:rsidP="00D56C0C">
            <w:pPr>
              <w:rPr>
                <w:rFonts w:cstheme="minorHAnsi"/>
                <w:sz w:val="20"/>
                <w:szCs w:val="20"/>
                <w:lang w:val="en-US"/>
              </w:rPr>
            </w:pPr>
            <w:r w:rsidRPr="00EC3E91">
              <w:rPr>
                <w:rFonts w:cstheme="minorHAnsi"/>
                <w:sz w:val="20"/>
                <w:szCs w:val="20"/>
                <w:lang w:val="en-US"/>
              </w:rPr>
              <w:t>for COPD</w:t>
            </w:r>
          </w:p>
        </w:tc>
        <w:tc>
          <w:tcPr>
            <w:tcW w:w="3969" w:type="dxa"/>
          </w:tcPr>
          <w:p w14:paraId="4045E341" w14:textId="3C500A96" w:rsidR="00FF4BD9" w:rsidRPr="00EC3E91" w:rsidRDefault="00FE6FCC" w:rsidP="00E31087">
            <w:pPr>
              <w:rPr>
                <w:rFonts w:cstheme="minorHAnsi"/>
                <w:sz w:val="20"/>
                <w:szCs w:val="20"/>
                <w:lang w:val="en-US"/>
              </w:rPr>
            </w:pPr>
            <w:r w:rsidRPr="00EC3E91">
              <w:rPr>
                <w:rFonts w:cstheme="minorHAnsi"/>
                <w:sz w:val="20"/>
                <w:szCs w:val="20"/>
                <w:lang w:val="en-US"/>
              </w:rPr>
              <w:t xml:space="preserve">Global </w:t>
            </w:r>
            <w:r w:rsidR="009307F3" w:rsidRPr="00EC3E91">
              <w:rPr>
                <w:rFonts w:cstheme="minorHAnsi"/>
                <w:sz w:val="20"/>
                <w:szCs w:val="20"/>
                <w:lang w:val="en-US"/>
              </w:rPr>
              <w:t xml:space="preserve">strategy </w:t>
            </w:r>
            <w:r w:rsidR="008E3BEF" w:rsidRPr="00EC3E91">
              <w:rPr>
                <w:rFonts w:cstheme="minorHAnsi"/>
                <w:sz w:val="20"/>
                <w:szCs w:val="20"/>
                <w:lang w:val="en-US"/>
              </w:rPr>
              <w:t xml:space="preserve">for </w:t>
            </w:r>
            <w:r w:rsidR="00594F8A" w:rsidRPr="00EC3E91">
              <w:rPr>
                <w:rFonts w:cstheme="minorHAnsi"/>
                <w:sz w:val="20"/>
                <w:szCs w:val="20"/>
                <w:lang w:val="en-US"/>
              </w:rPr>
              <w:t xml:space="preserve">the </w:t>
            </w:r>
            <w:r w:rsidR="001026C6" w:rsidRPr="00EC3E91">
              <w:rPr>
                <w:rFonts w:cstheme="minorHAnsi"/>
                <w:sz w:val="20"/>
                <w:szCs w:val="20"/>
                <w:lang w:val="en-US"/>
              </w:rPr>
              <w:t xml:space="preserve">diagnosis, </w:t>
            </w:r>
            <w:r w:rsidR="009C6C1F" w:rsidRPr="00EC3E91">
              <w:rPr>
                <w:rFonts w:cstheme="minorHAnsi"/>
                <w:sz w:val="20"/>
                <w:szCs w:val="20"/>
                <w:lang w:val="en-US"/>
              </w:rPr>
              <w:t>management, and prevention of</w:t>
            </w:r>
            <w:r w:rsidR="00FF4BD9" w:rsidRPr="00EC3E91">
              <w:rPr>
                <w:rFonts w:cstheme="minorHAnsi"/>
                <w:sz w:val="20"/>
                <w:szCs w:val="20"/>
                <w:lang w:val="en-US"/>
              </w:rPr>
              <w:t xml:space="preserve"> chronic obstructive pulmonary disease: GOLD executive </w:t>
            </w:r>
            <w:r w:rsidR="007452BB" w:rsidRPr="00EC3E91">
              <w:rPr>
                <w:rFonts w:cstheme="minorHAnsi"/>
                <w:sz w:val="20"/>
                <w:szCs w:val="20"/>
                <w:lang w:val="en-US"/>
              </w:rPr>
              <w:t>summary.</w:t>
            </w:r>
            <w:r w:rsidR="00FF4BD9" w:rsidRPr="00EC3E91">
              <w:rPr>
                <w:rFonts w:cstheme="minorHAnsi"/>
                <w:sz w:val="20"/>
                <w:szCs w:val="20"/>
                <w:lang w:val="en-US"/>
              </w:rPr>
              <w:t xml:space="preserve">   </w:t>
            </w:r>
          </w:p>
        </w:tc>
        <w:tc>
          <w:tcPr>
            <w:tcW w:w="2551" w:type="dxa"/>
          </w:tcPr>
          <w:p w14:paraId="542BF86C" w14:textId="32BD6C99" w:rsidR="00FF4BD9" w:rsidRPr="00EC3E91" w:rsidRDefault="00FF4BD9" w:rsidP="00D56C0C">
            <w:pPr>
              <w:rPr>
                <w:rFonts w:cstheme="minorHAnsi"/>
                <w:sz w:val="20"/>
                <w:szCs w:val="20"/>
                <w:lang w:val="en-US"/>
              </w:rPr>
            </w:pPr>
            <w:r w:rsidRPr="00EC3E91">
              <w:rPr>
                <w:rFonts w:cstheme="minorHAnsi"/>
                <w:sz w:val="20"/>
                <w:szCs w:val="20"/>
                <w:lang w:val="en-US"/>
              </w:rPr>
              <w:t xml:space="preserve">Provide clinical supervision </w:t>
            </w:r>
          </w:p>
        </w:tc>
      </w:tr>
      <w:tr w:rsidR="00FF4BD9" w:rsidRPr="00E119DD" w14:paraId="474C22FE" w14:textId="77777777" w:rsidTr="00FF4BD9">
        <w:trPr>
          <w:tblHeader/>
        </w:trPr>
        <w:tc>
          <w:tcPr>
            <w:tcW w:w="709" w:type="dxa"/>
          </w:tcPr>
          <w:p w14:paraId="5AC5EE18" w14:textId="4CF94AE8"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AND OBJECTIVE: Clinical decision rules have reduced use of computed tomography (CT) to evaluate minor pediatric head injury in pediatric emergency departments (EDs). CT use remains high in community EDs, where the majority of children seek medical care. We sought to reduce the rate of CT scans used to evaluate pediatric head injury from 29% to 20% in a community ED. METHODS: We evaluated a quality improvement (QI) project in a community ED aimed at decreasing the use of head CT scans in children by implementing a validated head trauma prediction rule for traumatic brain injury. A multidisciplinary team identified key drivers of CT use and implemented decision AIDS to improve the use of prediction rules. The team identified and mitigated barriers. An affiliated children's hospital offered Maintenance of Certification credit and QI coaching to participants. We used statistical process control charts to evaluate the effect of the intervention on monthly CT scan rates and performed a Wald test of equivalence to compare preintervention and postintervention CT scan proportions. RESULTS: The baseline period (February 2013-July 2014) included 695 patients with a CT scan rate of 29.2% (95% confidence interval, 25.8%-32.6%). The postintervention period (August 2014-October 2015) included 651 patients with a CT scan rate of 17.4% (95% confidence interval, 14.5%-20.2%, P &lt; .01). Barriers included targeting providers with variable pediatric experience and parental imaging expectations. CONCLUSIONS: We demonstrate that a Maintenance of Certification QI project sponsored by a children's hospital can facilitate evidence-based pediatric care and decrease the rate of unnecessary CT use in a community setting.","author":[{"dropping-particle":"","family":"Jennings","given":"R M","non-dropping-particle":"","parse-names":false,"suffix":""},{"dropping-particle":"","family":"Burtner","given":"J J","non-dropping-particle":"","parse-names":false,"suffix":""},{"dropping-particle":"","family":"Pellicer","given":"J F","non-dropping-particle":"","parse-names":false,"suffix":""},{"dropping-particle":"","family":"Nair","given":"D K","non-dropping-particle":"","parse-names":false,"suffix":""},{"dropping-particle":"","family":"Bradford","given":"M C","non-dropping-particle":"","parse-names":false,"suffix":""},{"dropping-particle":"","family":"Shaffer","given":"M","non-dropping-particle":"","parse-names":false,"suffix":""},{"dropping-particle":"","family":"Uspal","given":"N G","non-dropping-particle":"","parse-names":false,"suffix":""},{"dropping-particle":"","family":"Tieder","given":"J S","non-dropping-particle":"","parse-names":false,"suffix":""}],"container-title":"Pediatrics","id":"ITEM-1","issue":"4","issued":{"date-parts":[["2017"]]},"note":"L615887232 2017-05-09 2017-05-17","title":"Reducing head CT use for children with head injuries in a community emergency department","type":"article-journal","volume":"139"},"uris":["http://www.mendeley.com/documents/?uuid=299e8e1a-ee75-4306-8103-8858884b4ea0"]}],"mendeley":{"formattedCitation":"(12)","plainTextFormattedCitation":"(12)","previouslyFormattedCitation":"(12)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w:t>
            </w:r>
            <w:r w:rsidRPr="00EC3E91">
              <w:rPr>
                <w:rFonts w:cstheme="minorHAnsi"/>
                <w:sz w:val="20"/>
                <w:szCs w:val="20"/>
                <w:lang w:val="en-US"/>
              </w:rPr>
              <w:fldChar w:fldCharType="end"/>
            </w:r>
          </w:p>
        </w:tc>
        <w:tc>
          <w:tcPr>
            <w:tcW w:w="992" w:type="dxa"/>
          </w:tcPr>
          <w:p w14:paraId="764C0840" w14:textId="44205C7C"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5DE570EA" w14:textId="198270D3"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4629AFFA" w14:textId="011D79E9"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4850E409" w14:textId="6E5E5D00"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6248FB6B" w14:textId="0593D976" w:rsidR="00FF4BD9" w:rsidRPr="00EC3E91" w:rsidRDefault="00226199" w:rsidP="00D56C0C">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24E22305" w14:textId="1BC0B391" w:rsidR="00FF4BD9" w:rsidRPr="00EC3E91" w:rsidRDefault="00FF4BD9" w:rsidP="00D56C0C">
            <w:pPr>
              <w:rPr>
                <w:rFonts w:cstheme="minorHAnsi"/>
                <w:sz w:val="20"/>
                <w:szCs w:val="20"/>
                <w:lang w:val="en-US"/>
              </w:rPr>
            </w:pPr>
            <w:r w:rsidRPr="00EC3E91">
              <w:rPr>
                <w:rFonts w:cstheme="minorHAnsi"/>
                <w:sz w:val="20"/>
                <w:szCs w:val="20"/>
                <w:lang w:val="en-US"/>
              </w:rPr>
              <w:t>Pediatric head CT use</w:t>
            </w:r>
          </w:p>
        </w:tc>
        <w:tc>
          <w:tcPr>
            <w:tcW w:w="3969" w:type="dxa"/>
          </w:tcPr>
          <w:p w14:paraId="126646EB" w14:textId="49757523" w:rsidR="00FF4BD9" w:rsidRPr="00EC3E91" w:rsidRDefault="00FF4BD9" w:rsidP="00F9216C">
            <w:pPr>
              <w:rPr>
                <w:rFonts w:cstheme="minorHAnsi"/>
                <w:sz w:val="20"/>
                <w:szCs w:val="20"/>
                <w:lang w:val="en-US"/>
              </w:rPr>
            </w:pPr>
            <w:r w:rsidRPr="00EC3E91">
              <w:rPr>
                <w:rFonts w:cstheme="minorHAnsi"/>
                <w:sz w:val="20"/>
                <w:szCs w:val="20"/>
                <w:lang w:val="en-US"/>
              </w:rPr>
              <w:t xml:space="preserve">Identification of children at very low risk of </w:t>
            </w:r>
            <w:r w:rsidR="00B646EA" w:rsidRPr="00EC3E91">
              <w:rPr>
                <w:rFonts w:cstheme="minorHAnsi"/>
                <w:sz w:val="20"/>
                <w:szCs w:val="20"/>
                <w:lang w:val="en-US"/>
              </w:rPr>
              <w:t>clinically important</w:t>
            </w:r>
            <w:r w:rsidRPr="00EC3E91">
              <w:rPr>
                <w:rFonts w:cstheme="minorHAnsi"/>
                <w:sz w:val="20"/>
                <w:szCs w:val="20"/>
                <w:lang w:val="en-US"/>
              </w:rPr>
              <w:t xml:space="preserve"> brain injuries after head trauma: a prospective cohort study. From Lancet. 2009;374(9696):1160–1170</w:t>
            </w:r>
          </w:p>
        </w:tc>
        <w:tc>
          <w:tcPr>
            <w:tcW w:w="2551" w:type="dxa"/>
          </w:tcPr>
          <w:p w14:paraId="78BB5F83" w14:textId="780FC4D2" w:rsidR="00FF4BD9" w:rsidRPr="00EC3E91" w:rsidRDefault="00FF4BD9" w:rsidP="00D56C0C">
            <w:pPr>
              <w:rPr>
                <w:rFonts w:cstheme="minorHAnsi"/>
                <w:sz w:val="20"/>
                <w:szCs w:val="20"/>
                <w:lang w:val="en-US"/>
              </w:rPr>
            </w:pPr>
            <w:r w:rsidRPr="00EC3E91">
              <w:rPr>
                <w:rFonts w:cstheme="minorHAnsi"/>
                <w:sz w:val="20"/>
                <w:szCs w:val="20"/>
                <w:lang w:val="en-US"/>
              </w:rPr>
              <w:t xml:space="preserve">Remind </w:t>
            </w:r>
            <w:r w:rsidR="008934E9" w:rsidRPr="00EC3E91">
              <w:rPr>
                <w:rFonts w:cstheme="minorHAnsi"/>
                <w:sz w:val="20"/>
                <w:szCs w:val="20"/>
                <w:lang w:val="en-US"/>
              </w:rPr>
              <w:t>clinicians, audit</w:t>
            </w:r>
            <w:r w:rsidRPr="00EC3E91">
              <w:rPr>
                <w:rFonts w:cstheme="minorHAnsi"/>
                <w:sz w:val="20"/>
                <w:szCs w:val="20"/>
                <w:lang w:val="en-US"/>
              </w:rPr>
              <w:t xml:space="preserve"> and feedback, use advisory board and workgroups, [COMMUNICATION TOOL], assess and redesign workflow. </w:t>
            </w:r>
          </w:p>
        </w:tc>
      </w:tr>
      <w:tr w:rsidR="00FF4BD9" w:rsidRPr="00E119DD" w14:paraId="4E5E876D" w14:textId="77777777" w:rsidTr="00FF4BD9">
        <w:trPr>
          <w:tblHeader/>
        </w:trPr>
        <w:tc>
          <w:tcPr>
            <w:tcW w:w="709" w:type="dxa"/>
          </w:tcPr>
          <w:p w14:paraId="4EE75499" w14:textId="018DF81E"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{"citationItems":[{"id":"ITEM-1","itemData":{"ISSN":"1472-6947","abstract":"BACKGROUND: The way software for electronic health records and laboratory tests ordering systems are designed may influence physicians' prescription. A randomised controlled trial was performed to measure the impact of a diagnostic and laboratory tests ordering system software modification. METHODS: Participants were family physicians working and prescribing diagnostic and laboratory tests. The intervention group had a modified software with a basic shortcut menu changes, where some tests were withdrawn or added, and with the implementation of an evidence-based decision support based on United States Preventive Services Task Force (USPSTF) recommendations. This intervention group was compared with usual software (control group). The outcomes were the number of tests prescribed from those: withdrawn from the basic menu; added to the basic menu; marked with green dots (USPSTF's grade A and B); and marked with red dots (USPSTF's grade D). RESULTS: Comparing the monthly average number of tests prescribed before and after the software modification, from those tests that were withdrawn from the basic menu, the control group prescribed 33.8 tests per 100 consultations before and 30.8 after (p=0075); the intervention group prescribed 31.3 before and 13.9 after (p&lt;0001). Comparing the tests prescribed between both groups during the intervention, from those tests that were withdrawn from the basic menu, the intervention group prescribed a monthly average of 14.0 vs. 29.3 tests per 100 consultations in the control group (p&lt;0.001). From those tests that are USPSTF's grade A and B, intervention group prescribed 66.8 vs. 74.1 tests per 100 consultations in the control group (p=0.070). From those tests categorised as USPSTF grade D, the intervention group prescribed an average of 9.8 vs. 11.8 tests per 100 consultations in the control group (p=0.003). CONCLUSIONS: Removing unnecessary tests from a quick shortcut menu of the diagnosis and laboratory tests ordering system had a significant impact and reduced unnecessary prescription of tests. The fact that it was not possible to perform the randomization at the family physicians' level, but only of the computer servers is a limitation of our study. Future research should assess the impact of different tests ordering systems during longer periods. TRIAL REGISTRATION: ISRCTN45427977 , May 1&lt;sup&gt;st&lt;/sup&gt; 2014 (retrospectively registered).","author":[{"dropping-particle":"","family":"Martins","given":"C M","non-dropping-particle":"","parse-names":false,"suffix":""},{"dropping-particle":"","family":"Costa Teixeira","given":"A S","non-dropping-particle":"da","parse-names":false,"suffix":""},{"dropping-particle":"","family":"Azevedo","given":"L F","non-dropping-particle":"de","parse-names":false,"suffix":""},{"dropping-particle":"","family":"Sa","given":"L M","non-dropping-particle":"","parse-names":false,"suffix":""},{"dropping-particle":"","family":"Santos","given":"P A","non-dropping-particle":"","parse-names":false,"suffix":""},{"dropping-particle":"","family":"Couto","given":"M L","non-dropping-particle":"do","parse-names":false,"suffix":""},{"dropping-particle":"","family":"Costa Pereira","given":"A M","non-dropping-particle":"da","parse-names":false,"suffix":""},{"dropping-particle":"","family":"Hespanhol","given":"A A","non-dropping-particle":"","parse-names":false,"suffix":""},{"dropping-particle":"","family":"Costa Santos","given":"C M","non-dropping-particle":"da","parse-names":false,"suffix":""}],"container-title":"BMC Medical Informatics &amp; Decision Making","id":"ITEM-1","issue":"1","issued":{"date-parts":[["2017"]]},"page":"20","title":"The effect of a test ordering software intervention on the prescription of unnecessary laboratory tests - a randomized controlled trial","type":"article-journal","volume":"17"},"uris":["http://www.mendeley.com/documents/?uuid=50a01e11-1598-49fb-83d9-3d925a0ecb80"]}],"mendeley":{"formattedCitation":"(13)","plainTextFormattedCitation":"(13)","previouslyFormattedCitation":"(13)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w:t>
            </w:r>
            <w:r w:rsidRPr="00EC3E91">
              <w:rPr>
                <w:rFonts w:cstheme="minorHAnsi"/>
                <w:sz w:val="20"/>
                <w:szCs w:val="20"/>
                <w:lang w:val="en-US"/>
              </w:rPr>
              <w:fldChar w:fldCharType="end"/>
            </w:r>
          </w:p>
        </w:tc>
        <w:tc>
          <w:tcPr>
            <w:tcW w:w="992" w:type="dxa"/>
          </w:tcPr>
          <w:p w14:paraId="1BA541C2" w14:textId="7DCE83D9" w:rsidR="00FF4BD9" w:rsidRPr="00EC3E91" w:rsidRDefault="00FF4BD9" w:rsidP="00D56C0C">
            <w:pPr>
              <w:rPr>
                <w:rFonts w:cstheme="minorHAnsi"/>
                <w:sz w:val="20"/>
                <w:szCs w:val="20"/>
                <w:lang w:val="en-US"/>
              </w:rPr>
            </w:pPr>
            <w:r w:rsidRPr="00EC3E91">
              <w:rPr>
                <w:rFonts w:cstheme="minorHAnsi"/>
                <w:sz w:val="20"/>
                <w:szCs w:val="20"/>
                <w:lang w:val="en-US"/>
              </w:rPr>
              <w:t xml:space="preserve">Portugal </w:t>
            </w:r>
          </w:p>
        </w:tc>
        <w:tc>
          <w:tcPr>
            <w:tcW w:w="993" w:type="dxa"/>
          </w:tcPr>
          <w:p w14:paraId="2DD87097" w14:textId="45F4679F" w:rsidR="00FF4BD9" w:rsidRPr="00EC3E91" w:rsidRDefault="00FF4BD9" w:rsidP="00D56C0C">
            <w:pPr>
              <w:rPr>
                <w:rFonts w:cstheme="minorHAnsi"/>
                <w:sz w:val="20"/>
                <w:szCs w:val="20"/>
                <w:lang w:val="en-US"/>
              </w:rPr>
            </w:pPr>
            <w:r w:rsidRPr="00EC3E91">
              <w:rPr>
                <w:rFonts w:cstheme="minorHAnsi"/>
                <w:sz w:val="20"/>
                <w:szCs w:val="20"/>
                <w:lang w:val="en-US"/>
              </w:rPr>
              <w:t xml:space="preserve">Primary Care </w:t>
            </w:r>
          </w:p>
        </w:tc>
        <w:tc>
          <w:tcPr>
            <w:tcW w:w="850" w:type="dxa"/>
          </w:tcPr>
          <w:p w14:paraId="636424C6" w14:textId="7AFA0EE3" w:rsidR="00FF4BD9" w:rsidRPr="00EC3E91" w:rsidRDefault="00FF4BD9" w:rsidP="00D56C0C">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13E3AA8E" w14:textId="5910077F"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2012CF46" w14:textId="1EB044F1"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0CA66110" w14:textId="513F2570" w:rsidR="00FF4BD9" w:rsidRPr="00EC3E91" w:rsidRDefault="00746D40" w:rsidP="00D56C0C">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laboratory tests</w:t>
            </w:r>
          </w:p>
        </w:tc>
        <w:tc>
          <w:tcPr>
            <w:tcW w:w="3969" w:type="dxa"/>
          </w:tcPr>
          <w:p w14:paraId="3D941DD7" w14:textId="39C90D36" w:rsidR="00FF4BD9" w:rsidRPr="00EC3E91" w:rsidRDefault="00FF4BD9" w:rsidP="00E31087">
            <w:pPr>
              <w:rPr>
                <w:rFonts w:cstheme="minorHAnsi"/>
                <w:sz w:val="20"/>
                <w:szCs w:val="20"/>
                <w:lang w:val="en-US"/>
              </w:rPr>
            </w:pPr>
            <w:r w:rsidRPr="00EC3E91">
              <w:rPr>
                <w:rFonts w:cstheme="minorHAnsi"/>
                <w:sz w:val="20"/>
                <w:szCs w:val="20"/>
                <w:lang w:val="en-US"/>
              </w:rPr>
              <w:t xml:space="preserve">The guide to clinical preventive services, </w:t>
            </w:r>
            <w:r w:rsidR="008934E9" w:rsidRPr="00EC3E91">
              <w:rPr>
                <w:rFonts w:cstheme="minorHAnsi"/>
                <w:sz w:val="20"/>
                <w:szCs w:val="20"/>
                <w:lang w:val="en-US"/>
              </w:rPr>
              <w:t>2014: recommendations</w:t>
            </w:r>
            <w:r w:rsidRPr="00EC3E91">
              <w:rPr>
                <w:rFonts w:cstheme="minorHAnsi"/>
                <w:sz w:val="20"/>
                <w:szCs w:val="20"/>
                <w:lang w:val="en-US"/>
              </w:rPr>
              <w:t xml:space="preserve"> of the U.S. Preventive Services Task Force.</w:t>
            </w:r>
          </w:p>
          <w:p w14:paraId="65E651DE" w14:textId="22735239" w:rsidR="00FF4BD9" w:rsidRPr="00EC3E91" w:rsidRDefault="00FF4BD9" w:rsidP="00F9216C">
            <w:pPr>
              <w:rPr>
                <w:rFonts w:cstheme="minorHAnsi"/>
                <w:sz w:val="20"/>
                <w:szCs w:val="20"/>
                <w:lang w:val="en-US"/>
              </w:rPr>
            </w:pPr>
          </w:p>
        </w:tc>
        <w:tc>
          <w:tcPr>
            <w:tcW w:w="2551" w:type="dxa"/>
          </w:tcPr>
          <w:p w14:paraId="4FDF8E2F" w14:textId="26BC6A58" w:rsidR="00FF4BD9" w:rsidRPr="00EC3E91" w:rsidRDefault="00FF4BD9" w:rsidP="00D56C0C">
            <w:pPr>
              <w:rPr>
                <w:rFonts w:cstheme="minorHAnsi"/>
                <w:sz w:val="20"/>
                <w:szCs w:val="20"/>
                <w:lang w:val="en-US"/>
              </w:rPr>
            </w:pPr>
            <w:r w:rsidRPr="00EC3E91">
              <w:rPr>
                <w:rFonts w:cstheme="minorHAnsi"/>
                <w:sz w:val="20"/>
                <w:szCs w:val="20"/>
                <w:lang w:val="en-US"/>
              </w:rPr>
              <w:t>Change physical structure and equipment</w:t>
            </w:r>
          </w:p>
        </w:tc>
      </w:tr>
      <w:tr w:rsidR="00FF4BD9" w:rsidRPr="00E119DD" w14:paraId="037EE2D8" w14:textId="77777777" w:rsidTr="00FF4BD9">
        <w:trPr>
          <w:tblHeader/>
        </w:trPr>
        <w:tc>
          <w:tcPr>
            <w:tcW w:w="709" w:type="dxa"/>
          </w:tcPr>
          <w:p w14:paraId="1B7E3F16" w14:textId="41D967EB" w:rsidR="00FF4BD9" w:rsidRPr="00EC3E91" w:rsidRDefault="00FF4BD9" w:rsidP="00D56C0C">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{"citationItems":[{"id":"ITEM-1","itemData":{"abstract":"BACKGROUND: Inappropriate testing contributes to soaring healthcare costs within the United States, and teaching hospitals are vulnerable to providing care largely for academic development. Via its \"Choosing Wisely\" campaign, the American Board of Internal Medicine recommends avoiding repetitive testing for stable inpatients. We designed systems-based interventions to reduce laboratory orders for patients admitted to the wards at an academic facility. METHODS: We identified the computer-based order entry system as an appropriate target for sustainable intervention. The admission order set had allowed multiple routine tests to be ordered repetitively each day. Our iterative study included interventions on the automated order set and cost displays at order entry. The primary outcome was number of routine tests controlled for inpatient days compared with the preceding year. Secondary outcomes included cost savings, delays in care, and adverse events. RESULTS: Data were collected over a 2-month period following interventions in sequential years and compared with the year prior. The first intervention led to 0.97 fewer laboratory tests per inpatient day (19.4%). The second intervention led to sustained reduction, although by less of a margin than order set modifications alone (15.3%). When extrapolating the results utilizing fees from the Centers for Medicare and Medicaid Services, there was a cost savings of $290,000 over 2 years. Qualitative survey data did not suggest an increase in care delays or near-miss events. CONCLUSIONS: This series of interventions targeting unnecessary testing demonstrated a sustained reduction in the number of routine tests ordered, without adverse effects on clinical care.","author":[{"dropping-particle":"","family":"Sadowski","given":"B W","non-dropping-particle":"","parse-names":false,"suffix":""},{"dropping-particle":"","family":"Lane","given":"A B","non-dropping-particle":"","parse-names":false,"suffix":""},{"dropping-particle":"","family":"Wood","given":"S M","non-dropping-particle":"","parse-names":false,"suffix":""},{"dropping-particle":"","family":"Robinson","given":"S L","non-dropping-particle":"","parse-names":false,"suffix":""},{"dropping-particle":"","family":"Kim","given":"C H","non-dropping-particle":"","parse-names":false,"suffix":""}],"container-title":"American Journal of Medicine","id":"ITEM-1","issue":"9","issued":{"date-parts":[["2017"]]},"page":"1112.e1-1112.e7","title":"High-Value, Cost-Conscious Care: Iterative Systems-Based Interventions to Reduce Unnecessary Laboratory Testing","type":"article-journal","volume":"130"},"uris":["http://www.mendeley.com/documents/?uuid=a0d04f52-836a-477c-9588-9ac63de8a3eb"]}],"mendeley":{"formattedCitation":"(14)","plainTextFormattedCitation":"(14)","previouslyFormattedCitation":"(14)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w:t>
            </w:r>
            <w:r w:rsidRPr="00EC3E91">
              <w:rPr>
                <w:rFonts w:cstheme="minorHAnsi"/>
                <w:sz w:val="20"/>
                <w:szCs w:val="20"/>
                <w:lang w:val="en-US"/>
              </w:rPr>
              <w:fldChar w:fldCharType="end"/>
            </w:r>
          </w:p>
        </w:tc>
        <w:tc>
          <w:tcPr>
            <w:tcW w:w="992" w:type="dxa"/>
          </w:tcPr>
          <w:p w14:paraId="5546E457" w14:textId="6472D0A6"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1BB2C409" w14:textId="78842A94"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34174C5C" w14:textId="3BF7E84A"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7CD93D02" w14:textId="6368E433"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350682E4" w14:textId="21BA340C"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55D846C2" w14:textId="127B9E39" w:rsidR="00FF4BD9" w:rsidRPr="00EC3E91" w:rsidRDefault="00746D40" w:rsidP="00D56C0C">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laboratory tests </w:t>
            </w:r>
          </w:p>
        </w:tc>
        <w:tc>
          <w:tcPr>
            <w:tcW w:w="3969" w:type="dxa"/>
          </w:tcPr>
          <w:p w14:paraId="7ACC99B5" w14:textId="66380763" w:rsidR="00FF4BD9" w:rsidRPr="00EC3E91" w:rsidRDefault="00FF4BD9" w:rsidP="00E31087">
            <w:pPr>
              <w:rPr>
                <w:rFonts w:cstheme="minorHAnsi"/>
                <w:sz w:val="20"/>
                <w:szCs w:val="20"/>
                <w:lang w:val="en-US"/>
              </w:rPr>
            </w:pPr>
            <w:r w:rsidRPr="00EC3E91">
              <w:rPr>
                <w:rFonts w:cstheme="minorHAnsi"/>
                <w:sz w:val="20"/>
                <w:szCs w:val="20"/>
                <w:lang w:val="en-US"/>
              </w:rPr>
              <w:t>Choosing wisely in adult hospital medicine</w:t>
            </w:r>
          </w:p>
          <w:p w14:paraId="651F69D3" w14:textId="3E1791FF" w:rsidR="00FF4BD9" w:rsidRPr="00EC3E91" w:rsidRDefault="00FF4BD9" w:rsidP="00DE25C0">
            <w:pPr>
              <w:rPr>
                <w:rFonts w:cstheme="minorHAnsi"/>
                <w:sz w:val="20"/>
                <w:szCs w:val="20"/>
                <w:lang w:val="en-US"/>
              </w:rPr>
            </w:pPr>
          </w:p>
        </w:tc>
        <w:tc>
          <w:tcPr>
            <w:tcW w:w="2551" w:type="dxa"/>
          </w:tcPr>
          <w:p w14:paraId="012BAC55" w14:textId="25486872" w:rsidR="00FF4BD9" w:rsidRPr="00EC3E91" w:rsidRDefault="00FF4BD9" w:rsidP="00D56C0C">
            <w:pPr>
              <w:rPr>
                <w:rFonts w:cstheme="minorHAnsi"/>
                <w:sz w:val="20"/>
                <w:szCs w:val="20"/>
                <w:lang w:val="en-US"/>
              </w:rPr>
            </w:pPr>
            <w:r w:rsidRPr="00EC3E91">
              <w:rPr>
                <w:rFonts w:cstheme="minorHAnsi"/>
                <w:sz w:val="20"/>
                <w:szCs w:val="20"/>
                <w:lang w:val="en-US"/>
              </w:rPr>
              <w:t xml:space="preserve">Change physical structure and equipment, conduct cyclical small tests of change. </w:t>
            </w:r>
          </w:p>
        </w:tc>
      </w:tr>
      <w:tr w:rsidR="00FF4BD9" w:rsidRPr="00E119DD" w14:paraId="23209D4F" w14:textId="77777777" w:rsidTr="00FF4BD9">
        <w:trPr>
          <w:tblHeader/>
        </w:trPr>
        <w:tc>
          <w:tcPr>
            <w:tcW w:w="709" w:type="dxa"/>
          </w:tcPr>
          <w:p w14:paraId="35D12128" w14:textId="1D8DF1A5"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To evaluate the effectiveness of a computerized clinical decision support intervention aimed at reducing inappropriate Clostridium difficile testing DESIGN Retrospective cohort study SETTING University of Pennsylvania Health System, comprised of 3 large tertiary-care hospitals PATIENTS All adult patients admitted over a 2-year period INTERVENTION Providers were required to use an order set integrated into a commercial electronic health record to order C. difficile toxin testing. The order set identified patients who had received laxatives within the previous 36 hours and displayed a message asking providers to consider stopping laxatives and reassessing in 24 hours prior to ordering C. difficile testing. Providers had the option to continue or discontinue laxatives and to proceed with or forgo testing. The primary endpoint was the change in inappropriate C. difficile testing, as measured by the number of patients who had C. difficile testing ordered while receiving laxatives. RESULTS Compared to the 1-year baseline period, the intervention resulted in a decrease in the proportion of inappropriate C. difficile testing (29.6% vs 27.3%; P=.02). The intervention was associated with an increase in the number of patients who had laxatives discontinued and did not undergo C. difficile testing (5.8% vs 46.4%; P&lt;.01) and who had their laxatives discontinued and underwent testing (5.4% vs 35.2%; P&lt;.01). We observed a nonsignificant increase in the proportion of patients with C. difficile related complications (5.0% vs 8.9%; P=.11). CONCLUSIONS A C. difficile order set was successful in decreasing inappropriate C. difficile testing and improving the timely discontinuation of laxatives. Infect Control Hosp Epidemiol 2017;38:1204-1208.","author":[{"dropping-particle":"","family":"White","given":"D R","non-dropping-particle":"","parse-names":false,"suffix":""},{"dropping-particle":"","family":"Hamilton","given":"K W","non-dropping-particle":"","parse-names":false,"suffix":""},{"dropping-particle":"","family":"Pegues","given":"D A","non-dropping-particle":"","parse-names":false,"suffix":""},{"dropping-particle":"","family":"Hanish","given":"A","non-dropping-particle":"","parse-names":false,"suffix":""},{"dropping-particle":"","family":"Umscheid","given":"C A","non-dropping-particle":"","parse-names":false,"suffix":""}],"container-title":"Infection Control &amp; Hospital Epidemiology","id":"ITEM-1","issue":"10","issued":{"date-parts":[["2017"]]},"page":"1204-1208","title":"The Impact of a Computerized Clinical Decision Support Tool on Inappropriate Clostridium difficile Testing","type":"article-journal","volume":"38"},"uris":["http://www.mendeley.com/documents/?uuid=06787fd5-ab26-4227-87cc-1cb264be2952"]}],"mendeley":{"formattedCitation":"(15)","plainTextFormattedCitation":"(15)","previouslyFormattedCitation":"(15)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w:t>
            </w:r>
            <w:r w:rsidRPr="00EC3E91">
              <w:rPr>
                <w:rFonts w:cstheme="minorHAnsi"/>
                <w:sz w:val="20"/>
                <w:szCs w:val="20"/>
                <w:lang w:val="en-US"/>
              </w:rPr>
              <w:fldChar w:fldCharType="end"/>
            </w:r>
          </w:p>
        </w:tc>
        <w:tc>
          <w:tcPr>
            <w:tcW w:w="992" w:type="dxa"/>
          </w:tcPr>
          <w:p w14:paraId="32F1D2B5" w14:textId="01DB8785" w:rsidR="00FF4BD9" w:rsidRPr="00EC3E91" w:rsidRDefault="00FF4BD9" w:rsidP="00D56C0C">
            <w:pPr>
              <w:rPr>
                <w:rFonts w:cstheme="minorHAnsi"/>
                <w:sz w:val="20"/>
                <w:szCs w:val="20"/>
                <w:lang w:val="en-US"/>
              </w:rPr>
            </w:pPr>
            <w:r w:rsidRPr="00EC3E91">
              <w:rPr>
                <w:rFonts w:cstheme="minorHAnsi"/>
                <w:sz w:val="20"/>
                <w:szCs w:val="20"/>
                <w:lang w:val="en-US"/>
              </w:rPr>
              <w:t xml:space="preserve">US </w:t>
            </w:r>
          </w:p>
        </w:tc>
        <w:tc>
          <w:tcPr>
            <w:tcW w:w="993" w:type="dxa"/>
          </w:tcPr>
          <w:p w14:paraId="022D35CF" w14:textId="01A0B586"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1B7607B0" w14:textId="26C30076"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1A11BB57" w14:textId="0834F512"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354CBF44" w14:textId="6C643A91"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5C525231" w14:textId="0602A5EB" w:rsidR="00FF4BD9" w:rsidRPr="00EC3E91" w:rsidRDefault="00FF4BD9" w:rsidP="00D56C0C">
            <w:pPr>
              <w:rPr>
                <w:rFonts w:cstheme="minorHAnsi"/>
                <w:sz w:val="20"/>
                <w:szCs w:val="20"/>
                <w:lang w:val="en-US"/>
              </w:rPr>
            </w:pPr>
            <w:r w:rsidRPr="00EC3E91">
              <w:rPr>
                <w:rFonts w:cstheme="minorHAnsi"/>
                <w:sz w:val="20"/>
                <w:szCs w:val="20"/>
                <w:lang w:val="en-US"/>
              </w:rPr>
              <w:t>Inappropriate C. difficile test</w:t>
            </w:r>
          </w:p>
        </w:tc>
        <w:tc>
          <w:tcPr>
            <w:tcW w:w="3969" w:type="dxa"/>
          </w:tcPr>
          <w:p w14:paraId="5D280E5F" w14:textId="77F770CE" w:rsidR="00FF4BD9" w:rsidRPr="00EC3E91" w:rsidRDefault="00FF4BD9" w:rsidP="00E31087">
            <w:pPr>
              <w:rPr>
                <w:rFonts w:cstheme="minorHAnsi"/>
                <w:sz w:val="20"/>
                <w:szCs w:val="20"/>
                <w:lang w:val="en-US"/>
              </w:rPr>
            </w:pPr>
            <w:r w:rsidRPr="00EC3E91">
              <w:rPr>
                <w:rFonts w:cstheme="minorHAnsi"/>
                <w:sz w:val="20"/>
                <w:szCs w:val="20"/>
                <w:lang w:val="en-US"/>
              </w:rPr>
              <w:t xml:space="preserve">Multidrug-resistant </w:t>
            </w:r>
            <w:r w:rsidR="008934E9" w:rsidRPr="00EC3E91">
              <w:rPr>
                <w:rFonts w:cstheme="minorHAnsi"/>
                <w:sz w:val="20"/>
                <w:szCs w:val="20"/>
                <w:lang w:val="en-US"/>
              </w:rPr>
              <w:t>organism &amp;</w:t>
            </w:r>
            <w:r w:rsidRPr="00EC3E91">
              <w:rPr>
                <w:rFonts w:cstheme="minorHAnsi"/>
                <w:sz w:val="20"/>
                <w:szCs w:val="20"/>
                <w:lang w:val="en-US"/>
              </w:rPr>
              <w:t xml:space="preserve"> Clostridium difficile </w:t>
            </w:r>
            <w:r w:rsidR="009307F3" w:rsidRPr="00EC3E91">
              <w:rPr>
                <w:rFonts w:cstheme="minorHAnsi"/>
                <w:sz w:val="20"/>
                <w:szCs w:val="20"/>
                <w:lang w:val="en-US"/>
              </w:rPr>
              <w:t>infection (</w:t>
            </w:r>
            <w:r w:rsidRPr="00EC3E91">
              <w:rPr>
                <w:rFonts w:cstheme="minorHAnsi"/>
                <w:sz w:val="20"/>
                <w:szCs w:val="20"/>
                <w:lang w:val="en-US"/>
              </w:rPr>
              <w:t>MDRO/CDI) Module. Center for Disease Control and Prevention</w:t>
            </w:r>
          </w:p>
        </w:tc>
        <w:tc>
          <w:tcPr>
            <w:tcW w:w="2551" w:type="dxa"/>
          </w:tcPr>
          <w:p w14:paraId="64BC33EB" w14:textId="5E716FC3" w:rsidR="00FF4BD9" w:rsidRPr="00EC3E91" w:rsidRDefault="00FF4BD9" w:rsidP="00D56C0C">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19337F5A" w14:textId="77777777" w:rsidTr="00FF4BD9">
        <w:trPr>
          <w:tblHeader/>
        </w:trPr>
        <w:tc>
          <w:tcPr>
            <w:tcW w:w="709" w:type="dxa"/>
          </w:tcPr>
          <w:p w14:paraId="353F987F" w14:textId="1922271E"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{"citationItems":[{"id":"ITEM-1","itemData":{"ISSN":"2154-1663","abstract":"OBJECTIVES: Study objectives included addressing overuse of Clostridium difficile laboratory testing by decreasing submission rates of nondiarrheal stool specimens and specimens from children &lt;=12 months of age and determining resultant patient and laboratory cost savings associated with decreased testing. METHODS: A multifaceted initiative was developed, and components included multiple provider education methods, computerized order entry modifications, and automatic declination from laboratory on testing stool specimens of nondiarrheal consistency and from children &lt;=12 months old. A run chart, demonstrating numbers of nondiarrheal plus infant stool specimens submitted over time, was developed to analyze the initiative's impact on clinicians' test-ordering practices. A p-chart was generated to evaluate the percentage of these submitted specimens tested biweekly over a 12-month period. Cost savings for patients and the laboratory were assessed at the study period's conclusion. RESULTS: Run chart analysis revealed an initial shift after the interventions, suggesting a temporary decrease in testing submission; however, no sustained differences in numbers of specimens submitted biweekly were observed over time. On the p-chart, the mean percentage of specimens tested before the intervention was 100%. After the intervention, the average percentage of specimens tested dropped to 53.8%. Resultant laboratory cost savings totaled nearly $3600, and patient savings on testing charges were ~$32000. CONCLUSIONS: Automatic laboratory declination of nondiarrheal stools submitted for CDI testing resulted in a sustained decrease in the number of specimens tested, resulting in significant laboratory and patient cost savings. Despite multiple educational efforts, no sustained changes in physician ordering practices were observed.","author":[{"dropping-particle":"","family":"Klatte","given":"J M","non-dropping-particle":"","parse-names":false,"suffix":""},{"dropping-particle":"","family":"Selvarangan","given":"R","non-dropping-particle":"","parse-names":false,"suffix":""},{"dropping-particle":"","family":"Jackson","given":"M A","non-dropping-particle":"","parse-names":false,"suffix":""},{"dropping-particle":"","family":"Myers","given":"A L","non-dropping-particle":"","parse-names":false,"suffix":""}],"container-title":"Hospital Pediatrics","id":"ITEM-1","issue":"1","issued":{"date-parts":[["2016"]]},"page":"9-14","title":"Reducing Overutilization of Testing for Clostridium difficile Infection in a Pediatric Hospital System: A Quality Improvement Initiative","type":"article-journal","volume":"6"},"uris":["http://www.mendeley.com/documents/?uuid=2cf813b2-91eb-4580-b949-deb74389def5"]}],"mendeley":{"formattedCitation":"(16)","plainTextFormattedCitation":"(16)","previouslyFormattedCitation":"(16)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(16)</w:t>
            </w:r>
            <w:r w:rsidRPr="00EC3E91">
              <w:rPr>
                <w:rFonts w:cstheme="minorHAnsi"/>
                <w:sz w:val="20"/>
                <w:szCs w:val="20"/>
                <w:lang w:val="en-US"/>
              </w:rPr>
              <w:fldChar w:fldCharType="end"/>
            </w:r>
          </w:p>
        </w:tc>
        <w:tc>
          <w:tcPr>
            <w:tcW w:w="992" w:type="dxa"/>
          </w:tcPr>
          <w:p w14:paraId="63CA0DD6" w14:textId="0EF24435"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5981B271" w14:textId="271B5EA1"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5FA781E0" w14:textId="400C15D8"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382E4CA3" w14:textId="6B0B22BB"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633ED005" w14:textId="079DA154"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7BBF429A" w14:textId="6A155B24" w:rsidR="00FF4BD9" w:rsidRPr="00EC3E91" w:rsidRDefault="00FF4BD9" w:rsidP="00D56C0C">
            <w:pPr>
              <w:rPr>
                <w:rFonts w:cstheme="minorHAnsi"/>
                <w:sz w:val="20"/>
                <w:szCs w:val="20"/>
                <w:lang w:val="en-US"/>
              </w:rPr>
            </w:pPr>
            <w:r w:rsidRPr="00EC3E91">
              <w:rPr>
                <w:rFonts w:cstheme="minorHAnsi"/>
                <w:sz w:val="20"/>
                <w:szCs w:val="20"/>
                <w:lang w:val="en-US"/>
              </w:rPr>
              <w:t xml:space="preserve">Clostridium difficile infection (CDI) testing of </w:t>
            </w:r>
            <w:r w:rsidR="009307F3" w:rsidRPr="00EC3E91">
              <w:rPr>
                <w:rFonts w:cstheme="minorHAnsi"/>
                <w:sz w:val="20"/>
                <w:szCs w:val="20"/>
                <w:lang w:val="en-US"/>
              </w:rPr>
              <w:t>non-diarrheal</w:t>
            </w:r>
            <w:r w:rsidRPr="00EC3E91">
              <w:rPr>
                <w:rFonts w:cstheme="minorHAnsi"/>
                <w:sz w:val="20"/>
                <w:szCs w:val="20"/>
                <w:lang w:val="en-US"/>
              </w:rPr>
              <w:t xml:space="preserve"> stool</w:t>
            </w:r>
          </w:p>
        </w:tc>
        <w:tc>
          <w:tcPr>
            <w:tcW w:w="3969" w:type="dxa"/>
          </w:tcPr>
          <w:p w14:paraId="736B18A3" w14:textId="0F2EE2CA" w:rsidR="00FF4BD9" w:rsidRPr="00EC3E91" w:rsidRDefault="00FF4BD9" w:rsidP="00E31087">
            <w:pPr>
              <w:rPr>
                <w:rFonts w:cstheme="minorHAnsi"/>
                <w:sz w:val="20"/>
                <w:szCs w:val="20"/>
                <w:lang w:val="en-US"/>
              </w:rPr>
            </w:pPr>
            <w:r w:rsidRPr="00EC3E91">
              <w:rPr>
                <w:rFonts w:cstheme="minorHAnsi"/>
                <w:sz w:val="20"/>
                <w:szCs w:val="20"/>
                <w:lang w:val="en-US"/>
              </w:rPr>
              <w:t>Clostridium difficile infection in infants and children Committee on Infectious Diseases; American Academy of Pediatrics.</w:t>
            </w:r>
          </w:p>
        </w:tc>
        <w:tc>
          <w:tcPr>
            <w:tcW w:w="2551" w:type="dxa"/>
          </w:tcPr>
          <w:p w14:paraId="6E9D0771" w14:textId="46AACE10" w:rsidR="00FF4BD9" w:rsidRPr="00EC3E91" w:rsidRDefault="00FF4BD9" w:rsidP="00D56C0C">
            <w:pPr>
              <w:rPr>
                <w:rFonts w:cstheme="minorHAnsi"/>
                <w:sz w:val="20"/>
                <w:szCs w:val="20"/>
                <w:lang w:val="en-US"/>
              </w:rPr>
            </w:pPr>
            <w:r w:rsidRPr="00EC3E91">
              <w:rPr>
                <w:rFonts w:cstheme="minorHAnsi"/>
                <w:sz w:val="20"/>
                <w:szCs w:val="20"/>
                <w:lang w:val="en-US"/>
              </w:rPr>
              <w:t>make training dynamic, remind clinicians, change physical structure and equipment</w:t>
            </w:r>
          </w:p>
        </w:tc>
      </w:tr>
      <w:tr w:rsidR="00FF4BD9" w:rsidRPr="00E119DD" w14:paraId="2AE39364" w14:textId="77777777" w:rsidTr="00FF4BD9">
        <w:trPr>
          <w:tblHeader/>
        </w:trPr>
        <w:tc>
          <w:tcPr>
            <w:tcW w:w="709" w:type="dxa"/>
          </w:tcPr>
          <w:p w14:paraId="67A95890" w14:textId="0B6BBA22"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{"citationItems":[{"id":"ITEM-1","itemData":{"abstract":"PURPOSE OF THE STUDY: To reduce the number of unnecessary laboratory tests ordered through a measurement of effects of education and cost awareness on laboratory ordering behaviour by internal medicine residents for common tests, including complete blood cell count (CBC) and renal profile (RP), and to evaluate effects of cost awareness on hospitalisation, 30-day readmission rate and mortality rate. STUDY DESIGN: 567 patients admitted during February, March and April 2014 were reviewed as the control group. Total CBC, CBC with differential and RP tests were counted, along with readmission and mortality rates. Interventions were education and visual cost reminders. The same tests were reassessed for 629 patients treated during 12 months after intervention in 2015. RESULTS: Data showed a significant increase in CBCs ordered after the intervention (mean number per hospitalisation changed from 1.7 to 2.3 (p&lt;0.001)), a decrease in CBCs with differential (mean number changed from 1.7 to 1.2 (p&lt;0.001)) and no change in RPs ordered (mean number, 3.7 both before and after intervention (p=0.23)). No change was found in mortality rate, but the decrease in the readmission rate was significant (p=0.008). CONCLUSIONS: Education in the form of cost reminders did not significantly reduce the overall ordering of the most common daily laboratory testing in our academic teaching service. We believe further research is needed to fully evaluate the effectiveness of other education forms on the redundant ordering of tests in the hospital setting.","author":[{"dropping-particle":"","family":"Melendez-Rosado","given":"J","non-dropping-particle":"","parse-names":false,"suffix":""},{"dropping-particle":"","family":"Thompson","given":"K M","non-dropping-particle":"","parse-names":false,"suffix":""},{"dropping-particle":"","family":"Cowdell","given":"J C","non-dropping-particle":"","parse-names":false,"suffix":""},{"dropping-particle":"","family":"Sanchez Alvarez","given":"C","non-dropping-particle":"","parse-names":false,"suffix":""},{"dropping-particle":"","family":"Ung","given":"R L","non-dropping-particle":"","parse-names":false,"suffix":""},{"dropping-particle":"","family":"Villanueva","given":"A","non-dropping-particle":"","parse-names":false,"suffix":""},{"dropping-particle":"","family":"Jeffers","given":"K B","non-dropping-particle":"","parse-names":false,"suffix":""},{"dropping-particle":"","family":"Imam","given":"J S","non-dropping-particle":"","parse-names":false,"suffix":""},{"dropping-particle":"V","family":"Mitkov","given":"M","non-dropping-particle":"","parse-names":false,"suffix":""},{"dropping-particle":"","family":"Kaleem","given":"T A","non-dropping-particle":"","parse-names":false,"suffix":""},{"dropping-particle":"","family":"Jacob","given":"L","non-dropping-particle":"","parse-names":false,"suffix":""},{"dropping-particle":"","family":"Dawson","given":"N L","non-dropping-particle":"","parse-names":false,"suffix":""}],"container-title":"Postgraduate Medical Journal","id":"ITEM-1","issue":"1102","issued":{"date-parts":[["2017"]]},"page":"476-479","title":"Reducing unnecessary testing: an intervention to improve resident ordering practices","type":"article-journal","volume":"93"},"uris":["http://www.mendeley.com/documents/?uuid=533649f6-56ac-4aea-bc73-adbbd19a3a05"]}],"mendeley":{"formattedCitation":"(17)","plainTextFormattedCitation":"(17)","previouslyFormattedCitation":"(17)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(17)</w:t>
            </w:r>
            <w:r w:rsidRPr="00EC3E91">
              <w:rPr>
                <w:rFonts w:cstheme="minorHAnsi"/>
                <w:sz w:val="20"/>
                <w:szCs w:val="20"/>
                <w:lang w:val="en-US"/>
              </w:rPr>
              <w:fldChar w:fldCharType="end"/>
            </w:r>
          </w:p>
        </w:tc>
        <w:tc>
          <w:tcPr>
            <w:tcW w:w="992" w:type="dxa"/>
          </w:tcPr>
          <w:p w14:paraId="66B78758" w14:textId="054B70D4"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29D01E8D" w14:textId="7005AC62"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3030CA0F" w14:textId="09853325"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5AC47C30" w14:textId="1422028A"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3EDD1601" w14:textId="469943EB"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42A1F2AA" w14:textId="259E4765" w:rsidR="00FF4BD9" w:rsidRPr="00EC3E91" w:rsidRDefault="00FF4BD9" w:rsidP="00D56C0C">
            <w:pPr>
              <w:rPr>
                <w:rFonts w:cstheme="minorHAnsi"/>
                <w:sz w:val="20"/>
                <w:szCs w:val="20"/>
                <w:lang w:val="en-US"/>
              </w:rPr>
            </w:pPr>
            <w:r w:rsidRPr="00EC3E91">
              <w:rPr>
                <w:rFonts w:cstheme="minorHAnsi"/>
                <w:sz w:val="20"/>
                <w:szCs w:val="20"/>
                <w:lang w:val="en-US"/>
              </w:rPr>
              <w:t>Inappropriate laboratory testing</w:t>
            </w:r>
          </w:p>
        </w:tc>
        <w:tc>
          <w:tcPr>
            <w:tcW w:w="3969" w:type="dxa"/>
          </w:tcPr>
          <w:p w14:paraId="59E7367A" w14:textId="4219D3D7" w:rsidR="00FF4BD9" w:rsidRPr="00EC3E91" w:rsidRDefault="00FF4BD9" w:rsidP="00E31087">
            <w:pPr>
              <w:rPr>
                <w:rFonts w:cstheme="minorHAnsi"/>
                <w:sz w:val="20"/>
                <w:szCs w:val="20"/>
                <w:lang w:val="en-US"/>
              </w:rPr>
            </w:pPr>
            <w:r w:rsidRPr="00EC3E91">
              <w:rPr>
                <w:rFonts w:cstheme="minorHAnsi"/>
                <w:sz w:val="20"/>
                <w:szCs w:val="20"/>
                <w:lang w:val="en-US"/>
              </w:rPr>
              <w:t xml:space="preserve">Choosing Wisely </w:t>
            </w:r>
          </w:p>
        </w:tc>
        <w:tc>
          <w:tcPr>
            <w:tcW w:w="2551" w:type="dxa"/>
          </w:tcPr>
          <w:p w14:paraId="1621D48B" w14:textId="65DB92E9" w:rsidR="00FF4BD9" w:rsidRPr="00EC3E91" w:rsidRDefault="00FF4BD9" w:rsidP="00D56C0C">
            <w:pPr>
              <w:rPr>
                <w:rFonts w:cstheme="minorHAnsi"/>
                <w:sz w:val="20"/>
                <w:szCs w:val="20"/>
                <w:lang w:val="en-US"/>
              </w:rPr>
            </w:pPr>
            <w:r w:rsidRPr="00EC3E91">
              <w:rPr>
                <w:rFonts w:cstheme="minorHAnsi"/>
                <w:sz w:val="20"/>
                <w:szCs w:val="20"/>
                <w:lang w:val="en-US"/>
              </w:rPr>
              <w:t>make training dynamic, remind clinicians</w:t>
            </w:r>
          </w:p>
        </w:tc>
      </w:tr>
      <w:tr w:rsidR="00FF4BD9" w:rsidRPr="00E119DD" w14:paraId="30A01A9A" w14:textId="77777777" w:rsidTr="00FF4BD9">
        <w:trPr>
          <w:tblHeader/>
        </w:trPr>
        <w:tc>
          <w:tcPr>
            <w:tcW w:w="709" w:type="dxa"/>
          </w:tcPr>
          <w:p w14:paraId="779A3453" w14:textId="2FDBE892"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Self-monitoring of blood glucose (SMBG) confers no benefit for many people with type 2 diabetes not being treated with insulin. It accounts for 21% of diabetes prescribing costs. AIM: To improve care quality at reduced cost for type 2 diabetes by reducing unnecessary SMBG. DESIGN AND SETTING: Non-randomised, observational controlled study in two intervention clinical commissioning groups (CCGs) and one control CCG in east London. METHOD: In total, 19,602 people with type 2 diabetes not being treated with insulin were recruited from two intervention CCGs; 16,033 were recruited from a control CCG. The intervention (from 2010 to 2013) comprised implementation of a locally developed guideline, including IT support and peer feedback of performance. Data on practice prescribing SMBG testing strips were gathered using GP electronic health records. Information on costs were obtained via the ePACT electronic database. RESULTS: Over 4 years, in all non-insulin type 2 diabetes treatment groups, use of SMBG was reduced in the two intervention CCGs from 42.8% to 16.5%, and in the control CCG from 56.4% to 47.2%. In people on metformin alone or no treatment, intervention CCGs reduced SMBG use from 29.6% to 6.0%, and in the control CCG use dropped from 47.1% to 38.7% (P&lt;0.001). From 2009 to 2012 the total cost of all SMBG prescribing (type 1 and type 2 diabetes, including users of insulin) was reduced by 4.9% (62,476) in the two intervention CCGs and increased in the control CCG by 5.0% (42,607); in England, the total cost increased by 13.5% (19.4 million). In total, 20% (3865 of 19 602) fewer patients used SMBG in the intervention CCGs. CONCLUSION: This low-cost programme demonstrated a major reduction in unnecessary prescribing of SMBG, along with cost savings. If replicated nationally, this would avoid unnecessary testing in 340 000 people and prescribing costs that total 21.8 million.","author":[{"dropping-particle":"","family":"Robson","given":"J","non-dropping-particle":"","parse-names":false,"suffix":""},{"dropping-particle":"","family":"Smithers","given":"H","non-dropping-particle":"","parse-names":false,"suffix":""},{"dropping-particle":"","family":"Chowdhury","given":"T","non-dropping-particle":"","parse-names":false,"suffix":""},{"dropping-particle":"","family":"Bennett-Richards","given":"P","non-dropping-particle":"","parse-names":false,"suffix":""},{"dropping-particle":"","family":"Keene","given":"D","non-dropping-particle":"","parse-names":false,"suffix":""},{"dropping-particle":"","family":"Dostal","given":"I","non-dropping-particle":"","parse-names":false,"suffix":""},{"dropping-particle":"","family":"Mathur","given":"R","non-dropping-particle":"","parse-names":false,"suffix":""},{"dropping-particle":"","family":"Dunne","given":"J","non-dropping-particle":"","parse-names":false,"suffix":""},{"dropping-particle":"","family":"Hull","given":"S","non-dropping-particle":"","parse-names":false,"suffix":""},{"dropping-particle":"","family":"Boomla","given":"K","non-dropping-particle":"","parse-names":false,"suffix":""}],"container-title":"British Journal of General Practice","id":"ITEM-1","issue":"633","issued":{"date-parts":[["2015"]]},"page":"e256-63","title":"Reduction in self-monitoring of blood glucose in type 2 diabetes: an observational controlled study in east London","type":"article-journal","volume":"65"},"uris":["http://www.mendeley.com/documents/?uuid=b978d3ee-99ce-490c-9503-8846c8a01935"]}],"mendeley":{"formattedCitation":"(18)","plainTextFormattedCitation":"(18)","previouslyFormattedCitation":"(18)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(18)</w:t>
            </w:r>
            <w:r w:rsidRPr="00EC3E91">
              <w:rPr>
                <w:rFonts w:cstheme="minorHAnsi"/>
                <w:sz w:val="20"/>
                <w:szCs w:val="20"/>
                <w:lang w:val="en-US"/>
              </w:rPr>
              <w:fldChar w:fldCharType="end"/>
            </w:r>
          </w:p>
        </w:tc>
        <w:tc>
          <w:tcPr>
            <w:tcW w:w="992" w:type="dxa"/>
          </w:tcPr>
          <w:p w14:paraId="71D63B8D" w14:textId="45076D1A" w:rsidR="00FF4BD9" w:rsidRPr="00EC3E91" w:rsidRDefault="00FF4BD9" w:rsidP="00D56C0C">
            <w:pPr>
              <w:rPr>
                <w:rFonts w:cstheme="minorHAnsi"/>
                <w:sz w:val="20"/>
                <w:szCs w:val="20"/>
                <w:lang w:val="en-US"/>
              </w:rPr>
            </w:pPr>
            <w:r w:rsidRPr="00EC3E91">
              <w:rPr>
                <w:rFonts w:cstheme="minorHAnsi"/>
                <w:sz w:val="20"/>
                <w:szCs w:val="20"/>
                <w:lang w:val="en-US"/>
              </w:rPr>
              <w:t>UK</w:t>
            </w:r>
          </w:p>
        </w:tc>
        <w:tc>
          <w:tcPr>
            <w:tcW w:w="993" w:type="dxa"/>
          </w:tcPr>
          <w:p w14:paraId="42B7838A" w14:textId="71C012D4" w:rsidR="00FF4BD9" w:rsidRPr="00EC3E91" w:rsidRDefault="00FF4BD9" w:rsidP="00D56C0C">
            <w:pPr>
              <w:rPr>
                <w:rFonts w:cstheme="minorHAnsi"/>
                <w:sz w:val="20"/>
                <w:szCs w:val="20"/>
                <w:lang w:val="en-US"/>
              </w:rPr>
            </w:pPr>
            <w:r w:rsidRPr="00EC3E91">
              <w:rPr>
                <w:rFonts w:cstheme="minorHAnsi"/>
                <w:sz w:val="20"/>
                <w:szCs w:val="20"/>
                <w:lang w:val="en-US"/>
              </w:rPr>
              <w:t>Primary Care</w:t>
            </w:r>
          </w:p>
        </w:tc>
        <w:tc>
          <w:tcPr>
            <w:tcW w:w="850" w:type="dxa"/>
          </w:tcPr>
          <w:p w14:paraId="153E0D97" w14:textId="35AC9648" w:rsidR="00FF4BD9" w:rsidRPr="00EC3E91" w:rsidRDefault="00FF4BD9" w:rsidP="00D56C0C">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089C2623" w14:textId="6AB8C240"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696FBCBE" w14:textId="02C3B91B" w:rsidR="00FF4BD9" w:rsidRPr="00EC3E91" w:rsidRDefault="00FF4BD9" w:rsidP="00D56C0C">
            <w:pPr>
              <w:rPr>
                <w:rFonts w:cstheme="minorHAnsi"/>
                <w:sz w:val="20"/>
                <w:szCs w:val="20"/>
                <w:lang w:val="en-US"/>
              </w:rPr>
            </w:pPr>
            <w:r w:rsidRPr="00EC3E91">
              <w:rPr>
                <w:rFonts w:cstheme="minorHAnsi"/>
                <w:sz w:val="20"/>
                <w:szCs w:val="20"/>
                <w:lang w:val="en-US"/>
              </w:rPr>
              <w:t>SMBG</w:t>
            </w:r>
          </w:p>
        </w:tc>
        <w:tc>
          <w:tcPr>
            <w:tcW w:w="2126" w:type="dxa"/>
          </w:tcPr>
          <w:p w14:paraId="7EA8AF6B" w14:textId="08BE31CB" w:rsidR="00FF4BD9" w:rsidRPr="00EC3E91" w:rsidRDefault="00FF4BD9" w:rsidP="00D56C0C">
            <w:pPr>
              <w:rPr>
                <w:rFonts w:cstheme="minorHAnsi"/>
                <w:sz w:val="20"/>
                <w:szCs w:val="20"/>
                <w:lang w:val="en-US"/>
              </w:rPr>
            </w:pPr>
            <w:r w:rsidRPr="00EC3E91">
              <w:rPr>
                <w:rFonts w:cstheme="minorHAnsi"/>
                <w:sz w:val="20"/>
                <w:szCs w:val="20"/>
                <w:lang w:val="en-US"/>
              </w:rPr>
              <w:t>Self-monitoring of blood glucose in people with type 2 diabetes who are not on insulin.</w:t>
            </w:r>
          </w:p>
        </w:tc>
        <w:tc>
          <w:tcPr>
            <w:tcW w:w="3969" w:type="dxa"/>
          </w:tcPr>
          <w:p w14:paraId="285E9961" w14:textId="0F494BE8" w:rsidR="00FF4BD9" w:rsidRPr="00EC3E91" w:rsidRDefault="00FF4BD9" w:rsidP="00D56C0C">
            <w:pPr>
              <w:rPr>
                <w:rFonts w:cstheme="minorHAnsi"/>
                <w:sz w:val="20"/>
                <w:szCs w:val="20"/>
                <w:lang w:val="en-US"/>
              </w:rPr>
            </w:pPr>
            <w:r w:rsidRPr="00EC3E91">
              <w:rPr>
                <w:rFonts w:cstheme="minorHAnsi"/>
                <w:sz w:val="20"/>
                <w:szCs w:val="20"/>
                <w:lang w:val="en-US"/>
              </w:rPr>
              <w:t>National Institute for Health and Care Excellence. Type 2 diabetes: the management of type 2 diabetes. London: NICE; 2014.</w:t>
            </w:r>
          </w:p>
        </w:tc>
        <w:tc>
          <w:tcPr>
            <w:tcW w:w="2551" w:type="dxa"/>
          </w:tcPr>
          <w:p w14:paraId="502EDB4E" w14:textId="51A1A587" w:rsidR="00FF4BD9" w:rsidRPr="00EC3E91" w:rsidRDefault="00FF4BD9" w:rsidP="00D56C0C">
            <w:pPr>
              <w:rPr>
                <w:rFonts w:cstheme="minorHAnsi"/>
                <w:sz w:val="20"/>
                <w:szCs w:val="20"/>
                <w:lang w:val="en-US"/>
              </w:rPr>
            </w:pPr>
            <w:r w:rsidRPr="00EC3E91">
              <w:rPr>
                <w:rFonts w:cstheme="minorHAnsi"/>
                <w:sz w:val="20"/>
                <w:szCs w:val="20"/>
                <w:lang w:val="en-US"/>
              </w:rPr>
              <w:t>distribute educational materials, make training dynamic, develop educational materials, audit and provide feedback.</w:t>
            </w:r>
          </w:p>
        </w:tc>
      </w:tr>
      <w:tr w:rsidR="00FF4BD9" w:rsidRPr="00E119DD" w14:paraId="5D877639" w14:textId="77777777" w:rsidTr="00FF4BD9">
        <w:trPr>
          <w:tblHeader/>
        </w:trPr>
        <w:tc>
          <w:tcPr>
            <w:tcW w:w="709" w:type="dxa"/>
          </w:tcPr>
          <w:p w14:paraId="09294291" w14:textId="1FD89371"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Low back pain (LBP) care is frequently discordant with research evidence. This pilot study evaluated changes in LBP care following a systematic, theory informed intervention in a rural Australian Aboriginal Health Service. We aimed to improve three aspects of care; reduce inappropriate LBP radiological imaging referrals, increase psychosocial oriented patient assessment and, increase the provision of LBP self-management information to patients. METHODS: Three interventions to improve care were developed using a four-step systematic implementation approach. A mixed methods pre/post cohort design evaluated changes in the three behaviours using a clinical audit of LBP care in a six month period prior to the intervention and then following implementation. In-depth interviews elicited the perspectives of involved General Practitioners (GPs). Qualitative analysis was guided by the theoretical domains framework. RESULTS: The proportion of patients who received guideline inconsistent imaging referrals (GICI) improved from 4.1 GICI per 10 patients to 0.4 (95% CI for decrease in rate: 1.6 to 5.6) amongst GPs involved in the intervention. Amongst non-participating GPs (locum/part-time GPs who commenced post-interventions) the rate of GICI increased from 1.5 to 4.4 GICI per 10 patients (95 % CI for increase in rate: .5 to 5.3). There was a modest increase in the number of patients who received LBP self-management information from participating GPs and no substantial changes to psychosocial oriented patient assessments by any participants; however GPs qualitatively reported that their behaviours had changed. Knowledge and beliefs about consequences were important behavioural domains related to changes. Environmental and resource factors including protocols for locum staff and clinical tools embedded in patient management software were future strategies identified. CONCLUSIONS: A systematic intervention model resulted in partial improvements in LBP care. Determinants of practice change amongst GPs were increased knowledge of clinical guidelines, education delivered by someone considered a trusted source of information, and awareness of the negative consequences of inappropriate practices, especially radiological imaging on patient outcomes. Inconsistent and non-evidence based practices amongst locum GPs was an issue that emerged and will be a significant future challenge. The systematic approach utilised is applicable to other services interested in impro…","author":[{"dropping-particle":"","family":"Lin","given":"I B","non-dropping-particle":"","parse-names":false,"suffix":""},{"dropping-particle":"","family":"Coffin","given":"J","non-dropping-particle":"","parse-names":false,"suffix":""},{"dropping-particle":"","family":"O'Sullivan","given":"P B","non-dropping-particle":"","parse-names":false,"suffix":""}],"container-title":"BMC Family Practice","id":"ITEM-1","issued":{"date-parts":[["2016"]]},"note":"Medlne","page":"44","title":"Using theory to improve low back pain care in Australian Aboriginal primary care: a mixed method single cohort pilot study","type":"article-journal","volume":"17"},"uris":["http://www.mendeley.com/documents/?uuid=e207469a-b9be-4e6d-95b6-de3551c84fd9"]}],"mendeley":{"formattedCitation":"(19)","plainTextFormattedCitation":"(19)","previouslyFormattedCitation":"(19)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(19)</w:t>
            </w:r>
            <w:r w:rsidRPr="00EC3E91">
              <w:rPr>
                <w:rFonts w:cstheme="minorHAnsi"/>
                <w:sz w:val="20"/>
                <w:szCs w:val="20"/>
                <w:lang w:val="en-US"/>
              </w:rPr>
              <w:fldChar w:fldCharType="end"/>
            </w:r>
          </w:p>
        </w:tc>
        <w:tc>
          <w:tcPr>
            <w:tcW w:w="992" w:type="dxa"/>
          </w:tcPr>
          <w:p w14:paraId="0EEB6622" w14:textId="16F5A53B" w:rsidR="00FF4BD9" w:rsidRPr="00EC3E91" w:rsidRDefault="00FF4BD9" w:rsidP="00D56C0C">
            <w:pPr>
              <w:rPr>
                <w:rFonts w:cstheme="minorHAnsi"/>
                <w:sz w:val="20"/>
                <w:szCs w:val="20"/>
                <w:lang w:val="en-US"/>
              </w:rPr>
            </w:pPr>
            <w:r w:rsidRPr="00EC3E91">
              <w:rPr>
                <w:rFonts w:cstheme="minorHAnsi"/>
                <w:sz w:val="20"/>
                <w:szCs w:val="20"/>
                <w:lang w:val="en-US"/>
              </w:rPr>
              <w:t>Australia</w:t>
            </w:r>
          </w:p>
        </w:tc>
        <w:tc>
          <w:tcPr>
            <w:tcW w:w="993" w:type="dxa"/>
          </w:tcPr>
          <w:p w14:paraId="77B9D554" w14:textId="0914DEBC" w:rsidR="00FF4BD9" w:rsidRPr="00EC3E91" w:rsidRDefault="00FF4BD9" w:rsidP="00D56C0C">
            <w:pPr>
              <w:rPr>
                <w:rFonts w:cstheme="minorHAnsi"/>
                <w:sz w:val="20"/>
                <w:szCs w:val="20"/>
                <w:lang w:val="en-US"/>
              </w:rPr>
            </w:pPr>
            <w:r w:rsidRPr="00EC3E91">
              <w:rPr>
                <w:rFonts w:cstheme="minorHAnsi"/>
                <w:sz w:val="20"/>
                <w:szCs w:val="20"/>
                <w:lang w:val="en-US"/>
              </w:rPr>
              <w:t>Primary Care</w:t>
            </w:r>
          </w:p>
        </w:tc>
        <w:tc>
          <w:tcPr>
            <w:tcW w:w="850" w:type="dxa"/>
          </w:tcPr>
          <w:p w14:paraId="2F39F373" w14:textId="29A0D1D6" w:rsidR="00FF4BD9" w:rsidRPr="00EC3E91" w:rsidRDefault="00FF4BD9" w:rsidP="00D56C0C">
            <w:pPr>
              <w:rPr>
                <w:rFonts w:cstheme="minorHAnsi"/>
                <w:sz w:val="20"/>
                <w:szCs w:val="20"/>
                <w:lang w:val="en-US"/>
              </w:rPr>
            </w:pPr>
            <w:r w:rsidRPr="00EC3E91">
              <w:rPr>
                <w:rFonts w:cstheme="minorHAnsi"/>
                <w:sz w:val="20"/>
                <w:szCs w:val="20"/>
                <w:lang w:val="en-US"/>
              </w:rPr>
              <w:t xml:space="preserve">Mixed Cohort </w:t>
            </w:r>
          </w:p>
        </w:tc>
        <w:tc>
          <w:tcPr>
            <w:tcW w:w="851" w:type="dxa"/>
          </w:tcPr>
          <w:p w14:paraId="5D3D4709" w14:textId="37C717FC" w:rsidR="00FF4BD9" w:rsidRPr="00EC3E91" w:rsidRDefault="00FF4BD9" w:rsidP="00D56C0C">
            <w:pPr>
              <w:rPr>
                <w:rFonts w:cstheme="minorHAnsi"/>
                <w:sz w:val="20"/>
                <w:szCs w:val="20"/>
                <w:lang w:val="en-US"/>
              </w:rPr>
            </w:pPr>
            <w:r w:rsidRPr="00EC3E91">
              <w:rPr>
                <w:rFonts w:cstheme="minorHAnsi"/>
                <w:sz w:val="20"/>
                <w:szCs w:val="20"/>
                <w:lang w:val="en-US"/>
              </w:rPr>
              <w:t>Pilot investigation</w:t>
            </w:r>
          </w:p>
        </w:tc>
        <w:tc>
          <w:tcPr>
            <w:tcW w:w="1134" w:type="dxa"/>
          </w:tcPr>
          <w:p w14:paraId="12DB1052" w14:textId="647BD959" w:rsidR="00FF4BD9" w:rsidRPr="00EC3E91" w:rsidRDefault="00226199" w:rsidP="00D56C0C">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790DCA6A" w14:textId="1C1B556E" w:rsidR="00FF4BD9" w:rsidRPr="00EC3E91" w:rsidRDefault="00FF4BD9" w:rsidP="00D56C0C">
            <w:pPr>
              <w:rPr>
                <w:rFonts w:cstheme="minorHAnsi"/>
                <w:sz w:val="20"/>
                <w:szCs w:val="20"/>
                <w:lang w:val="en-US"/>
              </w:rPr>
            </w:pPr>
            <w:r w:rsidRPr="00EC3E91">
              <w:rPr>
                <w:rFonts w:cstheme="minorHAnsi"/>
                <w:sz w:val="20"/>
                <w:szCs w:val="20"/>
                <w:lang w:val="en-US"/>
              </w:rPr>
              <w:t xml:space="preserve">Low-back pain imaging </w:t>
            </w:r>
          </w:p>
        </w:tc>
        <w:tc>
          <w:tcPr>
            <w:tcW w:w="3969" w:type="dxa"/>
          </w:tcPr>
          <w:p w14:paraId="211B404B" w14:textId="3C511E38" w:rsidR="00FF4BD9" w:rsidRPr="00EC3E91" w:rsidRDefault="00FF4BD9" w:rsidP="00E31087">
            <w:pPr>
              <w:rPr>
                <w:rFonts w:cstheme="minorHAnsi"/>
                <w:sz w:val="20"/>
                <w:szCs w:val="20"/>
                <w:lang w:val="en-US"/>
              </w:rPr>
            </w:pPr>
            <w:r w:rsidRPr="00EC3E91">
              <w:rPr>
                <w:rFonts w:cstheme="minorHAnsi"/>
                <w:sz w:val="20"/>
                <w:szCs w:val="20"/>
                <w:lang w:val="en-US"/>
              </w:rPr>
              <w:t xml:space="preserve">National Institute for Health and Clinical Excellence (NICE). Low back </w:t>
            </w:r>
            <w:r w:rsidR="00334A48" w:rsidRPr="00EC3E91">
              <w:rPr>
                <w:rFonts w:cstheme="minorHAnsi"/>
                <w:sz w:val="20"/>
                <w:szCs w:val="20"/>
                <w:lang w:val="en-US"/>
              </w:rPr>
              <w:t>pain: early</w:t>
            </w:r>
            <w:r w:rsidRPr="00EC3E91">
              <w:rPr>
                <w:rFonts w:cstheme="minorHAnsi"/>
                <w:sz w:val="20"/>
                <w:szCs w:val="20"/>
                <w:lang w:val="en-US"/>
              </w:rPr>
              <w:t xml:space="preserve"> management of persistent non-specific low back pain. </w:t>
            </w:r>
          </w:p>
        </w:tc>
        <w:tc>
          <w:tcPr>
            <w:tcW w:w="2551" w:type="dxa"/>
          </w:tcPr>
          <w:p w14:paraId="2D7E336C" w14:textId="0FD8D801" w:rsidR="00FF4BD9" w:rsidRPr="00EC3E91" w:rsidRDefault="00FF4BD9" w:rsidP="00D56C0C">
            <w:pPr>
              <w:rPr>
                <w:rFonts w:cstheme="minorHAnsi"/>
                <w:sz w:val="20"/>
                <w:szCs w:val="20"/>
                <w:lang w:val="en-US"/>
              </w:rPr>
            </w:pPr>
            <w:r w:rsidRPr="00EC3E91">
              <w:rPr>
                <w:rFonts w:cstheme="minorHAnsi"/>
                <w:sz w:val="20"/>
                <w:szCs w:val="20"/>
                <w:lang w:val="en-US"/>
              </w:rPr>
              <w:t>make training dynamic, audit and provide feedback, remind clinicians.</w:t>
            </w:r>
          </w:p>
        </w:tc>
      </w:tr>
      <w:tr w:rsidR="00FF4BD9" w:rsidRPr="00E119DD" w14:paraId="39B54FE1" w14:textId="77777777" w:rsidTr="00FF4BD9">
        <w:trPr>
          <w:tblHeader/>
        </w:trPr>
        <w:tc>
          <w:tcPr>
            <w:tcW w:w="709" w:type="dxa"/>
          </w:tcPr>
          <w:p w14:paraId="30CF4731" w14:textId="71D0C9E2"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Inappropriate drug prescription is a common problem in people living in nursing homes and is linked to adverse health outcomes. This study assessed the effect of an educational intervention directed to nursing home physicians in reducing inappropriate prescription and improving health outcomes and resource utilization. DESIGN: Prospective, randomized, multicenter study. SETTING: A private organization of nursing homes in Spain. PARTICIPANTS: Sixty nursing home physicians caring for approximately 3900 nursing home residents in 37 centers were randomized to receive an educational intervention (30) or as a control group (30). INTERVENTION: 10 hours educational program, followed by on demand support by phone. OUTCOME MEASUREMENTS: Outcomes were assessed in 1018 randomly selected nursing home residents. Appropriateness of drug use [measured by the Screening Tool of Older Persons Prescriptions (STOPP) and Screening Tool to Alert Doctors to Right Treatment (START) criteria], incidence of selected geriatric syndromes (falls, delirium) and health resource utilization (visits to physicians and nursing homes, visits to the emergency room, days of hospitalization) were recorded for 3 months before the intervention started and 3 months after the intervention finished. RESULTS: O total of 716 residents finished the study (344 cared for by the intervention group physicians, 372 cared for by control physicians). Mean age was 84.4 +/- 12.7 years; 73% were women. The mean number of inappropriate drugs (STOPP criteria) was higher at the end of the study in the control than in the intervention group (1.29 +/- 1.56 vs 0.81 +/- 1.13), as was the number of residents on 6 or more drugs (76.5% vs.67.0%), using antipsychotics (9.1% vs 3.2%) or duplicate medications (32.5% vs 9.2%). The number of fallers increased in the control group (from 19.3% to 28%) and did not significantly change in the intervention group (from 25.3% to 23.9%); the number of residents with delirium increased in the control group (from 3.8% to 9.1%) and decreased in the intervention group (from 6.1% to 3.2%). The number of visits to a physician did not change in the control group (-0.22, P = .3) but were significantly reduced in the intervention group (-0.76, P = .01), the same happened with the number of visits to a nurse (-0.38, P = .4 in controls, -1.43 in the intervention group, P &lt; .001). Visits to the emergency room and days in hospital significantly increased in the control group (+0.12 an…","author":[{"dropping-particle":"","family":"Garcia-Gollarte","given":"F","non-dropping-particle":"","parse-names":false,"suffix":""},{"dropping-particle":"","family":"Baleriola-Julvez","given":"J","non-dropping-particle":"","parse-names":false,"suffix":""},{"dropping-particle":"","family":"Ferrero-Lopez","given":"I","non-dropping-particle":"","parse-names":false,"suffix":""},{"dropping-particle":"","family":"Cuenllas-Diaz","given":"A","non-dropping-particle":"","parse-names":false,"suffix":""},{"dropping-particle":"","family":"Cruz-Jentoft","given":"A J","non-dropping-particle":"","parse-names":false,"suffix":""}],"container-title":"Journal of the American Medical Directors Association","id":"ITEM-1","issue":"12","issued":{"date-parts":[["2014"]]},"page":"885-891","title":"An educational intervention on drug use in nursing homes improves health outcomes resource utilization and reduces inappropriate drug prescription","type":"article-journal","volume":"15"},"uris":["http://www.mendeley.com/documents/?uuid=cc1af02e-fd07-4f42-8224-81fcb020b1f6"]}],"mendeley":{"formattedCitation":"(20)","plainTextFormattedCitation":"(20)","previouslyFormattedCitation":"(20)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(20)</w:t>
            </w:r>
            <w:r w:rsidRPr="00EC3E91">
              <w:rPr>
                <w:rFonts w:cstheme="minorHAnsi"/>
                <w:sz w:val="20"/>
                <w:szCs w:val="20"/>
                <w:lang w:val="en-US"/>
              </w:rPr>
              <w:fldChar w:fldCharType="end"/>
            </w:r>
          </w:p>
        </w:tc>
        <w:tc>
          <w:tcPr>
            <w:tcW w:w="992" w:type="dxa"/>
          </w:tcPr>
          <w:p w14:paraId="1AEAFE84" w14:textId="09EA032D" w:rsidR="00FF4BD9" w:rsidRPr="00EC3E91" w:rsidRDefault="00FF4BD9" w:rsidP="00D56C0C">
            <w:pPr>
              <w:rPr>
                <w:rFonts w:cstheme="minorHAnsi"/>
                <w:sz w:val="20"/>
                <w:szCs w:val="20"/>
                <w:lang w:val="en-US"/>
              </w:rPr>
            </w:pPr>
            <w:r w:rsidRPr="00EC3E91">
              <w:rPr>
                <w:rFonts w:cstheme="minorHAnsi"/>
                <w:sz w:val="20"/>
                <w:szCs w:val="20"/>
                <w:lang w:val="en-US"/>
              </w:rPr>
              <w:t xml:space="preserve">Spain </w:t>
            </w:r>
          </w:p>
        </w:tc>
        <w:tc>
          <w:tcPr>
            <w:tcW w:w="993" w:type="dxa"/>
          </w:tcPr>
          <w:p w14:paraId="4432CE04" w14:textId="263AA902" w:rsidR="00FF4BD9" w:rsidRPr="00EC3E91" w:rsidRDefault="00FF4BD9" w:rsidP="00D56C0C">
            <w:pPr>
              <w:rPr>
                <w:rFonts w:cstheme="minorHAnsi"/>
                <w:sz w:val="20"/>
                <w:szCs w:val="20"/>
                <w:lang w:val="en-US"/>
              </w:rPr>
            </w:pPr>
            <w:r w:rsidRPr="00EC3E91">
              <w:rPr>
                <w:rFonts w:cstheme="minorHAnsi"/>
                <w:sz w:val="20"/>
                <w:szCs w:val="20"/>
                <w:lang w:val="en-US"/>
              </w:rPr>
              <w:t>Aged Care</w:t>
            </w:r>
          </w:p>
        </w:tc>
        <w:tc>
          <w:tcPr>
            <w:tcW w:w="850" w:type="dxa"/>
          </w:tcPr>
          <w:p w14:paraId="6C1654E7" w14:textId="3A8A62EF" w:rsidR="00FF4BD9" w:rsidRPr="00EC3E91" w:rsidRDefault="00FF4BD9" w:rsidP="00D56C0C">
            <w:pPr>
              <w:rPr>
                <w:rFonts w:cstheme="minorHAnsi"/>
                <w:sz w:val="20"/>
                <w:szCs w:val="20"/>
                <w:lang w:val="en-US"/>
              </w:rPr>
            </w:pPr>
            <w:r w:rsidRPr="00EC3E91">
              <w:rPr>
                <w:rFonts w:cstheme="minorHAnsi"/>
                <w:sz w:val="20"/>
                <w:szCs w:val="20"/>
                <w:lang w:val="en-US"/>
              </w:rPr>
              <w:t xml:space="preserve">Quant Prospective randomized trial </w:t>
            </w:r>
          </w:p>
        </w:tc>
        <w:tc>
          <w:tcPr>
            <w:tcW w:w="851" w:type="dxa"/>
          </w:tcPr>
          <w:p w14:paraId="2FC41FE0" w14:textId="530825FC"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120794E4" w14:textId="2CFC2C89"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47E7B15D" w14:textId="6C1592D0" w:rsidR="00FF4BD9" w:rsidRPr="00EC3E91" w:rsidRDefault="00FF4BD9" w:rsidP="00D56C0C">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1CBDAB40" w14:textId="07A4122C" w:rsidR="00FF4BD9" w:rsidRPr="00EC3E91" w:rsidRDefault="00FF4BD9" w:rsidP="00E31087">
            <w:pPr>
              <w:rPr>
                <w:rFonts w:cstheme="minorHAnsi"/>
                <w:sz w:val="20"/>
                <w:szCs w:val="20"/>
                <w:lang w:val="en-US"/>
              </w:rPr>
            </w:pPr>
            <w:r w:rsidRPr="00EC3E91">
              <w:rPr>
                <w:rFonts w:cstheme="minorHAnsi"/>
                <w:sz w:val="20"/>
                <w:szCs w:val="20"/>
                <w:lang w:val="en-US"/>
              </w:rPr>
              <w:t>STOPP (Screening Tool of Older Persons Prescriptions) and START (Screening Tool to Alert Doctors to Right Treatment)</w:t>
            </w:r>
          </w:p>
          <w:p w14:paraId="1E8C2204" w14:textId="1C66DAD6" w:rsidR="00FF4BD9" w:rsidRPr="00EC3E91" w:rsidRDefault="00FF4BD9" w:rsidP="00D56C0C">
            <w:pPr>
              <w:rPr>
                <w:rFonts w:cstheme="minorHAnsi"/>
                <w:sz w:val="20"/>
                <w:szCs w:val="20"/>
                <w:lang w:val="en-US"/>
              </w:rPr>
            </w:pPr>
          </w:p>
        </w:tc>
        <w:tc>
          <w:tcPr>
            <w:tcW w:w="2551" w:type="dxa"/>
          </w:tcPr>
          <w:p w14:paraId="0101B625" w14:textId="31C22D1D" w:rsidR="00FF4BD9" w:rsidRPr="00EC3E91" w:rsidRDefault="00FF4BD9" w:rsidP="00D56C0C">
            <w:pPr>
              <w:rPr>
                <w:rFonts w:cstheme="minorHAnsi"/>
                <w:sz w:val="20"/>
                <w:szCs w:val="20"/>
                <w:lang w:val="en-US"/>
              </w:rPr>
            </w:pPr>
            <w:r w:rsidRPr="00EC3E91">
              <w:rPr>
                <w:rFonts w:cstheme="minorHAnsi"/>
                <w:sz w:val="20"/>
                <w:szCs w:val="20"/>
                <w:lang w:val="en-US"/>
              </w:rPr>
              <w:t>make training dynamic, provide clinical supervision</w:t>
            </w:r>
          </w:p>
        </w:tc>
      </w:tr>
      <w:tr w:rsidR="00FF4BD9" w:rsidRPr="00E119DD" w14:paraId="493D4D8F" w14:textId="77777777" w:rsidTr="00FF4BD9">
        <w:trPr>
          <w:tblHeader/>
        </w:trPr>
        <w:tc>
          <w:tcPr>
            <w:tcW w:w="709" w:type="dxa"/>
          </w:tcPr>
          <w:p w14:paraId="7BC64B8B" w14:textId="4B1FC2A2"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{"citationItems":[{"id":"ITEM-1","itemData":{"abstract":"UNLABELLED: To evaluate the impact of an educational strategy on potentially inappropriate medications (PIMs) and length of stay in hospitalized elderly patients. DESIGN: An open study, with two cross-sectional surveys interspersed with an educational program (PRE phase and POST phase), has been performed in order to compare the PIMs number before and after the introduction of an educational strategy. The study included 2 phases: PRE, in which patients were enrolled as control group; POST, in which an educational strategy on the PIMs use was introduced among physicians, and patients were enrolled as intervention group. SETTING: Italian residential rehabilitation Centre. Inclusion criteria were &gt;= 2 active chronic diseases and the current use of &gt;= 4 medications. The educational strategy consisted of a 3-day course on strategies to prevent PIMs and a computerized tool running on a Personal Digital Assistant (PDA) device to check for PIMs. OUTCOMES: The primary was the PIMs number, the secondary the length of stay. RESULTS: A total of 790 patients, 450 controls and 340 cases, were enrolled. According to the Beers criteria, 52.3% of the study population received &gt;= 1 PIMs, 18.73% &gt;= 2, and 2.4% &gt;= 4 PIMs. A significant reduction of PIMs (P = 0.020) and length of stay (P &lt; 0.0001) were seen in the intervention group. At multivariate analysis, PIMs significantly correlated with age, drugs number, and the intervention, and the length of stay significantly correlated with disease count, comorbidities, and intervention. These data suggest that our educative instrument may be useful in reducing the PIMs number and length of hospitalization in elderly with a high number of drugs and comorbidities.","author":[{"dropping-particle":"","family":"Corbi","given":"G","non-dropping-particle":"","parse-names":false,"suffix":""},{"dropping-particle":"","family":"Gambassi","given":"G","non-dropping-particle":"","parse-names":false,"suffix":""},{"dropping-particle":"","family":"Pagano","given":"G","non-dropping-particle":"","parse-names":false,"suffix":""},{"dropping-particle":"","family":"Russomanno","given":"G","non-dropping-particle":"","parse-names":false,"suffix":""},{"dropping-particle":"","family":"Conti","given":"V","non-dropping-particle":"","parse-names":false,"suffix":""},{"dropping-particle":"","family":"Rengo","given":"G","non-dropping-particle":"","parse-names":false,"suffix":""},{"dropping-particle":"","family":"Leosco","given":"D","non-dropping-particle":"","parse-names":false,"suffix":""},{"dropping-particle":"","family":"Bernabei","given":"R","non-dropping-particle":"","parse-names":false,"suffix":""},{"dropping-particle":"","family":"Filippelli","given":"A","non-dropping-particle":"","parse-names":false,"suffix":""},{"dropping-particle":"","family":"Ferrara","given":"N","non-dropping-particle":"","parse-names":false,"suffix":""}],"container-title":"Medicine","id":"ITEM-1","issue":"24","issued":{"date-parts":[["2015"]]},"page":"e918","title":"Impact of an Innovative Educational Strategy on Medication Appropriate Use and Length of Stay in Elderly Patients","type":"article-journal","volume":"94"},"uris":["http://www.mendeley.com/documents/?uuid=33888f08-e886-4305-837f-3e6eb3ab0c97"]}],"mendeley":{"formattedCitation":"(21)","plainTextFormattedCitation":"(21)","previouslyFormattedCitation":"(21)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(21)</w:t>
            </w:r>
            <w:r w:rsidRPr="00EC3E91">
              <w:rPr>
                <w:rFonts w:cstheme="minorHAnsi"/>
                <w:sz w:val="20"/>
                <w:szCs w:val="20"/>
                <w:lang w:val="en-US"/>
              </w:rPr>
              <w:fldChar w:fldCharType="end"/>
            </w:r>
          </w:p>
        </w:tc>
        <w:tc>
          <w:tcPr>
            <w:tcW w:w="992" w:type="dxa"/>
          </w:tcPr>
          <w:p w14:paraId="014D12E1" w14:textId="01FF2ED8" w:rsidR="00FF4BD9" w:rsidRPr="00EC3E91" w:rsidRDefault="00FF4BD9" w:rsidP="00D56C0C">
            <w:pPr>
              <w:rPr>
                <w:rFonts w:cstheme="minorHAnsi"/>
                <w:sz w:val="20"/>
                <w:szCs w:val="20"/>
                <w:lang w:val="en-US"/>
              </w:rPr>
            </w:pPr>
            <w:r w:rsidRPr="00EC3E91">
              <w:rPr>
                <w:rFonts w:cstheme="minorHAnsi"/>
                <w:sz w:val="20"/>
                <w:szCs w:val="20"/>
                <w:lang w:val="en-US"/>
              </w:rPr>
              <w:t xml:space="preserve">Italy </w:t>
            </w:r>
          </w:p>
        </w:tc>
        <w:tc>
          <w:tcPr>
            <w:tcW w:w="993" w:type="dxa"/>
          </w:tcPr>
          <w:p w14:paraId="04D9ED20" w14:textId="2C9B62D1" w:rsidR="00FF4BD9" w:rsidRPr="00EC3E91" w:rsidRDefault="00FF4BD9" w:rsidP="00D56C0C">
            <w:pPr>
              <w:rPr>
                <w:rFonts w:cstheme="minorHAnsi"/>
                <w:sz w:val="20"/>
                <w:szCs w:val="20"/>
                <w:lang w:val="en-US"/>
              </w:rPr>
            </w:pPr>
            <w:r w:rsidRPr="00EC3E91">
              <w:rPr>
                <w:rFonts w:cstheme="minorHAnsi"/>
                <w:sz w:val="20"/>
                <w:szCs w:val="20"/>
                <w:lang w:val="en-US"/>
              </w:rPr>
              <w:t xml:space="preserve">Other </w:t>
            </w:r>
          </w:p>
        </w:tc>
        <w:tc>
          <w:tcPr>
            <w:tcW w:w="850" w:type="dxa"/>
          </w:tcPr>
          <w:p w14:paraId="376A9E9F" w14:textId="6BFDBACE" w:rsidR="00FF4BD9" w:rsidRPr="00EC3E91" w:rsidRDefault="00FF4BD9" w:rsidP="00D56C0C">
            <w:pPr>
              <w:rPr>
                <w:rFonts w:cstheme="minorHAnsi"/>
                <w:sz w:val="20"/>
                <w:szCs w:val="20"/>
                <w:lang w:val="en-US"/>
              </w:rPr>
            </w:pPr>
            <w:r w:rsidRPr="00EC3E91">
              <w:rPr>
                <w:rFonts w:cstheme="minorHAnsi"/>
                <w:sz w:val="20"/>
                <w:szCs w:val="20"/>
                <w:lang w:val="en-US"/>
              </w:rPr>
              <w:t xml:space="preserve">Quant cross-sectional </w:t>
            </w:r>
          </w:p>
        </w:tc>
        <w:tc>
          <w:tcPr>
            <w:tcW w:w="851" w:type="dxa"/>
          </w:tcPr>
          <w:p w14:paraId="10540F5E" w14:textId="0B388D5B"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03DE35F6" w14:textId="1F00BD73"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7EC8C34E" w14:textId="40E1453D" w:rsidR="00FF4BD9" w:rsidRPr="00EC3E91" w:rsidRDefault="00FF4BD9" w:rsidP="00D56C0C">
            <w:pPr>
              <w:rPr>
                <w:rFonts w:cstheme="minorHAnsi"/>
                <w:sz w:val="20"/>
                <w:szCs w:val="20"/>
                <w:lang w:val="en-US"/>
              </w:rPr>
            </w:pPr>
            <w:r w:rsidRPr="00EC3E91">
              <w:rPr>
                <w:rFonts w:cstheme="minorHAnsi"/>
                <w:sz w:val="20"/>
                <w:szCs w:val="20"/>
                <w:lang w:val="en-US"/>
              </w:rPr>
              <w:t xml:space="preserve">Potentially inappropriate medications </w:t>
            </w:r>
          </w:p>
        </w:tc>
        <w:tc>
          <w:tcPr>
            <w:tcW w:w="3969" w:type="dxa"/>
          </w:tcPr>
          <w:p w14:paraId="76F9763A" w14:textId="55764368" w:rsidR="00FF4BD9" w:rsidRPr="00EC3E91" w:rsidRDefault="00FF4BD9" w:rsidP="00E31087">
            <w:pPr>
              <w:rPr>
                <w:rFonts w:cstheme="minorHAnsi"/>
                <w:sz w:val="20"/>
                <w:szCs w:val="20"/>
                <w:lang w:val="en-US"/>
              </w:rPr>
            </w:pPr>
            <w:r w:rsidRPr="00EC3E91">
              <w:rPr>
                <w:rFonts w:cstheme="minorHAnsi"/>
                <w:sz w:val="20"/>
                <w:szCs w:val="20"/>
                <w:lang w:val="en-US"/>
              </w:rPr>
              <w:t xml:space="preserve">Beers Criteria </w:t>
            </w:r>
          </w:p>
        </w:tc>
        <w:tc>
          <w:tcPr>
            <w:tcW w:w="2551" w:type="dxa"/>
          </w:tcPr>
          <w:p w14:paraId="5B3988AD" w14:textId="011DF649" w:rsidR="00FF4BD9" w:rsidRPr="00EC3E91" w:rsidRDefault="00FF4BD9" w:rsidP="00D56C0C">
            <w:pPr>
              <w:rPr>
                <w:rFonts w:cstheme="minorHAnsi"/>
                <w:sz w:val="20"/>
                <w:szCs w:val="20"/>
                <w:lang w:val="en-US"/>
              </w:rPr>
            </w:pPr>
            <w:r w:rsidRPr="00EC3E91">
              <w:rPr>
                <w:rFonts w:cstheme="minorHAnsi"/>
                <w:sz w:val="20"/>
                <w:szCs w:val="20"/>
                <w:lang w:val="en-US"/>
              </w:rPr>
              <w:t>make training dynamic, remind clinicians</w:t>
            </w:r>
          </w:p>
        </w:tc>
      </w:tr>
      <w:tr w:rsidR="00FF4BD9" w:rsidRPr="00E119DD" w14:paraId="192FBF8F" w14:textId="77777777" w:rsidTr="00FF4BD9">
        <w:trPr>
          <w:tblHeader/>
        </w:trPr>
        <w:tc>
          <w:tcPr>
            <w:tcW w:w="709" w:type="dxa"/>
          </w:tcPr>
          <w:p w14:paraId="4FD53254" w14:textId="1E77D45D" w:rsidR="00FF4BD9" w:rsidRPr="00EC3E91" w:rsidRDefault="00FF4BD9" w:rsidP="00D56C0C">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{"citationItems":[{"id":"ITEM-1","itemData":{"abstract":"BACKGROUND AND OBJECTIVES: Acid-suppressing medications are used extensively in term and preterm newborns despite limited efficacy data and increasing evidence for potential harm. We sought to reduce nonindicated use of proton pump inhibitors (PPIs) and histamine-2 receptor antagonists (H2RAs) in our level III/IV NICU by developing and implementing a guideline for their use. Our specific aim was to reduce prescriptions among infants &lt;1 month corrected age from a baseline of 7.5 to 4 per month by December 2016. METHODS: Our outcome measures were number of nonindicated PPI/H2RA prescriptions per month, total (indicated and nonindicated) prescriptions per month and percent of patient days with PPI/H2RA therapy. We also tracked potential complications associated with PPIs/H2RAs as secondary outcomes and gastrointestinal bleed as a balancing measure. Interventions and plan-do-study-act cycles included implementation of the initial guideline, guideline revision based on staff feedback, and staff education. By using statistical process control charts and interrupted time series analysis, we compared outcomes over an 8-month baseline period and 2 postimplementation periods spanning 19 months. RESULTS: Nonindicated prescription of PPIs/H2RAs decreased from mean 7.5 per month to 0 (P = .001). Concurrently, total PPI/H2RA prescriptions decreased from mean 11.5 per month to 2.5 (P = .002). Rates of the balancing measure and potentially related complications remained stable over time. CONCLUSIONS: Implementation of an evidence-based guideline in our unit led to a significant decrease in nonindicated use of acid-suppressing medications and reduced the burden of exposure to PPIs/H2RAs. This intervention could feasibly be implemented in other similar inpatient settings.","author":[{"dropping-particle":"","family":"Angelidou","given":"A","non-dropping-particle":"","parse-names":false,"suffix":""},{"dropping-particle":"","family":"Bell","given":"K","non-dropping-particle":"","parse-names":false,"suffix":""},{"dropping-particle":"","family":"Gupta","given":"M","non-dropping-particle":"","parse-names":false,"suffix":""},{"dropping-particle":"","family":"Tropea Leeman","given":"K","non-dropping-particle":"","parse-names":false,"suffix":""},{"dropping-particle":"","family":"Hansen","given":"A","non-dropping-particle":"","parse-names":false,"suffix":""}],"container-title":"Pediatrics","id":"ITEM-1","issue":"6","issued":{"date-parts":[["2017"]]},"title":"Implementation of a Guideline to Decrease Use of Acid-Suppressing Medications in the NICU","type":"article-journal","volume":"140"},"uris":["http://www.mendeley.com/documents/?uuid=2739e706-36f2-44cb-bc9f-455b97235a44"]}],"mendeley":{"formattedCitation":"(22)","plainTextFormattedCitation":"(22)","previouslyFormattedCitation":"(22)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(22)</w:t>
            </w:r>
            <w:r w:rsidRPr="00EC3E91">
              <w:rPr>
                <w:rFonts w:cstheme="minorHAnsi"/>
                <w:sz w:val="20"/>
                <w:szCs w:val="20"/>
                <w:lang w:val="en-US"/>
              </w:rPr>
              <w:fldChar w:fldCharType="end"/>
            </w:r>
          </w:p>
        </w:tc>
        <w:tc>
          <w:tcPr>
            <w:tcW w:w="992" w:type="dxa"/>
          </w:tcPr>
          <w:p w14:paraId="40F89004" w14:textId="34F2B925"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1AB9B894" w14:textId="14414E7F"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61EAD869" w14:textId="24BA3AFD" w:rsidR="00FF4BD9" w:rsidRPr="00EC3E91" w:rsidRDefault="00FF4BD9" w:rsidP="00D56C0C">
            <w:pPr>
              <w:rPr>
                <w:rFonts w:cstheme="minorHAnsi"/>
                <w:sz w:val="20"/>
                <w:szCs w:val="20"/>
                <w:lang w:val="en-US"/>
              </w:rPr>
            </w:pPr>
            <w:r w:rsidRPr="00EC3E91">
              <w:rPr>
                <w:rFonts w:cstheme="minorHAnsi"/>
                <w:sz w:val="20"/>
                <w:szCs w:val="20"/>
                <w:lang w:val="en-US"/>
              </w:rPr>
              <w:t xml:space="preserve">Quant pre-post </w:t>
            </w:r>
          </w:p>
        </w:tc>
        <w:tc>
          <w:tcPr>
            <w:tcW w:w="851" w:type="dxa"/>
          </w:tcPr>
          <w:p w14:paraId="097D1B66" w14:textId="2A7BDC4A"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1F90D712" w14:textId="14CD8837" w:rsidR="00FF4BD9" w:rsidRPr="00EC3E91" w:rsidRDefault="00FF4BD9" w:rsidP="00D56C0C">
            <w:pPr>
              <w:rPr>
                <w:rFonts w:cstheme="minorHAnsi"/>
                <w:sz w:val="20"/>
                <w:szCs w:val="20"/>
                <w:lang w:val="en-US"/>
              </w:rPr>
            </w:pPr>
            <w:r w:rsidRPr="00EC3E91">
              <w:rPr>
                <w:rFonts w:cstheme="minorHAnsi"/>
                <w:sz w:val="20"/>
                <w:szCs w:val="20"/>
                <w:lang w:val="en-US"/>
              </w:rPr>
              <w:t>Infants/</w:t>
            </w:r>
            <w:r w:rsidR="00334A48" w:rsidRPr="00EC3E91">
              <w:rPr>
                <w:rFonts w:cstheme="minorHAnsi"/>
                <w:sz w:val="20"/>
                <w:szCs w:val="20"/>
                <w:lang w:val="en-US"/>
              </w:rPr>
              <w:t>proton pump</w:t>
            </w:r>
            <w:r w:rsidRPr="00EC3E91">
              <w:rPr>
                <w:rFonts w:cstheme="minorHAnsi"/>
                <w:sz w:val="20"/>
                <w:szCs w:val="20"/>
                <w:lang w:val="en-US"/>
              </w:rPr>
              <w:t xml:space="preserve"> inhibitors </w:t>
            </w:r>
          </w:p>
        </w:tc>
        <w:tc>
          <w:tcPr>
            <w:tcW w:w="2126" w:type="dxa"/>
          </w:tcPr>
          <w:p w14:paraId="00933891" w14:textId="44B81AB2" w:rsidR="00FF4BD9" w:rsidRPr="00EC3E91" w:rsidRDefault="003D1D88" w:rsidP="00CE5D0C">
            <w:pPr>
              <w:rPr>
                <w:rFonts w:cstheme="minorHAnsi"/>
                <w:sz w:val="20"/>
                <w:szCs w:val="20"/>
                <w:lang w:val="en-US"/>
              </w:rPr>
            </w:pPr>
            <w:r w:rsidRPr="00EC3E91">
              <w:rPr>
                <w:rFonts w:cstheme="minorHAnsi"/>
                <w:sz w:val="20"/>
                <w:szCs w:val="20"/>
                <w:lang w:val="en-US"/>
              </w:rPr>
              <w:t>Use</w:t>
            </w:r>
            <w:r w:rsidR="00FF4BD9" w:rsidRPr="00EC3E91">
              <w:rPr>
                <w:rFonts w:cstheme="minorHAnsi"/>
                <w:sz w:val="20"/>
                <w:szCs w:val="20"/>
                <w:lang w:val="en-US"/>
              </w:rPr>
              <w:t xml:space="preserve"> of PPIs/H2RAs in both term and</w:t>
            </w:r>
          </w:p>
          <w:p w14:paraId="12979E2A" w14:textId="2AEDB033" w:rsidR="00FF4BD9" w:rsidRPr="00EC3E91" w:rsidRDefault="00FF4BD9" w:rsidP="00CE5D0C">
            <w:pPr>
              <w:rPr>
                <w:rFonts w:cstheme="minorHAnsi"/>
                <w:sz w:val="20"/>
                <w:szCs w:val="20"/>
                <w:lang w:val="en-US"/>
              </w:rPr>
            </w:pPr>
            <w:r w:rsidRPr="00EC3E91">
              <w:rPr>
                <w:rFonts w:cstheme="minorHAnsi"/>
                <w:sz w:val="20"/>
                <w:szCs w:val="20"/>
                <w:lang w:val="en-US"/>
              </w:rPr>
              <w:t>preterm infants</w:t>
            </w:r>
          </w:p>
        </w:tc>
        <w:tc>
          <w:tcPr>
            <w:tcW w:w="3969" w:type="dxa"/>
          </w:tcPr>
          <w:p w14:paraId="719C177F" w14:textId="765B547A" w:rsidR="00FF4BD9" w:rsidRPr="00EC3E91" w:rsidRDefault="00FF4BD9" w:rsidP="00CE5D0C">
            <w:pPr>
              <w:rPr>
                <w:rFonts w:cstheme="minorHAnsi"/>
                <w:sz w:val="20"/>
                <w:szCs w:val="20"/>
                <w:lang w:val="en-US"/>
              </w:rPr>
            </w:pPr>
            <w:r w:rsidRPr="00EC3E91">
              <w:rPr>
                <w:rFonts w:cstheme="minorHAnsi"/>
                <w:sz w:val="20"/>
                <w:szCs w:val="20"/>
                <w:lang w:val="en-US"/>
              </w:rPr>
              <w:t>Pediatric gastroesophageal</w:t>
            </w:r>
          </w:p>
          <w:p w14:paraId="0C3E4E5D" w14:textId="77777777" w:rsidR="00FF4BD9" w:rsidRPr="00EC3E91" w:rsidRDefault="00FF4BD9" w:rsidP="00CE5D0C">
            <w:pPr>
              <w:rPr>
                <w:rFonts w:cstheme="minorHAnsi"/>
                <w:sz w:val="20"/>
                <w:szCs w:val="20"/>
                <w:lang w:val="en-US"/>
              </w:rPr>
            </w:pPr>
            <w:r w:rsidRPr="00EC3E91">
              <w:rPr>
                <w:rFonts w:cstheme="minorHAnsi"/>
                <w:sz w:val="20"/>
                <w:szCs w:val="20"/>
                <w:lang w:val="en-US"/>
              </w:rPr>
              <w:t>reflux clinical practice guidelines:</w:t>
            </w:r>
          </w:p>
          <w:p w14:paraId="4D50F690" w14:textId="77777777" w:rsidR="00FF4BD9" w:rsidRPr="00EC3E91" w:rsidRDefault="00FF4BD9" w:rsidP="00CE5D0C">
            <w:pPr>
              <w:rPr>
                <w:rFonts w:cstheme="minorHAnsi"/>
                <w:sz w:val="20"/>
                <w:szCs w:val="20"/>
                <w:lang w:val="en-US"/>
              </w:rPr>
            </w:pPr>
            <w:r w:rsidRPr="00EC3E91">
              <w:rPr>
                <w:rFonts w:cstheme="minorHAnsi"/>
                <w:sz w:val="20"/>
                <w:szCs w:val="20"/>
                <w:lang w:val="en-US"/>
              </w:rPr>
              <w:t>joint recommendations of the North American Society for Pediatric</w:t>
            </w:r>
          </w:p>
          <w:p w14:paraId="360FD5AB" w14:textId="77777777" w:rsidR="00FF4BD9" w:rsidRPr="00EC3E91" w:rsidRDefault="00FF4BD9" w:rsidP="00CE5D0C">
            <w:pPr>
              <w:rPr>
                <w:rFonts w:cstheme="minorHAnsi"/>
                <w:sz w:val="20"/>
                <w:szCs w:val="20"/>
                <w:lang w:val="en-US"/>
              </w:rPr>
            </w:pPr>
            <w:r w:rsidRPr="00EC3E91">
              <w:rPr>
                <w:rFonts w:cstheme="minorHAnsi"/>
                <w:sz w:val="20"/>
                <w:szCs w:val="20"/>
                <w:lang w:val="en-US"/>
              </w:rPr>
              <w:t>Gastroenterology, Hepatology,</w:t>
            </w:r>
          </w:p>
          <w:p w14:paraId="1884D56B" w14:textId="77777777" w:rsidR="00FF4BD9" w:rsidRPr="00EC3E91" w:rsidRDefault="00FF4BD9" w:rsidP="00CE5D0C">
            <w:pPr>
              <w:rPr>
                <w:rFonts w:cstheme="minorHAnsi"/>
                <w:sz w:val="20"/>
                <w:szCs w:val="20"/>
                <w:lang w:val="en-US"/>
              </w:rPr>
            </w:pPr>
            <w:r w:rsidRPr="00EC3E91">
              <w:rPr>
                <w:rFonts w:cstheme="minorHAnsi"/>
                <w:sz w:val="20"/>
                <w:szCs w:val="20"/>
                <w:lang w:val="en-US"/>
              </w:rPr>
              <w:t>and Nutrition (NASPGHAN) and the</w:t>
            </w:r>
          </w:p>
          <w:p w14:paraId="3AFC2A9C" w14:textId="77777777" w:rsidR="00FF4BD9" w:rsidRPr="00EC3E91" w:rsidRDefault="00FF4BD9" w:rsidP="00CE5D0C">
            <w:pPr>
              <w:rPr>
                <w:rFonts w:cstheme="minorHAnsi"/>
                <w:sz w:val="20"/>
                <w:szCs w:val="20"/>
                <w:lang w:val="en-US"/>
              </w:rPr>
            </w:pPr>
            <w:r w:rsidRPr="00EC3E91">
              <w:rPr>
                <w:rFonts w:cstheme="minorHAnsi"/>
                <w:sz w:val="20"/>
                <w:szCs w:val="20"/>
                <w:lang w:val="en-US"/>
              </w:rPr>
              <w:t>European Society for Pediatric</w:t>
            </w:r>
          </w:p>
          <w:p w14:paraId="76FB7A1C" w14:textId="77777777" w:rsidR="00FF4BD9" w:rsidRPr="00EC3E91" w:rsidRDefault="00FF4BD9" w:rsidP="00CE5D0C">
            <w:pPr>
              <w:rPr>
                <w:rFonts w:cstheme="minorHAnsi"/>
                <w:sz w:val="20"/>
                <w:szCs w:val="20"/>
                <w:lang w:val="en-US"/>
              </w:rPr>
            </w:pPr>
            <w:r w:rsidRPr="00EC3E91">
              <w:rPr>
                <w:rFonts w:cstheme="minorHAnsi"/>
                <w:sz w:val="20"/>
                <w:szCs w:val="20"/>
                <w:lang w:val="en-US"/>
              </w:rPr>
              <w:t>Gastroenterology, Hepatology, and</w:t>
            </w:r>
          </w:p>
          <w:p w14:paraId="28888367" w14:textId="3477541A" w:rsidR="00FF4BD9" w:rsidRPr="00EC3E91" w:rsidRDefault="00FF4BD9" w:rsidP="00E31087">
            <w:pPr>
              <w:rPr>
                <w:rFonts w:cstheme="minorHAnsi"/>
                <w:sz w:val="20"/>
                <w:szCs w:val="20"/>
                <w:lang w:val="en-US"/>
              </w:rPr>
            </w:pPr>
            <w:r w:rsidRPr="00EC3E91">
              <w:rPr>
                <w:rFonts w:cstheme="minorHAnsi"/>
                <w:sz w:val="20"/>
                <w:szCs w:val="20"/>
                <w:lang w:val="en-US"/>
              </w:rPr>
              <w:t xml:space="preserve">Nutrition (ESPGHAN). </w:t>
            </w:r>
          </w:p>
          <w:p w14:paraId="5D9B75D1" w14:textId="28C4B67F" w:rsidR="00FF4BD9" w:rsidRPr="00EC3E91" w:rsidRDefault="00FF4BD9" w:rsidP="00CE5D0C">
            <w:pPr>
              <w:rPr>
                <w:rFonts w:cstheme="minorHAnsi"/>
                <w:sz w:val="20"/>
                <w:szCs w:val="20"/>
                <w:lang w:val="en-US"/>
              </w:rPr>
            </w:pPr>
          </w:p>
        </w:tc>
        <w:tc>
          <w:tcPr>
            <w:tcW w:w="2551" w:type="dxa"/>
          </w:tcPr>
          <w:p w14:paraId="3003B47C" w14:textId="3E18A7F9" w:rsidR="00FF4BD9" w:rsidRPr="00EC3E91" w:rsidRDefault="00FF4BD9" w:rsidP="003E4F10">
            <w:pPr>
              <w:rPr>
                <w:rFonts w:cstheme="minorHAnsi"/>
                <w:sz w:val="20"/>
                <w:szCs w:val="20"/>
                <w:lang w:val="en-US"/>
              </w:rPr>
            </w:pPr>
            <w:r w:rsidRPr="00EC3E91">
              <w:rPr>
                <w:rFonts w:cstheme="minorHAnsi"/>
                <w:sz w:val="20"/>
                <w:szCs w:val="20"/>
                <w:lang w:val="en-US"/>
              </w:rPr>
              <w:t>distribute educational materials, develop educational materials, conduct educational meetings, assess and redesign workflow, audit and provide feedback, revise professional roles, remind clinicians.</w:t>
            </w:r>
          </w:p>
        </w:tc>
      </w:tr>
      <w:tr w:rsidR="00FF4BD9" w:rsidRPr="00E119DD" w14:paraId="2188A2BD" w14:textId="77777777" w:rsidTr="00FF4BD9">
        <w:trPr>
          <w:tblHeader/>
        </w:trPr>
        <w:tc>
          <w:tcPr>
            <w:tcW w:w="709" w:type="dxa"/>
          </w:tcPr>
          <w:p w14:paraId="2F66834E" w14:textId="45BFA726"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{"citationItems":[{"id":"ITEM-1","itemData":{"ISSN":"2168-6106","abstract":"IMPORTANCE: The value of routine preoperative testing before most surgical procedures is widely considered to be low. To improve the quality of preoperative care and reduce waste, 2 professional societies released guidance on use of routine preoperative testing in 2002, but researchers and policymakers remain concerned about the health and cost burden of low-value care in the preoperative setting. OBJECTIVE: To examine the long-term national effect of the 2002 professional guidance from the American College of Cardiology/American Heart Association and the American Society of Anesthesiologists on physicians' use of routine preoperative testing. DESIGN, SETTING, AND PARTICIPANTS: Retrospective analysis of nationally representative data from the National Ambulatory Medical Care Survey and National Hospital Ambulatory Medical Care Survey to examine adults in the United States who were evaluated during preoperative visits from January 1, 1997, through December 31, 2010. A quasiexperimental, difference-in-difference (DID) approach evaluated whether the publication of professional guidance in 2002 was associated with changes in preoperative testing patterns, adjusting for temporal trends in routine testing, as captured by testing patterns in general medical examinations. MAIN OUTCOMES AND MEASURES: Physician orders for outpatient plain radiography, hematocrit, urinalysis, electrocardiogram, and cardiac stress testing. RESULTS: During the 14-year period, the average annual number of preoperative visits in the United States increased from 6.8 million in 1997-1999 to 9.8 million in 2002-2004 and 14.3 million in 2008-2010. After accounting for temporal trends in routine testing, we found no statistically significant overall changes in the use of plain radiography (11.3% in 1997-2002 to 9.9% in 2003-2010; DID,-1.0 per 100 visits; 95% CI, -4.1 to 2.2), hematocrit (9.4% in 1997-2002 to 4.1% in 2003-2010; DID,1.2 per 100 visits; 95% CI, -2.2 to 4.7), urinalysis (12.2% in 1997-2002 to 8.9% in 2003-2010; DID,2.7 per 100 visits; 95% CI, -1.7 to 7.1), or cardiac stress testing (1.0% in 1997-2002 to 2.0% in 2003-2010; DID,0.7 per 100 visits; 95% CI, -0.1 to 1.5) after the publication of professional guidance. However, the rate of electrocardiogram testing fell (19.4% in 1997-2002 to 14.3% in 2003-2010; DID,-6.7 per 100 visits; 95% CI, -10.6 to -2.7) in the period after the publication of guidance. CONCLUSIONS AND RELEVANCE: The release of the 2002 guidance on routine preop…","author":[{"dropping-particle":"","family":"Sigmund","given":"A E","non-dropping-particle":"","parse-names":false,"suffix":""},{"dropping-particle":"","family":"Stevens","given":"E R","non-dropping-particle":"","parse-names":false,"suffix":""},{"dropping-particle":"","family":"Blitz","given":"J D","non-dropping-particle":"","parse-names":false,"suffix":""},{"dropping-particle":"","family":"Ladapo","given":"J A","non-dropping-particle":"","parse-names":false,"suffix":""}],"container-title":"JAMA Internal Medicine","id":"ITEM-1","issue":"8","issued":{"date-parts":[["2015"]]},"page":"1352-1359","title":"Use of Preoperative Testing and Physicians' Response to Professional Society Guidance","type":"article-journal","volume":"175"},"uris":["http://www.mendeley.com/documents/?uuid=23e71ab5-7fcd-4379-a439-fa21f37f97ab"]}],"mendeley":{"formattedCitation":"(23)","plainTextFormattedCitation":"(23)","previouslyFormattedCitation":"(23)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(23)</w:t>
            </w:r>
            <w:r w:rsidRPr="00EC3E91">
              <w:rPr>
                <w:rFonts w:cstheme="minorHAnsi"/>
                <w:sz w:val="20"/>
                <w:szCs w:val="20"/>
                <w:lang w:val="en-US"/>
              </w:rPr>
              <w:fldChar w:fldCharType="end"/>
            </w:r>
          </w:p>
        </w:tc>
        <w:tc>
          <w:tcPr>
            <w:tcW w:w="992" w:type="dxa"/>
          </w:tcPr>
          <w:p w14:paraId="0AC8263C" w14:textId="5E38FDD7"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3B6F944A" w14:textId="164D781E" w:rsidR="00FF4BD9" w:rsidRPr="00EC3E91" w:rsidRDefault="00FF4BD9" w:rsidP="00D56C0C">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4298BDD3" w14:textId="50FBDD6C" w:rsidR="00FF4BD9" w:rsidRPr="00EC3E91" w:rsidRDefault="00FF4BD9" w:rsidP="00D56C0C">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78B72F33" w14:textId="44C33F10" w:rsidR="00FF4BD9" w:rsidRPr="00EC3E91" w:rsidRDefault="00FF4BD9" w:rsidP="00D56C0C">
            <w:pPr>
              <w:rPr>
                <w:rFonts w:cstheme="minorHAnsi"/>
                <w:sz w:val="20"/>
                <w:szCs w:val="20"/>
                <w:lang w:val="en-US"/>
              </w:rPr>
            </w:pPr>
            <w:r w:rsidRPr="00EC3E91">
              <w:rPr>
                <w:rFonts w:cstheme="minorHAnsi"/>
                <w:sz w:val="20"/>
                <w:szCs w:val="20"/>
                <w:lang w:val="en-US"/>
              </w:rPr>
              <w:t>Evaluate Impact/association</w:t>
            </w:r>
          </w:p>
        </w:tc>
        <w:tc>
          <w:tcPr>
            <w:tcW w:w="1134" w:type="dxa"/>
          </w:tcPr>
          <w:p w14:paraId="269AB8C8" w14:textId="1CBCE7F1" w:rsidR="00FF4BD9" w:rsidRPr="00EC3E91" w:rsidRDefault="00FF4BD9" w:rsidP="00D56C0C">
            <w:pPr>
              <w:rPr>
                <w:rFonts w:cstheme="minorHAnsi"/>
                <w:sz w:val="20"/>
                <w:szCs w:val="20"/>
                <w:lang w:val="en-US"/>
              </w:rPr>
            </w:pPr>
            <w:r w:rsidRPr="00EC3E91">
              <w:rPr>
                <w:rFonts w:cstheme="minorHAnsi"/>
                <w:sz w:val="20"/>
                <w:szCs w:val="20"/>
                <w:lang w:val="en-US"/>
              </w:rPr>
              <w:t xml:space="preserve">Lab tests </w:t>
            </w:r>
          </w:p>
        </w:tc>
        <w:tc>
          <w:tcPr>
            <w:tcW w:w="2126" w:type="dxa"/>
          </w:tcPr>
          <w:p w14:paraId="18AF90DF" w14:textId="7214780E" w:rsidR="00FF4BD9" w:rsidRPr="00EC3E91" w:rsidRDefault="00FF4BD9" w:rsidP="00D56C0C">
            <w:pPr>
              <w:rPr>
                <w:rFonts w:cstheme="minorHAnsi"/>
                <w:sz w:val="20"/>
                <w:szCs w:val="20"/>
                <w:lang w:val="en-US"/>
              </w:rPr>
            </w:pPr>
            <w:r w:rsidRPr="00EC3E91">
              <w:rPr>
                <w:rFonts w:cstheme="minorHAnsi"/>
                <w:sz w:val="20"/>
                <w:szCs w:val="20"/>
                <w:lang w:val="en-US"/>
              </w:rPr>
              <w:t>Routine preoperative lab testing</w:t>
            </w:r>
          </w:p>
        </w:tc>
        <w:tc>
          <w:tcPr>
            <w:tcW w:w="3969" w:type="dxa"/>
          </w:tcPr>
          <w:p w14:paraId="20D642A7" w14:textId="431A5A76" w:rsidR="00FF4BD9" w:rsidRPr="00EC3E91" w:rsidRDefault="00FF4BD9" w:rsidP="00CE5D0C">
            <w:pPr>
              <w:rPr>
                <w:rFonts w:cstheme="minorHAnsi"/>
                <w:sz w:val="20"/>
                <w:szCs w:val="20"/>
                <w:lang w:val="en-US"/>
              </w:rPr>
            </w:pPr>
            <w:r w:rsidRPr="00EC3E91">
              <w:rPr>
                <w:rFonts w:cstheme="minorHAnsi"/>
                <w:sz w:val="20"/>
                <w:szCs w:val="20"/>
                <w:lang w:val="en-US"/>
              </w:rPr>
              <w:t xml:space="preserve">Practice advisory for </w:t>
            </w:r>
            <w:r w:rsidR="003D1D88" w:rsidRPr="00EC3E91">
              <w:rPr>
                <w:rFonts w:cstheme="minorHAnsi"/>
                <w:sz w:val="20"/>
                <w:szCs w:val="20"/>
                <w:lang w:val="en-US"/>
              </w:rPr>
              <w:t>paranaesthesia</w:t>
            </w:r>
            <w:r w:rsidRPr="00EC3E91">
              <w:rPr>
                <w:rFonts w:cstheme="minorHAnsi"/>
                <w:sz w:val="20"/>
                <w:szCs w:val="20"/>
                <w:lang w:val="en-US"/>
              </w:rPr>
              <w:t xml:space="preserve"> evaluation: an updated report by the American Society of </w:t>
            </w:r>
            <w:r w:rsidR="003D1D88" w:rsidRPr="00EC3E91">
              <w:rPr>
                <w:rFonts w:cstheme="minorHAnsi"/>
                <w:sz w:val="20"/>
                <w:szCs w:val="20"/>
                <w:lang w:val="en-US"/>
              </w:rPr>
              <w:t>Anaesthesiologists</w:t>
            </w:r>
            <w:r w:rsidRPr="00EC3E91">
              <w:rPr>
                <w:rFonts w:cstheme="minorHAnsi"/>
                <w:sz w:val="20"/>
                <w:szCs w:val="20"/>
                <w:lang w:val="en-US"/>
              </w:rPr>
              <w:t xml:space="preserve"> Task Force on </w:t>
            </w:r>
            <w:r w:rsidR="003D1D88" w:rsidRPr="00EC3E91">
              <w:rPr>
                <w:rFonts w:cstheme="minorHAnsi"/>
                <w:sz w:val="20"/>
                <w:szCs w:val="20"/>
                <w:lang w:val="en-US"/>
              </w:rPr>
              <w:t>Paranaesthesia</w:t>
            </w:r>
            <w:r w:rsidRPr="00EC3E91">
              <w:rPr>
                <w:rFonts w:cstheme="minorHAnsi"/>
                <w:sz w:val="20"/>
                <w:szCs w:val="20"/>
                <w:lang w:val="en-US"/>
              </w:rPr>
              <w:t xml:space="preserve"> Evaluation. </w:t>
            </w:r>
          </w:p>
          <w:p w14:paraId="56C7B438" w14:textId="77777777" w:rsidR="00FF4BD9" w:rsidRPr="00EC3E91" w:rsidRDefault="00FF4BD9" w:rsidP="00CE5D0C">
            <w:pPr>
              <w:rPr>
                <w:rFonts w:cstheme="minorHAnsi"/>
                <w:sz w:val="20"/>
                <w:szCs w:val="20"/>
                <w:lang w:val="en-US"/>
              </w:rPr>
            </w:pPr>
          </w:p>
          <w:p w14:paraId="2255880A" w14:textId="47F79D4F" w:rsidR="00FF4BD9" w:rsidRPr="00EC3E91" w:rsidRDefault="00FF4BD9" w:rsidP="00E31087">
            <w:pPr>
              <w:rPr>
                <w:rFonts w:cstheme="minorHAnsi"/>
                <w:sz w:val="20"/>
                <w:szCs w:val="20"/>
                <w:lang w:val="en-US"/>
              </w:rPr>
            </w:pPr>
            <w:r w:rsidRPr="00EC3E91">
              <w:rPr>
                <w:rFonts w:cstheme="minorHAnsi"/>
                <w:sz w:val="20"/>
                <w:szCs w:val="20"/>
                <w:lang w:val="en-US"/>
              </w:rPr>
              <w:t xml:space="preserve">Guidelines on perioperative </w:t>
            </w:r>
            <w:r w:rsidR="003D1D88" w:rsidRPr="00EC3E91">
              <w:rPr>
                <w:rFonts w:cstheme="minorHAnsi"/>
                <w:sz w:val="20"/>
                <w:szCs w:val="20"/>
                <w:lang w:val="en-US"/>
              </w:rPr>
              <w:t>cardiovascular evaluation</w:t>
            </w:r>
            <w:r w:rsidRPr="00EC3E91">
              <w:rPr>
                <w:rFonts w:cstheme="minorHAnsi"/>
                <w:sz w:val="20"/>
                <w:szCs w:val="20"/>
                <w:lang w:val="en-US"/>
              </w:rPr>
              <w:t xml:space="preserve"> and care for noncardiac surgery: a report of the American College of Cardiology/American Heart Association Task Force on Practice Guidelines</w:t>
            </w:r>
          </w:p>
        </w:tc>
        <w:tc>
          <w:tcPr>
            <w:tcW w:w="2551" w:type="dxa"/>
          </w:tcPr>
          <w:p w14:paraId="4650B6FB" w14:textId="3B4E2E93" w:rsidR="00FF4BD9" w:rsidRPr="00EC3E91" w:rsidRDefault="00FF4BD9" w:rsidP="00D56C0C">
            <w:pPr>
              <w:rPr>
                <w:rFonts w:cstheme="minorHAnsi"/>
                <w:sz w:val="20"/>
                <w:szCs w:val="20"/>
                <w:lang w:val="en-US"/>
              </w:rPr>
            </w:pPr>
            <w:r w:rsidRPr="00EC3E91">
              <w:rPr>
                <w:rFonts w:cstheme="minorHAnsi"/>
                <w:sz w:val="20"/>
                <w:szCs w:val="20"/>
                <w:lang w:val="en-US"/>
              </w:rPr>
              <w:t>Distribute educational materials</w:t>
            </w:r>
          </w:p>
        </w:tc>
      </w:tr>
      <w:tr w:rsidR="00FF4BD9" w:rsidRPr="00E119DD" w14:paraId="0E61BC6D" w14:textId="77777777" w:rsidTr="00FF4BD9">
        <w:trPr>
          <w:tblHeader/>
        </w:trPr>
        <w:tc>
          <w:tcPr>
            <w:tcW w:w="709" w:type="dxa"/>
          </w:tcPr>
          <w:p w14:paraId="11D7E130" w14:textId="09066C8D"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{"citationItems":[{"id":"ITEM-1","itemData":{"DOI":"10.1186/1472-6963-13-462","ISSN":"14726963","abstract":"BACKGROUND: Overuse of antibiotics for upper respiratory tract infections (URIs) and acute bronchitis is a persistent and vexing problem. In the U.S., more than half of all patients with upper respiratory tract infections and acute bronchitis are treated with antibiotics annually, despite the fact that most cases are viral in etiology and are not responsive to antibiotics. Interventions aiming to reduce unnecessary antibiotic prescribing have had mixed results, and successes have been modest. The objective of this evaluation is to use mixed methods to understand why a multi-level intervention to reduce antibiotic prescribing for acute bronchitis among primary care providers resulted in measurable improvement in only one third of participating clinicians. METHODS: Clinician perspectives on print-based and electronic intervention strategies, and antibiotic prescribing more generally, were elicited through structured telephone surveys at high and low performing sites after the first year of intervention at the Geisinger Health System in Pennsylvania (n=29). RESULTS: Compared with a survey on antibiotic use conducted 10 years earlier, clinicians demonstrated greater awareness of antibiotic resistance and how it is impacted by individual prescribing decisions-including their own. However, persistent perceived barriers to reducing prescribing included patient expectations, time pressure, and diagnostic uncertainty, and these factors were reported as differentially undermining specific intervention components' effectiveness. An exam room poster depicting a diagnostic algorithm was the most popular strategy. CONCLUSIONS: Future efforts to reduce antibiotic prescribing should address multi-level barriers identified by clinicians and tailor strategies to differences at individual clinician and group practice levels, focusing in particular on changing how patients and providers make decisions together about antibiotic use.","author":[{"dropping-particle":"","family":"Ackerman","given":"Sara L.","non-dropping-particle":"","parse-names":false,"suffix":""},{"dropping-particle":"","family":"Gonzales","given":"Ralph","non-dropping-particle":"","parse-names":false,"suffix":""},{"dropping-particle":"","family":"Stahl","given":"Melissa S.","non-dropping-particle":"","parse-names":false,"suffix":""},{"dropping-particle":"","family":"Metlay","given":"Joshua P.","non-dropping-particle":"","parse-names":false,"suffix":""}],"container-title":"BMC Health Services Research","id":"ITEM-1","issued":{"date-parts":[["2013"]]},"page":"462","title":"One size does not fit all: evaluating an intervention to reduce antibiotic prescribing for acute bronchitis","type":"article-journal","volume":"13"},"uris":["http://www.mendeley.com/documents/?uuid=37315933-370c-4788-9609-99ad69715daa"]}],"mendeley":{"formattedCitation":"(24)","plainTextFormattedCitation":"(24)","previouslyFormattedCitation":"(24)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(24)</w:t>
            </w:r>
            <w:r w:rsidRPr="00EC3E91">
              <w:rPr>
                <w:rFonts w:cstheme="minorHAnsi"/>
                <w:sz w:val="20"/>
                <w:szCs w:val="20"/>
                <w:lang w:val="en-US"/>
              </w:rPr>
              <w:fldChar w:fldCharType="end"/>
            </w:r>
          </w:p>
        </w:tc>
        <w:tc>
          <w:tcPr>
            <w:tcW w:w="992" w:type="dxa"/>
          </w:tcPr>
          <w:p w14:paraId="21E6AE94" w14:textId="6C50B17D"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29C429D3" w14:textId="00CA5701" w:rsidR="00FF4BD9" w:rsidRPr="00EC3E91" w:rsidRDefault="00FF4BD9" w:rsidP="00D56C0C">
            <w:pPr>
              <w:rPr>
                <w:rFonts w:cstheme="minorHAnsi"/>
                <w:sz w:val="20"/>
                <w:szCs w:val="20"/>
                <w:lang w:val="en-US"/>
              </w:rPr>
            </w:pPr>
            <w:r w:rsidRPr="00EC3E91">
              <w:rPr>
                <w:rFonts w:cstheme="minorHAnsi"/>
                <w:sz w:val="20"/>
                <w:szCs w:val="20"/>
                <w:lang w:val="en-US"/>
              </w:rPr>
              <w:t xml:space="preserve">Primary Care </w:t>
            </w:r>
          </w:p>
        </w:tc>
        <w:tc>
          <w:tcPr>
            <w:tcW w:w="850" w:type="dxa"/>
          </w:tcPr>
          <w:p w14:paraId="6585571F" w14:textId="3C16EC8A" w:rsidR="00FF4BD9" w:rsidRPr="00EC3E91" w:rsidRDefault="00FF4BD9" w:rsidP="00D56C0C">
            <w:pPr>
              <w:rPr>
                <w:rFonts w:cstheme="minorHAnsi"/>
                <w:sz w:val="20"/>
                <w:szCs w:val="20"/>
                <w:lang w:val="en-US"/>
              </w:rPr>
            </w:pPr>
            <w:r w:rsidRPr="00EC3E91">
              <w:rPr>
                <w:rFonts w:cstheme="minorHAnsi"/>
                <w:sz w:val="20"/>
                <w:szCs w:val="20"/>
                <w:lang w:val="en-US"/>
              </w:rPr>
              <w:t xml:space="preserve">Mixed Case study </w:t>
            </w:r>
          </w:p>
        </w:tc>
        <w:tc>
          <w:tcPr>
            <w:tcW w:w="851" w:type="dxa"/>
          </w:tcPr>
          <w:p w14:paraId="476C2770" w14:textId="556A7BE3" w:rsidR="00FF4BD9" w:rsidRPr="00EC3E91" w:rsidRDefault="00FF4BD9" w:rsidP="00D56C0C">
            <w:pPr>
              <w:rPr>
                <w:rFonts w:cstheme="minorHAnsi"/>
                <w:sz w:val="20"/>
                <w:szCs w:val="20"/>
                <w:lang w:val="en-US"/>
              </w:rPr>
            </w:pPr>
            <w:r w:rsidRPr="00EC3E91">
              <w:rPr>
                <w:rFonts w:cstheme="minorHAnsi"/>
                <w:sz w:val="20"/>
                <w:szCs w:val="20"/>
                <w:lang w:val="en-US"/>
              </w:rPr>
              <w:t>Process evaluation</w:t>
            </w:r>
          </w:p>
        </w:tc>
        <w:tc>
          <w:tcPr>
            <w:tcW w:w="1134" w:type="dxa"/>
          </w:tcPr>
          <w:p w14:paraId="1B31D21A" w14:textId="7029CEA8"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6155DDD3" w14:textId="0F5C0284" w:rsidR="00FF4BD9" w:rsidRPr="00EC3E91" w:rsidRDefault="00FF4BD9" w:rsidP="00D56C0C">
            <w:pPr>
              <w:rPr>
                <w:rFonts w:cstheme="minorHAnsi"/>
                <w:sz w:val="20"/>
                <w:szCs w:val="20"/>
                <w:lang w:val="en-US"/>
              </w:rPr>
            </w:pPr>
            <w:r w:rsidRPr="00EC3E91">
              <w:rPr>
                <w:rFonts w:cstheme="minorHAnsi"/>
                <w:sz w:val="20"/>
                <w:szCs w:val="20"/>
                <w:lang w:val="en-US"/>
              </w:rPr>
              <w:t xml:space="preserve">Inappropriate use of antibiotics </w:t>
            </w:r>
            <w:r w:rsidR="003D1D88" w:rsidRPr="00EC3E91">
              <w:rPr>
                <w:rFonts w:cstheme="minorHAnsi"/>
                <w:sz w:val="20"/>
                <w:szCs w:val="20"/>
                <w:lang w:val="en-US"/>
              </w:rPr>
              <w:t>for acute</w:t>
            </w:r>
            <w:r w:rsidRPr="00EC3E91">
              <w:rPr>
                <w:rFonts w:cstheme="minorHAnsi"/>
                <w:sz w:val="20"/>
                <w:szCs w:val="20"/>
                <w:lang w:val="en-US"/>
              </w:rPr>
              <w:t xml:space="preserve"> respiratory tract infections</w:t>
            </w:r>
          </w:p>
        </w:tc>
        <w:tc>
          <w:tcPr>
            <w:tcW w:w="3969" w:type="dxa"/>
          </w:tcPr>
          <w:p w14:paraId="362BD234" w14:textId="59E53007" w:rsidR="00FF4BD9" w:rsidRPr="00EC3E91" w:rsidRDefault="00FF4BD9" w:rsidP="00E31087">
            <w:pPr>
              <w:rPr>
                <w:rFonts w:cstheme="minorHAnsi"/>
                <w:sz w:val="20"/>
                <w:szCs w:val="20"/>
                <w:lang w:val="en-US"/>
              </w:rPr>
            </w:pPr>
            <w:r w:rsidRPr="00EC3E91">
              <w:rPr>
                <w:rFonts w:cstheme="minorHAnsi"/>
                <w:sz w:val="20"/>
                <w:szCs w:val="20"/>
                <w:lang w:val="en-US"/>
              </w:rPr>
              <w:t>Chronic cough due to acute bronchitis: ACCP evidence-based clinical practice guidelines.</w:t>
            </w:r>
          </w:p>
        </w:tc>
        <w:tc>
          <w:tcPr>
            <w:tcW w:w="2551" w:type="dxa"/>
          </w:tcPr>
          <w:p w14:paraId="4A2BD39B" w14:textId="656C5D5B" w:rsidR="00FF4BD9" w:rsidRPr="00EC3E91" w:rsidRDefault="00FF4BD9" w:rsidP="00D56C0C">
            <w:pPr>
              <w:rPr>
                <w:rFonts w:cstheme="minorHAnsi"/>
                <w:sz w:val="20"/>
                <w:szCs w:val="20"/>
                <w:lang w:val="en-US"/>
              </w:rPr>
            </w:pPr>
            <w:r w:rsidRPr="00EC3E91">
              <w:rPr>
                <w:rFonts w:cstheme="minorHAnsi"/>
                <w:sz w:val="20"/>
                <w:szCs w:val="20"/>
                <w:lang w:val="en-US"/>
              </w:rPr>
              <w:t xml:space="preserve">remind clinicians, develop educational materials, make </w:t>
            </w:r>
            <w:r w:rsidR="003D1D88" w:rsidRPr="00EC3E91">
              <w:rPr>
                <w:rFonts w:cstheme="minorHAnsi"/>
                <w:sz w:val="20"/>
                <w:szCs w:val="20"/>
                <w:lang w:val="en-US"/>
              </w:rPr>
              <w:t>training</w:t>
            </w:r>
            <w:r w:rsidRPr="00EC3E91">
              <w:rPr>
                <w:rFonts w:cstheme="minorHAnsi"/>
                <w:sz w:val="20"/>
                <w:szCs w:val="20"/>
                <w:lang w:val="en-US"/>
              </w:rPr>
              <w:t xml:space="preserve"> dynamic, identify and prepare champions, audit and provide feedback.</w:t>
            </w:r>
          </w:p>
        </w:tc>
      </w:tr>
      <w:tr w:rsidR="00FF4BD9" w:rsidRPr="00E119DD" w14:paraId="656BC8AE" w14:textId="77777777" w:rsidTr="00FF4BD9">
        <w:trPr>
          <w:tblHeader/>
        </w:trPr>
        <w:tc>
          <w:tcPr>
            <w:tcW w:w="709" w:type="dxa"/>
          </w:tcPr>
          <w:p w14:paraId="56865047" w14:textId="25E6F7CF"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Health information exchange (HIE) is advocated as an approach to reduce unnecessary testing and improve quality of emergency department (ED) care, but little evidence supports its use. Headache is a specific condition for which HIE has theoretical benefits. OBJECTIVE: To determine whether health information exchange (HIE) reduces potentially unnecessary neuroimaging, increases adherence with evidence-based guidelines, and decreases costs in the emergency department (ED) evaluation of headache. DESIGN: Longitudinal data analysis SUBJECTS: All repeat patient-visits (N=2,102) by all 1,252 adults presenting with headache to a Memphis metropolitan area ED two or more times between August 1, 2007 and July 31, 2009. INTERVENTION: Use of a regional HIE connecting the 15 major adult hospitals and two regional clinic systems by authorized ED personnel to access the patient's record during the time period in which the patient was being seen in the ED. MAIN MEASURES: Diagnostic neuroimaging (CT, CT angiography, MRI or MRI angiography), evidence-based guideline adherence, and total patient-visit estimated cost. KEY RESULTS: HIE data were accessed for 21.8 % of ED patient-visits for headache. 69.8 % received neuroimaging. HIE was associated with decreased odds of diagnostic neuroimaging (odds ratio [OR] 0.38, confidence interval [CI] 0.29-0.50) and increased adherence with evidence-based guidelines (OR 1.33, CI 1.02-1.73). Administrative/nursing staff HIE use (OR 0.24, CI 0.17-0.34) was also associated with decreased neuroimaging after adjustment for confounding factors. Overall HIE use was not associated with significant changes in costs. CONCLUSIONS: HIE is associated with decreased diagnostic imaging and increased evidence-based guideline adherence in the emergency evaluation of headache, but was not associated with improvements in overall costs. Controlled trials are needed to test whether specific HIE enhancements to increase HIE use can further reduce potentially unnecessary diagnostic imaging and improve adherence with guidelines while decreasing costs of care.","author":[{"dropping-particle":"","family":"Bailey","given":"J E","non-dropping-particle":"","parse-names":false,"suffix":""},{"dropping-particle":"","family":"Wan","given":"J Y","non-dropping-particle":"","parse-names":false,"suffix":""},{"dropping-particle":"","family":"Mabry","given":"L M","non-dropping-particle":"","parse-names":false,"suffix":""},{"dropping-particle":"","family":"L","given":"","non-dropping-particle":"","parse-names":false,"suffix":""},{"dropping-particle":"","family":"Y","given":"S H","non-dropping-particle":"","parse-names":false,"suffix":""},{"dropping-particle":"","family":"Pope","given":"R A","non-dropping-particle":"","parse-names":false,"suffix":""},{"dropping-particle":"","family":"Waters","given":"T M","non-dropping-particle":"","parse-names":false,"suffix":""},{"dropping-particle":"","family":"Frisse","given":"M E","non-dropping-particle":"","parse-names":false,"suffix":""}],"container-title":"Journal of General Internal Medicine","id":"ITEM-1","issue":"2","issued":{"date-parts":[["2013"]]},"page":"176-183","title":"Does health information exchange reduce unnecessary neuroimaging and improve quality of headache care in the emergency department?","type":"article-journal","volume":"28"},"uris":["http://www.mendeley.com/documents/?uuid=d560da71-3a5f-40ca-8f61-5aa7a4f85d2c"]}],"mendeley":{"formattedCitation":"(25)","plainTextFormattedCitation":"(25)","previouslyFormattedCitation":"(25)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(25)</w:t>
            </w:r>
            <w:r w:rsidRPr="00EC3E91">
              <w:rPr>
                <w:rFonts w:cstheme="minorHAnsi"/>
                <w:sz w:val="20"/>
                <w:szCs w:val="20"/>
                <w:lang w:val="en-US"/>
              </w:rPr>
              <w:fldChar w:fldCharType="end"/>
            </w:r>
          </w:p>
        </w:tc>
        <w:tc>
          <w:tcPr>
            <w:tcW w:w="992" w:type="dxa"/>
          </w:tcPr>
          <w:p w14:paraId="79C293D9" w14:textId="0CDE61E8"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38AEE6CA" w14:textId="32C52063" w:rsidR="00FF4BD9" w:rsidRPr="00EC3E91" w:rsidRDefault="00FF4BD9" w:rsidP="00D56C0C">
            <w:pPr>
              <w:rPr>
                <w:rFonts w:cstheme="minorHAnsi"/>
                <w:sz w:val="20"/>
                <w:szCs w:val="20"/>
                <w:lang w:val="en-US"/>
              </w:rPr>
            </w:pPr>
            <w:r w:rsidRPr="00EC3E91">
              <w:rPr>
                <w:rFonts w:cstheme="minorHAnsi"/>
                <w:sz w:val="20"/>
                <w:szCs w:val="20"/>
                <w:lang w:val="en-US"/>
              </w:rPr>
              <w:t>Hospital</w:t>
            </w:r>
          </w:p>
        </w:tc>
        <w:tc>
          <w:tcPr>
            <w:tcW w:w="850" w:type="dxa"/>
          </w:tcPr>
          <w:p w14:paraId="28D8B012" w14:textId="73B8C443" w:rsidR="00FF4BD9" w:rsidRPr="00EC3E91" w:rsidRDefault="00FF4BD9" w:rsidP="00D56C0C">
            <w:pPr>
              <w:rPr>
                <w:rFonts w:cstheme="minorHAnsi"/>
                <w:sz w:val="20"/>
                <w:szCs w:val="20"/>
                <w:lang w:val="en-US"/>
              </w:rPr>
            </w:pPr>
            <w:r w:rsidRPr="00EC3E91">
              <w:rPr>
                <w:rFonts w:cstheme="minorHAnsi"/>
                <w:sz w:val="20"/>
                <w:szCs w:val="20"/>
                <w:lang w:val="en-US"/>
              </w:rPr>
              <w:t xml:space="preserve">Quant </w:t>
            </w:r>
            <w:r w:rsidR="00285FC0" w:rsidRPr="00EC3E91">
              <w:rPr>
                <w:rFonts w:cstheme="minorHAnsi"/>
                <w:sz w:val="20"/>
                <w:szCs w:val="20"/>
                <w:lang w:val="en-US"/>
              </w:rPr>
              <w:t>Longitudinal</w:t>
            </w:r>
            <w:r w:rsidRPr="00EC3E91">
              <w:rPr>
                <w:rFonts w:cstheme="minorHAnsi"/>
                <w:sz w:val="20"/>
                <w:szCs w:val="20"/>
                <w:lang w:val="en-US"/>
              </w:rPr>
              <w:t xml:space="preserve"> study </w:t>
            </w:r>
          </w:p>
        </w:tc>
        <w:tc>
          <w:tcPr>
            <w:tcW w:w="851" w:type="dxa"/>
          </w:tcPr>
          <w:p w14:paraId="1BE77078" w14:textId="56D68F91"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18D25B7A" w14:textId="16F7834F" w:rsidR="00FF4BD9" w:rsidRPr="00EC3E91" w:rsidRDefault="00226199" w:rsidP="00D56C0C">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590C0D6B" w14:textId="71D4D285" w:rsidR="00FF4BD9" w:rsidRPr="00EC3E91" w:rsidRDefault="00FF4BD9" w:rsidP="00D56C0C">
            <w:pPr>
              <w:rPr>
                <w:rFonts w:cstheme="minorHAnsi"/>
                <w:sz w:val="20"/>
                <w:szCs w:val="20"/>
                <w:lang w:val="en-US"/>
              </w:rPr>
            </w:pPr>
            <w:r w:rsidRPr="00EC3E91">
              <w:rPr>
                <w:rFonts w:cstheme="minorHAnsi"/>
                <w:sz w:val="20"/>
                <w:szCs w:val="20"/>
                <w:lang w:val="en-US"/>
              </w:rPr>
              <w:t>Use of diagnostic neuroimaging in the evaluation of headache</w:t>
            </w:r>
          </w:p>
        </w:tc>
        <w:tc>
          <w:tcPr>
            <w:tcW w:w="3969" w:type="dxa"/>
          </w:tcPr>
          <w:p w14:paraId="3E6BA141" w14:textId="3BE9BDBF" w:rsidR="00FF4BD9" w:rsidRPr="00EC3E91" w:rsidRDefault="00FF4BD9" w:rsidP="000524C8">
            <w:pPr>
              <w:rPr>
                <w:rFonts w:cstheme="minorHAnsi"/>
                <w:sz w:val="20"/>
                <w:szCs w:val="20"/>
                <w:lang w:val="en-US"/>
              </w:rPr>
            </w:pPr>
            <w:r w:rsidRPr="00EC3E91">
              <w:rPr>
                <w:rFonts w:cstheme="minorHAnsi"/>
                <w:sz w:val="20"/>
                <w:szCs w:val="20"/>
                <w:lang w:val="en-US"/>
              </w:rPr>
              <w:t>Practice parameter: evidence-based guidelines for migraine headache (an evidence-based review): report of the Quality Standards Subcommittee of the American Academy of Neurology.</w:t>
            </w:r>
            <w:r w:rsidR="00285FC0" w:rsidRPr="00EC3E91">
              <w:rPr>
                <w:rFonts w:cstheme="minorHAnsi"/>
                <w:sz w:val="20"/>
                <w:szCs w:val="20"/>
                <w:lang w:val="en-US"/>
              </w:rPr>
              <w:t xml:space="preserve"> </w:t>
            </w:r>
          </w:p>
        </w:tc>
        <w:tc>
          <w:tcPr>
            <w:tcW w:w="2551" w:type="dxa"/>
          </w:tcPr>
          <w:p w14:paraId="42161D38" w14:textId="3233E830" w:rsidR="00FF4BD9" w:rsidRPr="00EC3E91" w:rsidRDefault="00FF4BD9" w:rsidP="00D56C0C">
            <w:pPr>
              <w:rPr>
                <w:rFonts w:cstheme="minorHAnsi"/>
                <w:sz w:val="20"/>
                <w:szCs w:val="20"/>
                <w:lang w:val="en-US"/>
              </w:rPr>
            </w:pPr>
            <w:r w:rsidRPr="00EC3E91">
              <w:rPr>
                <w:rFonts w:cstheme="minorHAnsi"/>
                <w:sz w:val="20"/>
                <w:szCs w:val="20"/>
                <w:lang w:val="en-US"/>
              </w:rPr>
              <w:t>Use data warehousing techniques</w:t>
            </w:r>
          </w:p>
        </w:tc>
      </w:tr>
      <w:tr w:rsidR="00FF4BD9" w:rsidRPr="00E119DD" w14:paraId="7BE43B28" w14:textId="77777777" w:rsidTr="00FF4BD9">
        <w:trPr>
          <w:tblHeader/>
        </w:trPr>
        <w:tc>
          <w:tcPr>
            <w:tcW w:w="709" w:type="dxa"/>
          </w:tcPr>
          <w:p w14:paraId="72FEA528" w14:textId="16438698"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{"citationItems":[{"id":"ITEM-1","itemData":{"ISSN":"1876-7591","abstract":"OBJECTIVES: This study sought to prospectively study the impact of an appropriate use criteria (AUC)-based educational intervention on transthoracic echocardiography (TTE) ordering among house staff on the inpatient general internal medicine service at an academic medical center. BACKGROUND: AUC for TTE were developed in response to concerns about inappropriate use of TTE. To date, educational interventions based on the AUC to reduce inappropriate use of TTE have not been prospectively studied. METHODS: A prospective, time series analysis of an educational intervention was conducted and then compared with TTE ordering on the same medical service during a control period. The intervention consisted of: 1) a lecture to house staff on the 2011 AUC for TTE; 2) a pocket card that applied the AUC to common clinical scenarios; and 3) biweekly e-mail feedback regarding ordering behavior. TTE ordering was tracked over the intervention period on a daily basis and feedback reports were e-mailed at 2-week intervals. The primary outcome was the proportion of inappropriate and appropriate TTE ordered during the intervention period. RESULTS: Of all TTEs ordered in the control and study periods, 99% and 98%, respectively, were classifiable using the 2011 AUC. During the study period, there was a 26% reduction in the number of TTE ordered per day compared with the number ordered during the control period (2.9 vs. 3.9 TTE, p &lt; 0.001). During the study period, the proportion of inappropriate TTE was significantly lower (5% vs. 13%, p &lt; 0.001) and the proportion of appropriate TTE was significantly higher (93% vs. 84%, p &lt; 0.001). CONCLUSIONS: A simple educational intervention produced a significant reduction in the proportion of inappropriate TTE and increased the proportion of appropriate TTE ordered on an inpatient academic medical service. This study provides a practical approach for using the AUC to reduce the number of inappropriate TTE. Further study in other practice environments is warranted.","author":[{"dropping-particle":"","family":"Bhatia","given":"R S","non-dropping-particle":"","parse-names":false,"suffix":""},{"dropping-particle":"","family":"Milford","given":"C E","non-dropping-particle":"","parse-names":false,"suffix":""},{"dropping-particle":"","family":"Picard","given":"M H","non-dropping-particle":"","parse-names":false,"suffix":""},{"dropping-particle":"","family":"Weiner","given":"R B","non-dropping-particle":"","parse-names":false,"suffix":""}],"container-title":"Jacc: Cardiovascular Imaging","id":"ITEM-1","issue":"5","issued":{"date-parts":[["2013"]]},"page":"545-555","title":"An educational intervention reduces the rate of inappropriate echocardiograms on an inpatient medical service","type":"article-journal","volume":"6"},"uris":["http://www.mendeley.com/documents/?uuid=c2b3641e-366e-45e9-ba63-3229b9a5eb99"]}],"mendeley":{"formattedCitation":"(26)","plainTextFormattedCitation":"(26)","previouslyFormattedCitation":"(26)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(26)</w:t>
            </w:r>
            <w:r w:rsidRPr="00EC3E91">
              <w:rPr>
                <w:rFonts w:cstheme="minorHAnsi"/>
                <w:sz w:val="20"/>
                <w:szCs w:val="20"/>
                <w:lang w:val="en-US"/>
              </w:rPr>
              <w:fldChar w:fldCharType="end"/>
            </w:r>
          </w:p>
        </w:tc>
        <w:tc>
          <w:tcPr>
            <w:tcW w:w="992" w:type="dxa"/>
          </w:tcPr>
          <w:p w14:paraId="2E12E997" w14:textId="787C1E1B"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26981BA6" w14:textId="50ADA8FD"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34698852" w14:textId="6589DEF9" w:rsidR="00FF4BD9" w:rsidRPr="00EC3E91" w:rsidRDefault="00FF4BD9" w:rsidP="00D56C0C">
            <w:pPr>
              <w:rPr>
                <w:rFonts w:cstheme="minorHAnsi"/>
                <w:sz w:val="20"/>
                <w:szCs w:val="20"/>
                <w:lang w:val="en-US"/>
              </w:rPr>
            </w:pPr>
            <w:r w:rsidRPr="00EC3E91">
              <w:rPr>
                <w:rFonts w:cstheme="minorHAnsi"/>
                <w:sz w:val="20"/>
                <w:szCs w:val="20"/>
                <w:lang w:val="en-US"/>
              </w:rPr>
              <w:t>Quant Pre-post</w:t>
            </w:r>
          </w:p>
        </w:tc>
        <w:tc>
          <w:tcPr>
            <w:tcW w:w="851" w:type="dxa"/>
          </w:tcPr>
          <w:p w14:paraId="4F9F8389" w14:textId="15504ACE" w:rsidR="00FF4BD9" w:rsidRPr="00EC3E91" w:rsidRDefault="00FF4BD9" w:rsidP="00D56C0C">
            <w:pPr>
              <w:rPr>
                <w:rFonts w:cstheme="minorHAnsi"/>
                <w:sz w:val="20"/>
                <w:szCs w:val="20"/>
                <w:lang w:val="en-US"/>
              </w:rPr>
            </w:pPr>
            <w:r w:rsidRPr="00EC3E91">
              <w:rPr>
                <w:rFonts w:cstheme="minorHAnsi"/>
                <w:sz w:val="20"/>
                <w:szCs w:val="20"/>
                <w:lang w:val="en-US"/>
              </w:rPr>
              <w:t>Efficacy/Effectiveness</w:t>
            </w:r>
          </w:p>
        </w:tc>
        <w:tc>
          <w:tcPr>
            <w:tcW w:w="1134" w:type="dxa"/>
          </w:tcPr>
          <w:p w14:paraId="3585FF21" w14:textId="6406875B" w:rsidR="00FF4BD9" w:rsidRPr="00EC3E91" w:rsidRDefault="00FF4BD9" w:rsidP="00D56C0C">
            <w:pPr>
              <w:rPr>
                <w:rFonts w:cstheme="minorHAnsi"/>
                <w:sz w:val="20"/>
                <w:szCs w:val="20"/>
                <w:lang w:val="en-US"/>
              </w:rPr>
            </w:pPr>
            <w:r w:rsidRPr="00EC3E91">
              <w:rPr>
                <w:rFonts w:cstheme="minorHAnsi"/>
                <w:sz w:val="20"/>
                <w:szCs w:val="20"/>
                <w:lang w:val="en-US"/>
              </w:rPr>
              <w:t>echocardiograph</w:t>
            </w:r>
          </w:p>
        </w:tc>
        <w:tc>
          <w:tcPr>
            <w:tcW w:w="2126" w:type="dxa"/>
          </w:tcPr>
          <w:p w14:paraId="70995F17" w14:textId="23F6E77E" w:rsidR="00FF4BD9" w:rsidRPr="00EC3E91" w:rsidRDefault="00FF4BD9" w:rsidP="00D56C0C">
            <w:pPr>
              <w:rPr>
                <w:rFonts w:cstheme="minorHAnsi"/>
                <w:sz w:val="20"/>
                <w:szCs w:val="20"/>
                <w:lang w:val="en-US"/>
              </w:rPr>
            </w:pPr>
            <w:r w:rsidRPr="00EC3E91">
              <w:rPr>
                <w:rFonts w:cstheme="minorHAnsi"/>
                <w:sz w:val="20"/>
                <w:szCs w:val="20"/>
                <w:lang w:val="en-US"/>
              </w:rPr>
              <w:t>Inappropriate Transthoracic echocardiography</w:t>
            </w:r>
          </w:p>
        </w:tc>
        <w:tc>
          <w:tcPr>
            <w:tcW w:w="3969" w:type="dxa"/>
          </w:tcPr>
          <w:p w14:paraId="46E1E7D9" w14:textId="39389D51" w:rsidR="00FF4BD9" w:rsidRPr="00EC3E91" w:rsidRDefault="00FF4BD9" w:rsidP="000524C8">
            <w:pPr>
              <w:rPr>
                <w:rFonts w:cstheme="minorHAnsi"/>
                <w:sz w:val="20"/>
                <w:szCs w:val="20"/>
                <w:lang w:val="en-US"/>
              </w:rPr>
            </w:pPr>
            <w:r w:rsidRPr="00EC3E91">
              <w:rPr>
                <w:rFonts w:cstheme="minorHAnsi"/>
                <w:sz w:val="20"/>
                <w:szCs w:val="20"/>
                <w:lang w:val="en-US"/>
              </w:rPr>
              <w:t xml:space="preserve">ACCF/ASE/AHA/ASNC/HFSA/HRS/SCAI/SCCM/SCCT/SCMR  </w:t>
            </w:r>
            <w:r w:rsidR="00285FC0" w:rsidRPr="00EC3E91">
              <w:rPr>
                <w:rFonts w:cstheme="minorHAnsi"/>
                <w:sz w:val="20"/>
                <w:szCs w:val="20"/>
                <w:lang w:val="en-US"/>
              </w:rPr>
              <w:t xml:space="preserve">2011 </w:t>
            </w:r>
            <w:r w:rsidR="009307F3" w:rsidRPr="00EC3E91">
              <w:rPr>
                <w:rFonts w:cstheme="minorHAnsi"/>
                <w:sz w:val="20"/>
                <w:szCs w:val="20"/>
                <w:lang w:val="en-US"/>
              </w:rPr>
              <w:t xml:space="preserve">appropriate </w:t>
            </w:r>
            <w:r w:rsidR="008E3BEF" w:rsidRPr="00EC3E91">
              <w:rPr>
                <w:rFonts w:cstheme="minorHAnsi"/>
                <w:sz w:val="20"/>
                <w:szCs w:val="20"/>
                <w:lang w:val="en-US"/>
              </w:rPr>
              <w:t>use criteria</w:t>
            </w:r>
            <w:r w:rsidRPr="00EC3E91">
              <w:rPr>
                <w:rFonts w:cstheme="minorHAnsi"/>
                <w:sz w:val="20"/>
                <w:szCs w:val="20"/>
                <w:lang w:val="en-US"/>
              </w:rPr>
              <w:t xml:space="preserve"> </w:t>
            </w:r>
            <w:r w:rsidR="00594F8A" w:rsidRPr="00EC3E91">
              <w:rPr>
                <w:rFonts w:cstheme="minorHAnsi"/>
                <w:sz w:val="20"/>
                <w:szCs w:val="20"/>
                <w:lang w:val="en-US"/>
              </w:rPr>
              <w:t>for echocardiography</w:t>
            </w:r>
            <w:r w:rsidRPr="00EC3E91">
              <w:rPr>
                <w:rFonts w:cstheme="minorHAnsi"/>
                <w:sz w:val="20"/>
                <w:szCs w:val="20"/>
                <w:lang w:val="en-US"/>
              </w:rPr>
              <w:t xml:space="preserve">:  </w:t>
            </w:r>
            <w:r w:rsidR="001026C6" w:rsidRPr="00EC3E91">
              <w:rPr>
                <w:rFonts w:cstheme="minorHAnsi"/>
                <w:sz w:val="20"/>
                <w:szCs w:val="20"/>
                <w:lang w:val="en-US"/>
              </w:rPr>
              <w:t xml:space="preserve">a </w:t>
            </w:r>
            <w:r w:rsidR="009C6C1F" w:rsidRPr="00EC3E91">
              <w:rPr>
                <w:rFonts w:cstheme="minorHAnsi"/>
                <w:sz w:val="20"/>
                <w:szCs w:val="20"/>
                <w:lang w:val="en-US"/>
              </w:rPr>
              <w:t>report of the</w:t>
            </w:r>
            <w:r w:rsidRPr="00EC3E91">
              <w:rPr>
                <w:rFonts w:cstheme="minorHAnsi"/>
                <w:sz w:val="20"/>
                <w:szCs w:val="20"/>
                <w:lang w:val="en-US"/>
              </w:rPr>
              <w:t xml:space="preserve"> American   College   of   Cardiology Foundation Appropriate Use Criteria Task </w:t>
            </w:r>
            <w:r w:rsidR="009C6C1F" w:rsidRPr="00EC3E91">
              <w:rPr>
                <w:rFonts w:cstheme="minorHAnsi"/>
                <w:sz w:val="20"/>
                <w:szCs w:val="20"/>
                <w:lang w:val="en-US"/>
              </w:rPr>
              <w:t xml:space="preserve">Force,  </w:t>
            </w:r>
          </w:p>
        </w:tc>
        <w:tc>
          <w:tcPr>
            <w:tcW w:w="2551" w:type="dxa"/>
          </w:tcPr>
          <w:p w14:paraId="63883849" w14:textId="61D6027E" w:rsidR="00FF4BD9" w:rsidRPr="00EC3E91" w:rsidRDefault="00FF4BD9" w:rsidP="00D56C0C">
            <w:pPr>
              <w:rPr>
                <w:rFonts w:cstheme="minorHAnsi"/>
                <w:sz w:val="20"/>
                <w:szCs w:val="20"/>
                <w:lang w:val="en-US"/>
              </w:rPr>
            </w:pPr>
            <w:r w:rsidRPr="00EC3E91">
              <w:rPr>
                <w:rFonts w:cstheme="minorHAnsi"/>
                <w:sz w:val="20"/>
                <w:szCs w:val="20"/>
                <w:lang w:val="en-US"/>
              </w:rPr>
              <w:t xml:space="preserve">make </w:t>
            </w:r>
            <w:r w:rsidR="00285FC0" w:rsidRPr="00EC3E91">
              <w:rPr>
                <w:rFonts w:cstheme="minorHAnsi"/>
                <w:sz w:val="20"/>
                <w:szCs w:val="20"/>
                <w:lang w:val="en-US"/>
              </w:rPr>
              <w:t>training</w:t>
            </w:r>
            <w:r w:rsidRPr="00EC3E91">
              <w:rPr>
                <w:rFonts w:cstheme="minorHAnsi"/>
                <w:sz w:val="20"/>
                <w:szCs w:val="20"/>
                <w:lang w:val="en-US"/>
              </w:rPr>
              <w:t xml:space="preserve"> dynamic, remind clinicians, audit and provide feedback.</w:t>
            </w:r>
          </w:p>
        </w:tc>
      </w:tr>
      <w:tr w:rsidR="00FF4BD9" w:rsidRPr="00E119DD" w14:paraId="6589C837" w14:textId="77777777" w:rsidTr="00FF4BD9">
        <w:trPr>
          <w:tblHeader/>
        </w:trPr>
        <w:tc>
          <w:tcPr>
            <w:tcW w:w="709" w:type="dxa"/>
          </w:tcPr>
          <w:p w14:paraId="7DBE6A49" w14:textId="6EBE123A" w:rsidR="00FF4BD9" w:rsidRPr="00EC3E91" w:rsidRDefault="00FF4BD9" w:rsidP="00D56C0C">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{"citationItems":[{"id":"ITEM-1","itemData":{"abstract":"OBJECTIVE: To evaluate the appropriateness/inappropriateness of medication prescribing using the Screening Tool of Older Person's Prescriptions/Screening Tool to Alert doctors to Right Treatment (STOPP/START) criteria in elderly homebased primary care (HBPC) veterans and to understand the potential impact of the HBPC team on the STOPP/START criteria. DESIGN: Retrospective chart review between September 1, 2007, and September 30, 2009. SETTING: Edward Hines, Jr. VA Hospital, Hines, Illinois, a tertiary care referral center. PARTICIPANTS: Two hundred patients 65 years of age and older who had an initial interdisciplinary evaluation conducted by the HBPC team. Exclusion criteria included admission to the hospital between the initial and follow-up medication review, admission to the HBPC program for palliative or hospice care, or death before completion of a follow-up evaluation. INTERVENTION: Appropriateness/inappropriateness of medication prescribing was assessed by comparing the medication list at the initial pharmacist medication review and follow-up review. Initial and follow-up STOPP and START scores were calculated for each patient. MAIN OUTCOME MEASURES: The primary outcome was to evaluate the appropriateness/inappropriateness of medication prescribing using the STOPP/START criteria. The secondary outcome was to understand the potential impact of the HBPC team on the STOPP/START criteria. RESULTS: There was a statistically significant decrease in the STOPP score between the initial and follow-up medication review (P = 0.0014). There was not a statistically significant increase in the START score between the initial and follow-up medication review (P = 0.5720). CONCLUSIONS: A statistically significant decrease in the STOPP score was found. Although the START score increased, the change was not found to be statistically significant.","author":[{"dropping-particle":"","family":"Brahmbhatt","given":"M","non-dropping-particle":"","parse-names":false,"suffix":""},{"dropping-particle":"","family":"Palla","given":"K","non-dropping-particle":"","parse-names":false,"suffix":""},{"dropping-particle":"","family":"Kossifologos","given":"A","non-dropping-particle":"","parse-names":false,"suffix":""},{"dropping-particle":"","family":"Mitchell","given":"D","non-dropping-particle":"","parse-names":false,"suffix":""},{"dropping-particle":"","family":"Lee","given":"T","non-dropping-particle":"","parse-names":false,"suffix":""}],"container-title":"Consultant Pharmacist","id":"ITEM-1","issue":"6","issued":{"date-parts":[["2013"]]},"page":"361-369","title":"Appropriateness of medication prescribing using the STOPP/START criteria in veterans receiving home-based primary care","type":"article-journal","volume":"28"},"uris":["http://www.mendeley.com/documents/?uuid=3bdf5722-2423-44ed-92f3-ab9ed2bb4df9"]}],"mendeley":{"formattedCitation":"(27)","plainTextFormattedCitation":"(27)","previouslyFormattedCitation":"(27)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(27)</w:t>
            </w:r>
            <w:r w:rsidRPr="00EC3E91">
              <w:rPr>
                <w:rFonts w:cstheme="minorHAnsi"/>
                <w:sz w:val="20"/>
                <w:szCs w:val="20"/>
                <w:lang w:val="en-US"/>
              </w:rPr>
              <w:fldChar w:fldCharType="end"/>
            </w:r>
          </w:p>
        </w:tc>
        <w:tc>
          <w:tcPr>
            <w:tcW w:w="992" w:type="dxa"/>
          </w:tcPr>
          <w:p w14:paraId="0D005CFF" w14:textId="2DE494A9" w:rsidR="00FF4BD9" w:rsidRPr="00EC3E91" w:rsidRDefault="00FF4BD9" w:rsidP="00D56C0C">
            <w:pPr>
              <w:rPr>
                <w:rFonts w:cstheme="minorHAnsi"/>
                <w:sz w:val="20"/>
                <w:szCs w:val="20"/>
                <w:lang w:val="en-US"/>
              </w:rPr>
            </w:pPr>
            <w:r w:rsidRPr="00EC3E91">
              <w:rPr>
                <w:rFonts w:cstheme="minorHAnsi"/>
                <w:sz w:val="20"/>
                <w:szCs w:val="20"/>
                <w:lang w:val="en-US"/>
              </w:rPr>
              <w:t>US</w:t>
            </w:r>
          </w:p>
        </w:tc>
        <w:tc>
          <w:tcPr>
            <w:tcW w:w="993" w:type="dxa"/>
          </w:tcPr>
          <w:p w14:paraId="61FC5A75" w14:textId="5DF2B492"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292720B5" w14:textId="0AD73668" w:rsidR="00FF4BD9" w:rsidRPr="00EC3E91" w:rsidRDefault="00FF4BD9" w:rsidP="00D56C0C">
            <w:pPr>
              <w:rPr>
                <w:rFonts w:cstheme="minorHAnsi"/>
                <w:sz w:val="20"/>
                <w:szCs w:val="20"/>
                <w:lang w:val="en-US"/>
              </w:rPr>
            </w:pPr>
            <w:r w:rsidRPr="00EC3E91">
              <w:rPr>
                <w:rFonts w:cstheme="minorHAnsi"/>
                <w:sz w:val="20"/>
                <w:szCs w:val="20"/>
                <w:lang w:val="en-US"/>
              </w:rPr>
              <w:t xml:space="preserve">Quant pre-post </w:t>
            </w:r>
          </w:p>
        </w:tc>
        <w:tc>
          <w:tcPr>
            <w:tcW w:w="851" w:type="dxa"/>
          </w:tcPr>
          <w:p w14:paraId="5D1E904D" w14:textId="64823F70" w:rsidR="00FF4BD9" w:rsidRPr="00EC3E91" w:rsidRDefault="00FF4BD9" w:rsidP="00B90418">
            <w:pPr>
              <w:rPr>
                <w:rFonts w:cstheme="minorHAnsi"/>
                <w:sz w:val="20"/>
                <w:szCs w:val="20"/>
                <w:lang w:val="en-US"/>
              </w:rPr>
            </w:pPr>
            <w:r w:rsidRPr="00EC3E91">
              <w:rPr>
                <w:rFonts w:cstheme="minorHAnsi"/>
                <w:sz w:val="20"/>
                <w:szCs w:val="20"/>
                <w:lang w:val="en-US"/>
              </w:rPr>
              <w:t>Efficacy/ Effectiveness</w:t>
            </w:r>
          </w:p>
        </w:tc>
        <w:tc>
          <w:tcPr>
            <w:tcW w:w="1134" w:type="dxa"/>
          </w:tcPr>
          <w:p w14:paraId="7892BDED" w14:textId="48BBC0CB" w:rsidR="00FF4BD9" w:rsidRPr="00EC3E91" w:rsidRDefault="00FF4BD9" w:rsidP="00D56C0C">
            <w:pPr>
              <w:rPr>
                <w:rFonts w:cstheme="minorHAnsi"/>
                <w:sz w:val="20"/>
                <w:szCs w:val="20"/>
                <w:lang w:val="en-US"/>
              </w:rPr>
            </w:pPr>
            <w:r w:rsidRPr="00EC3E91">
              <w:rPr>
                <w:rFonts w:cstheme="minorHAnsi"/>
                <w:sz w:val="20"/>
                <w:szCs w:val="20"/>
                <w:lang w:val="en-US"/>
              </w:rPr>
              <w:t xml:space="preserve">PIM Elderly </w:t>
            </w:r>
          </w:p>
        </w:tc>
        <w:tc>
          <w:tcPr>
            <w:tcW w:w="2126" w:type="dxa"/>
          </w:tcPr>
          <w:p w14:paraId="308D12C7" w14:textId="329EB98D" w:rsidR="00FF4BD9" w:rsidRPr="00EC3E91" w:rsidRDefault="00FF4BD9" w:rsidP="00D56C0C">
            <w:pPr>
              <w:rPr>
                <w:rFonts w:cstheme="minorHAnsi"/>
                <w:sz w:val="20"/>
                <w:szCs w:val="20"/>
                <w:lang w:val="en-US"/>
              </w:rPr>
            </w:pPr>
            <w:r w:rsidRPr="00EC3E91">
              <w:rPr>
                <w:rFonts w:cstheme="minorHAnsi"/>
                <w:sz w:val="20"/>
                <w:szCs w:val="20"/>
                <w:lang w:val="en-US"/>
              </w:rPr>
              <w:t xml:space="preserve">Potentially inappropriate medication </w:t>
            </w:r>
          </w:p>
        </w:tc>
        <w:tc>
          <w:tcPr>
            <w:tcW w:w="3969" w:type="dxa"/>
          </w:tcPr>
          <w:p w14:paraId="371EBC67" w14:textId="60649BC1" w:rsidR="00FF4BD9" w:rsidRPr="00EC3E91" w:rsidRDefault="00FF4BD9" w:rsidP="00B90418">
            <w:pPr>
              <w:rPr>
                <w:rFonts w:cstheme="minorHAnsi"/>
                <w:sz w:val="20"/>
                <w:szCs w:val="20"/>
                <w:lang w:val="en-US"/>
              </w:rPr>
            </w:pPr>
            <w:r w:rsidRPr="00EC3E91">
              <w:rPr>
                <w:rFonts w:cstheme="minorHAnsi"/>
                <w:sz w:val="20"/>
                <w:szCs w:val="20"/>
                <w:lang w:val="en-US"/>
              </w:rPr>
              <w:t>STOPP (Screening Tool of Older</w:t>
            </w:r>
          </w:p>
          <w:p w14:paraId="312E9A21" w14:textId="77777777" w:rsidR="00FF4BD9" w:rsidRPr="00EC3E91" w:rsidRDefault="00FF4BD9" w:rsidP="00B90418">
            <w:pPr>
              <w:rPr>
                <w:rFonts w:cstheme="minorHAnsi"/>
                <w:sz w:val="20"/>
                <w:szCs w:val="20"/>
                <w:lang w:val="en-US"/>
              </w:rPr>
            </w:pPr>
            <w:r w:rsidRPr="00EC3E91">
              <w:rPr>
                <w:rFonts w:cstheme="minorHAnsi"/>
                <w:sz w:val="20"/>
                <w:szCs w:val="20"/>
                <w:lang w:val="en-US"/>
              </w:rPr>
              <w:t>Person’s Prescriptions) and START (Screening Tool to Alert doctors to</w:t>
            </w:r>
          </w:p>
          <w:p w14:paraId="2F162281" w14:textId="04E55A40" w:rsidR="00FF4BD9" w:rsidRPr="00EC3E91" w:rsidRDefault="00FF4BD9" w:rsidP="00B90418">
            <w:pPr>
              <w:rPr>
                <w:rFonts w:cstheme="minorHAnsi"/>
                <w:sz w:val="20"/>
                <w:szCs w:val="20"/>
                <w:lang w:val="en-US"/>
              </w:rPr>
            </w:pPr>
            <w:r w:rsidRPr="00EC3E91">
              <w:rPr>
                <w:rFonts w:cstheme="minorHAnsi"/>
                <w:sz w:val="20"/>
                <w:szCs w:val="20"/>
                <w:lang w:val="en-US"/>
              </w:rPr>
              <w:t xml:space="preserve">Right Treatment). </w:t>
            </w:r>
          </w:p>
        </w:tc>
        <w:tc>
          <w:tcPr>
            <w:tcW w:w="2551" w:type="dxa"/>
          </w:tcPr>
          <w:p w14:paraId="7F3669E7" w14:textId="3411DA7C" w:rsidR="00FF4BD9" w:rsidRPr="00EC3E91" w:rsidRDefault="00FF4BD9" w:rsidP="00D56C0C">
            <w:pPr>
              <w:rPr>
                <w:rFonts w:cstheme="minorHAnsi"/>
                <w:sz w:val="20"/>
                <w:szCs w:val="20"/>
                <w:lang w:val="en-US"/>
              </w:rPr>
            </w:pPr>
            <w:r w:rsidRPr="00EC3E91">
              <w:rPr>
                <w:rFonts w:cstheme="minorHAnsi"/>
                <w:sz w:val="20"/>
                <w:szCs w:val="20"/>
                <w:lang w:val="en-US"/>
              </w:rPr>
              <w:t>create new clinical teams, develop and organize quality monitoring systems</w:t>
            </w:r>
          </w:p>
        </w:tc>
      </w:tr>
      <w:tr w:rsidR="00FF4BD9" w:rsidRPr="00E119DD" w14:paraId="6D618A5D" w14:textId="77777777" w:rsidTr="00FF4BD9">
        <w:trPr>
          <w:tblHeader/>
        </w:trPr>
        <w:tc>
          <w:tcPr>
            <w:tcW w:w="709" w:type="dxa"/>
          </w:tcPr>
          <w:p w14:paraId="71D2C536" w14:textId="09B2BE41" w:rsidR="00FF4BD9" w:rsidRPr="00EC3E91" w:rsidRDefault="00FF4BD9" w:rsidP="00D56C0C">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{"citationItems":[{"id":"ITEM-1","itemData":{"abstract":"PRINCIPLES: Unnecessary treatment of asymptomatic bacteriuria and overuse of urinary catheters in hospitals are of concern regarding antimicrobial resistance and patient safety, respectively. We investigated the effectiveness of a multifaceted intervention in reducing urinary catheter use and unnecessary prescription of antibiotics for asymptomatic bacteriuria in hospitalised patients in a clinic for internal medicine. METHODS: Data were collected retrospectively from all inpatients during a 3-month period both before and after a multifaceted intervention from the Clinic for Internal Medicine of our secondary care hospital. The intervention consisted of implementation of guidelines, establishment of a standard for urinary catheter management, introduction of restricted orders and a reminder of indwelling catheters, as well as lectures and internet-based learning focusing on asymptomatic bacteriuria. RESULTS: The incidence rate of urinary catheter days decreased significantly from 27 to 17 catheter days per 100 patient days (incidence rate ratio 0.61, 95% confidence interval 0.57-0.67). The incidence rate of unnecessary antibiotic treatment days for asymptomatic bacteriuria dropped significantly from 22 to 10 treatment days per 1,000 patient days (incidence rate ratio 0.46, 95% confidence interval 0.33-0.63). CONCLUSIONS: A multifaceted intervention was effective in reducing both urinary catheter days and inappropriate antibiotic use for asymptomatic bacteriuria.","author":[{"dropping-particle":"","family":"Egger","given":"M","non-dropping-particle":"","parse-names":false,"suffix":""},{"dropping-particle":"","family":"Balmer","given":"F","non-dropping-particle":"","parse-names":false,"suffix":""},{"dropping-particle":"","family":"Friedli-Wuthrich","given":"H","non-dropping-particle":"","parse-names":false,"suffix":""},{"dropping-particle":"","family":"Muhlemann","given":"K","non-dropping-particle":"","parse-names":false,"suffix":""}],"container-title":"Swiss Medical Weekly","id":"ITEM-1","issued":{"date-parts":[["2013"]]},"page":"w13796","title":"Reduction of urinary catheter use and prescription of antibiotics for asymptomatic bacteriuria in hospitalised patients in internal medicine: before-and-after intervention study","type":"article-journal","volume":"143"},"uris":["http://www.mendeley.com/documents/?uuid=a036d0c9-fba5-45d2-9acb-c4347da18907"]}],"mendeley":{"formattedCitation":"(28)","plainTextFormattedCitation":"(28)","previouslyFormattedCitation":"(28)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(28)</w:t>
            </w:r>
            <w:r w:rsidRPr="00EC3E91">
              <w:rPr>
                <w:rFonts w:cstheme="minorHAnsi"/>
                <w:sz w:val="20"/>
                <w:szCs w:val="20"/>
                <w:lang w:val="en-US"/>
              </w:rPr>
              <w:fldChar w:fldCharType="end"/>
            </w:r>
          </w:p>
        </w:tc>
        <w:tc>
          <w:tcPr>
            <w:tcW w:w="992" w:type="dxa"/>
          </w:tcPr>
          <w:p w14:paraId="3DE4A3A6" w14:textId="69471F7E" w:rsidR="00FF4BD9" w:rsidRPr="00EC3E91" w:rsidRDefault="00FF4BD9" w:rsidP="00D56C0C">
            <w:pPr>
              <w:rPr>
                <w:rFonts w:cstheme="minorHAnsi"/>
                <w:sz w:val="20"/>
                <w:szCs w:val="20"/>
                <w:lang w:val="en-US"/>
              </w:rPr>
            </w:pPr>
            <w:r w:rsidRPr="00EC3E91">
              <w:rPr>
                <w:rFonts w:cstheme="minorHAnsi"/>
                <w:sz w:val="20"/>
                <w:szCs w:val="20"/>
                <w:lang w:val="en-US"/>
              </w:rPr>
              <w:t xml:space="preserve">Switzerland </w:t>
            </w:r>
          </w:p>
        </w:tc>
        <w:tc>
          <w:tcPr>
            <w:tcW w:w="993" w:type="dxa"/>
          </w:tcPr>
          <w:p w14:paraId="0766FB0A" w14:textId="60F2F85A" w:rsidR="00FF4BD9" w:rsidRPr="00EC3E91" w:rsidRDefault="00FF4BD9" w:rsidP="00D56C0C">
            <w:pPr>
              <w:rPr>
                <w:rFonts w:cstheme="minorHAnsi"/>
                <w:sz w:val="20"/>
                <w:szCs w:val="20"/>
                <w:lang w:val="en-US"/>
              </w:rPr>
            </w:pPr>
            <w:r w:rsidRPr="00EC3E91">
              <w:rPr>
                <w:rFonts w:cstheme="minorHAnsi"/>
                <w:sz w:val="20"/>
                <w:szCs w:val="20"/>
                <w:lang w:val="en-US"/>
              </w:rPr>
              <w:t xml:space="preserve">Hospital </w:t>
            </w:r>
          </w:p>
        </w:tc>
        <w:tc>
          <w:tcPr>
            <w:tcW w:w="850" w:type="dxa"/>
          </w:tcPr>
          <w:p w14:paraId="14B9590C" w14:textId="3E447DA3" w:rsidR="00FF4BD9" w:rsidRPr="00EC3E91" w:rsidRDefault="00FF4BD9" w:rsidP="00D56C0C">
            <w:pPr>
              <w:rPr>
                <w:rFonts w:cstheme="minorHAnsi"/>
                <w:sz w:val="20"/>
                <w:szCs w:val="20"/>
                <w:lang w:val="en-US"/>
              </w:rPr>
            </w:pPr>
            <w:r w:rsidRPr="00EC3E91">
              <w:rPr>
                <w:rFonts w:cstheme="minorHAnsi"/>
                <w:sz w:val="20"/>
                <w:szCs w:val="20"/>
                <w:lang w:val="en-US"/>
              </w:rPr>
              <w:t>Quant pre post</w:t>
            </w:r>
          </w:p>
        </w:tc>
        <w:tc>
          <w:tcPr>
            <w:tcW w:w="851" w:type="dxa"/>
          </w:tcPr>
          <w:p w14:paraId="2599CD7E" w14:textId="21B6651E" w:rsidR="00FF4BD9" w:rsidRPr="00EC3E91" w:rsidRDefault="00FF4BD9" w:rsidP="00D56C0C">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186D3417" w14:textId="4291943A" w:rsidR="00FF4BD9" w:rsidRPr="00EC3E91" w:rsidRDefault="00FF4BD9" w:rsidP="00D56C0C">
            <w:pPr>
              <w:rPr>
                <w:rFonts w:cstheme="minorHAnsi"/>
                <w:sz w:val="20"/>
                <w:szCs w:val="20"/>
                <w:lang w:val="en-US"/>
              </w:rPr>
            </w:pPr>
            <w:r w:rsidRPr="00EC3E91">
              <w:rPr>
                <w:rFonts w:cstheme="minorHAnsi"/>
                <w:sz w:val="20"/>
                <w:szCs w:val="20"/>
                <w:lang w:val="en-US"/>
              </w:rPr>
              <w:t xml:space="preserve">Antibiotics </w:t>
            </w:r>
          </w:p>
        </w:tc>
        <w:tc>
          <w:tcPr>
            <w:tcW w:w="2126" w:type="dxa"/>
          </w:tcPr>
          <w:p w14:paraId="30741D9D" w14:textId="77A6167F" w:rsidR="00FF4BD9" w:rsidRPr="00EC3E91" w:rsidRDefault="00FF4BD9" w:rsidP="00D56C0C">
            <w:pPr>
              <w:rPr>
                <w:rFonts w:cstheme="minorHAnsi"/>
                <w:sz w:val="20"/>
                <w:szCs w:val="20"/>
                <w:lang w:val="en-US"/>
              </w:rPr>
            </w:pPr>
            <w:r w:rsidRPr="00EC3E91">
              <w:rPr>
                <w:rFonts w:cstheme="minorHAnsi"/>
                <w:sz w:val="20"/>
                <w:szCs w:val="20"/>
                <w:lang w:val="en-US"/>
              </w:rPr>
              <w:t>Inappropriate use of antibiotics for asymptomatic bacteriuria</w:t>
            </w:r>
          </w:p>
          <w:p w14:paraId="3877AC25" w14:textId="77777777" w:rsidR="00FF4BD9" w:rsidRPr="00EC3E91" w:rsidRDefault="00FF4BD9" w:rsidP="00B90418">
            <w:pPr>
              <w:rPr>
                <w:rFonts w:cstheme="minorHAnsi"/>
                <w:sz w:val="20"/>
                <w:szCs w:val="20"/>
                <w:lang w:val="en-US"/>
              </w:rPr>
            </w:pPr>
          </w:p>
        </w:tc>
        <w:tc>
          <w:tcPr>
            <w:tcW w:w="3969" w:type="dxa"/>
          </w:tcPr>
          <w:p w14:paraId="0A8041FA" w14:textId="6DC3FB99" w:rsidR="00FF4BD9" w:rsidRPr="00EC3E91" w:rsidRDefault="00FF4BD9" w:rsidP="00B90418">
            <w:pPr>
              <w:rPr>
                <w:rFonts w:cstheme="minorHAnsi"/>
                <w:sz w:val="20"/>
                <w:szCs w:val="20"/>
                <w:lang w:val="en-US"/>
              </w:rPr>
            </w:pPr>
            <w:r w:rsidRPr="00EC3E91">
              <w:rPr>
                <w:rFonts w:cstheme="minorHAnsi"/>
                <w:sz w:val="20"/>
                <w:szCs w:val="20"/>
                <w:lang w:val="en-US"/>
              </w:rPr>
              <w:t>Diagnosis, prevention, and treatment of catheter-associated</w:t>
            </w:r>
          </w:p>
          <w:p w14:paraId="756FC86B" w14:textId="77777777" w:rsidR="00FF4BD9" w:rsidRPr="00EC3E91" w:rsidRDefault="00FF4BD9" w:rsidP="00B90418">
            <w:pPr>
              <w:rPr>
                <w:rFonts w:cstheme="minorHAnsi"/>
                <w:sz w:val="20"/>
                <w:szCs w:val="20"/>
                <w:lang w:val="en-US"/>
              </w:rPr>
            </w:pPr>
            <w:r w:rsidRPr="00EC3E91">
              <w:rPr>
                <w:rFonts w:cstheme="minorHAnsi"/>
                <w:sz w:val="20"/>
                <w:szCs w:val="20"/>
                <w:lang w:val="en-US"/>
              </w:rPr>
              <w:t>urinary tract infection in adults: 2009 international clinical practice</w:t>
            </w:r>
          </w:p>
          <w:p w14:paraId="71A0DFE8" w14:textId="071E440F" w:rsidR="00FF4BD9" w:rsidRPr="00EC3E91" w:rsidRDefault="00FF4BD9" w:rsidP="00B90418">
            <w:pPr>
              <w:rPr>
                <w:rFonts w:cstheme="minorHAnsi"/>
                <w:sz w:val="20"/>
                <w:szCs w:val="20"/>
                <w:lang w:val="en-US"/>
              </w:rPr>
            </w:pPr>
            <w:r w:rsidRPr="00EC3E91">
              <w:rPr>
                <w:rFonts w:cstheme="minorHAnsi"/>
                <w:sz w:val="20"/>
                <w:szCs w:val="20"/>
                <w:lang w:val="en-US"/>
              </w:rPr>
              <w:t xml:space="preserve">guidelines from the Infectious Diseases Society of America. </w:t>
            </w:r>
          </w:p>
        </w:tc>
        <w:tc>
          <w:tcPr>
            <w:tcW w:w="2551" w:type="dxa"/>
          </w:tcPr>
          <w:p w14:paraId="43BAB93F" w14:textId="6DD1EB0D" w:rsidR="00FF4BD9" w:rsidRPr="00EC3E91" w:rsidRDefault="00FF4BD9" w:rsidP="00BF540D">
            <w:pPr>
              <w:rPr>
                <w:rFonts w:cstheme="minorHAnsi"/>
                <w:sz w:val="20"/>
                <w:szCs w:val="20"/>
                <w:lang w:val="en-US"/>
              </w:rPr>
            </w:pPr>
            <w:r w:rsidRPr="00EC3E91">
              <w:rPr>
                <w:rFonts w:cstheme="minorHAnsi"/>
                <w:sz w:val="20"/>
                <w:szCs w:val="20"/>
                <w:lang w:val="en-US"/>
              </w:rPr>
              <w:t xml:space="preserve">Distribute educational materials, develop educational materials, make training dynamic, conduct educational meetings, conduct educational outreach, [ACCOUNTABILITY TOOL], remind clinicians. </w:t>
            </w:r>
          </w:p>
        </w:tc>
      </w:tr>
      <w:tr w:rsidR="00FF4BD9" w:rsidRPr="00E119DD" w14:paraId="077647F3" w14:textId="77777777" w:rsidTr="00FF4BD9">
        <w:trPr>
          <w:tblHeader/>
        </w:trPr>
        <w:tc>
          <w:tcPr>
            <w:tcW w:w="709" w:type="dxa"/>
          </w:tcPr>
          <w:p w14:paraId="520601E1" w14:textId="3A9296D0"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Appropriateness of prescribing can be assessed by various measures and screening instruments. The aims of this study were to investigate the effects of pharmacists' interventions on appropriateness of prescribing in elderly patients, and to explore the relationship between these results and hospital care utilization during a 12-month follow-up period. METHODS: The study population from a previous randomized controlled study, in which the effects of a comprehensive pharmacist intervention on re-hospitalization was investigated, was used. The criteria from the instruments MAI, STOPP and START were applied retrospectively to the 368 study patients (intervention group (I) n = 182, control group (C) n = 186). The assessments were done on admission and at discharge to detect differences over time and between the groups. Hospital care consumption was recorded and the association between scores for appropriateness, and hospitalization was analysed. RESULTS: The number of Potentially Inappropriate Medicines (PIMs) per patient as identified by STOPP was reduced for I but not for C (1.42 to 0.93 vs. 1.46 to 1.66 respectively, p&lt;0.01). The number of Potential Prescription Omissions (PPOs) per patient as identified by START was reduced for I but not for C (0.36 to 0.09 vs. 0.42 to 0.45 respectively, p&lt;0.001). The summated score for MAI was reduced for I but not for C (8.5 to 5.0 and 8.7 to 10.0 respectively, p&lt;0.001). There was a positive association between scores for MAI and STOPP and drug-related readmissions (RR 8-9% and 30-34% respectively). No association was detected between the scores of the tools and total re-visits to hospital. CONCLUSION: The interventions significantly improved the appropriateness of prescribing for patients in the intervention group as evaluated by the instruments MAI, STOPP and START. High scores in MAI and STOPP were associated with a higher number of drug-related readmissions.","author":[{"dropping-particle":"","family":"Gillespie","given":"U","non-dropping-particle":"","parse-names":false,"suffix":""},{"dropping-particle":"","family":"Alassaad","given":"A","non-dropping-particle":"","parse-names":false,"suffix":""},{"dropping-particle":"","family":"Hammarlund-Udenaes","given":"M","non-dropping-particle":"","parse-names":false,"suffix":""},{"dropping-particle":"","family":"Morlin","given":"C","non-dropping-particle":"","parse-names":false,"suffix":""},{"dropping-particle":"","family":"Henrohn","given":"D","non-dropping-particle":"","parse-names":false,"suffix":""},{"dropping-particle":"","family":"Bertilsson","given":"M","non-dropping-particle":"","parse-names":false,"suffix":""},{"dropping-particle":"","family":"Melhus","given":"H","non-dropping-particle":"","parse-names":false,"suffix":""}],"container-title":"PLoS ONE","id":"ITEM-1","issue":"5","issued":{"date-parts":[["2013"]]},"note":"Gillespie, Ulrika Alassaad, Anna Hammarlund-Udenaes, Margareta Morlin, Claes Henrohn, Dan Bertilsson, Maria Melhus, Hakan","page":"e62401","title":"Effects of pharmacists' interventions on appropriateness of prescribing and evaluation of the instruments' (MAI, STOPP and STARTs') ability to predict hospitalization--analyses from a randomized controlled trial","type":"article-journal","volume":"8"},"uris":["http://www.mendeley.com/documents/?uuid=5a056ad6-e8d8-44e7-a491-1ecbc557065a"]}],"mendeley":{"formattedCitation":"(29)","plainTextFormattedCitation":"(29)","previouslyFormattedCitation":"(29)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(29)</w:t>
            </w:r>
            <w:r w:rsidRPr="00EC3E91">
              <w:rPr>
                <w:rFonts w:cstheme="minorHAnsi"/>
                <w:sz w:val="20"/>
                <w:szCs w:val="20"/>
                <w:lang w:val="en-US"/>
              </w:rPr>
              <w:fldChar w:fldCharType="end"/>
            </w:r>
          </w:p>
        </w:tc>
        <w:tc>
          <w:tcPr>
            <w:tcW w:w="992" w:type="dxa"/>
          </w:tcPr>
          <w:p w14:paraId="4B82E463" w14:textId="70CE3EB2" w:rsidR="00FF4BD9" w:rsidRPr="00EC3E91" w:rsidRDefault="00FF4BD9" w:rsidP="00B205C1">
            <w:pPr>
              <w:rPr>
                <w:rFonts w:cstheme="minorHAnsi"/>
                <w:sz w:val="20"/>
                <w:szCs w:val="20"/>
                <w:lang w:val="en-US"/>
              </w:rPr>
            </w:pPr>
            <w:r w:rsidRPr="00EC3E91">
              <w:rPr>
                <w:rFonts w:cstheme="minorHAnsi"/>
                <w:sz w:val="20"/>
                <w:szCs w:val="20"/>
                <w:lang w:val="en-US"/>
              </w:rPr>
              <w:t xml:space="preserve">Sweden </w:t>
            </w:r>
          </w:p>
        </w:tc>
        <w:tc>
          <w:tcPr>
            <w:tcW w:w="993" w:type="dxa"/>
          </w:tcPr>
          <w:p w14:paraId="77808706" w14:textId="642C580F" w:rsidR="00FF4BD9" w:rsidRPr="00EC3E91" w:rsidRDefault="00FF4BD9" w:rsidP="00B205C1">
            <w:pPr>
              <w:rPr>
                <w:rFonts w:cstheme="minorHAnsi"/>
                <w:sz w:val="20"/>
                <w:szCs w:val="20"/>
                <w:lang w:val="en-US"/>
              </w:rPr>
            </w:pPr>
            <w:r w:rsidRPr="00EC3E91">
              <w:rPr>
                <w:rFonts w:cstheme="minorHAnsi"/>
                <w:sz w:val="20"/>
                <w:szCs w:val="20"/>
                <w:lang w:val="en-US"/>
              </w:rPr>
              <w:t>Hospital</w:t>
            </w:r>
          </w:p>
        </w:tc>
        <w:tc>
          <w:tcPr>
            <w:tcW w:w="850" w:type="dxa"/>
          </w:tcPr>
          <w:p w14:paraId="18C8E1F3" w14:textId="182EFE6A" w:rsidR="00FF4BD9" w:rsidRPr="00EC3E91" w:rsidRDefault="00FF4BD9" w:rsidP="00B205C1">
            <w:pPr>
              <w:rPr>
                <w:rFonts w:cstheme="minorHAnsi"/>
                <w:sz w:val="20"/>
                <w:szCs w:val="20"/>
                <w:lang w:val="en-US"/>
              </w:rPr>
            </w:pPr>
            <w:r w:rsidRPr="00EC3E91">
              <w:rPr>
                <w:rFonts w:cstheme="minorHAnsi"/>
                <w:sz w:val="20"/>
                <w:szCs w:val="20"/>
                <w:lang w:val="en-US"/>
              </w:rPr>
              <w:t>Quant RCT</w:t>
            </w:r>
          </w:p>
        </w:tc>
        <w:tc>
          <w:tcPr>
            <w:tcW w:w="851" w:type="dxa"/>
          </w:tcPr>
          <w:p w14:paraId="6D90E8FD" w14:textId="7D67D1AF" w:rsidR="00FF4BD9" w:rsidRPr="00EC3E91" w:rsidRDefault="00FF4BD9" w:rsidP="00B205C1">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6B471736" w14:textId="3E31DA95" w:rsidR="00FF4BD9" w:rsidRPr="00EC3E91" w:rsidRDefault="00FF4BD9" w:rsidP="00B205C1">
            <w:pPr>
              <w:rPr>
                <w:rFonts w:cstheme="minorHAnsi"/>
                <w:sz w:val="20"/>
                <w:szCs w:val="20"/>
                <w:lang w:val="en-US"/>
              </w:rPr>
            </w:pPr>
            <w:r w:rsidRPr="00EC3E91">
              <w:rPr>
                <w:rFonts w:cstheme="minorHAnsi"/>
                <w:sz w:val="20"/>
                <w:szCs w:val="20"/>
                <w:lang w:val="en-US"/>
              </w:rPr>
              <w:t xml:space="preserve">PIM Elderly </w:t>
            </w:r>
          </w:p>
        </w:tc>
        <w:tc>
          <w:tcPr>
            <w:tcW w:w="2126" w:type="dxa"/>
          </w:tcPr>
          <w:p w14:paraId="215262A3" w14:textId="499465BA" w:rsidR="00FF4BD9" w:rsidRPr="00EC3E91" w:rsidRDefault="00FF4BD9" w:rsidP="00B205C1">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709ECFF8" w14:textId="62610714" w:rsidR="00FF4BD9" w:rsidRPr="00EC3E91" w:rsidRDefault="00285FC0" w:rsidP="00B205C1">
            <w:pPr>
              <w:rPr>
                <w:rFonts w:cstheme="minorHAnsi"/>
                <w:sz w:val="20"/>
                <w:szCs w:val="20"/>
                <w:lang w:val="en-US"/>
              </w:rPr>
            </w:pPr>
            <w:r w:rsidRPr="00EC3E91">
              <w:rPr>
                <w:rFonts w:cstheme="minorHAnsi"/>
                <w:sz w:val="20"/>
                <w:szCs w:val="20"/>
                <w:lang w:val="en-US"/>
              </w:rPr>
              <w:t>STOPP (</w:t>
            </w:r>
            <w:r w:rsidR="00FF4BD9" w:rsidRPr="00EC3E91">
              <w:rPr>
                <w:rFonts w:cstheme="minorHAnsi"/>
                <w:sz w:val="20"/>
                <w:szCs w:val="20"/>
                <w:lang w:val="en-US"/>
              </w:rPr>
              <w:t>Screening Tool of Older Person’s Prescriptions) and START (Screening Tool to Alert doctors to Right Treatment</w:t>
            </w:r>
          </w:p>
        </w:tc>
        <w:tc>
          <w:tcPr>
            <w:tcW w:w="2551" w:type="dxa"/>
          </w:tcPr>
          <w:p w14:paraId="179D453F" w14:textId="421FBF51" w:rsidR="00FF4BD9" w:rsidRPr="00EC3E91" w:rsidRDefault="00FF4BD9" w:rsidP="00BF540D">
            <w:pPr>
              <w:rPr>
                <w:rFonts w:cstheme="minorHAnsi"/>
                <w:sz w:val="20"/>
                <w:szCs w:val="20"/>
                <w:lang w:val="en-US"/>
              </w:rPr>
            </w:pPr>
            <w:r w:rsidRPr="00EC3E91">
              <w:rPr>
                <w:rFonts w:cstheme="minorHAnsi"/>
                <w:sz w:val="20"/>
                <w:szCs w:val="20"/>
                <w:lang w:val="en-US"/>
              </w:rPr>
              <w:t xml:space="preserve">Develop and organize quality monitoring systems, conduct educational meeting, assess and redesign workflow. </w:t>
            </w:r>
          </w:p>
        </w:tc>
      </w:tr>
      <w:tr w:rsidR="00FF4BD9" w:rsidRPr="00E119DD" w14:paraId="482F26CD" w14:textId="77777777" w:rsidTr="00FF4BD9">
        <w:trPr>
          <w:tblHeader/>
        </w:trPr>
        <w:tc>
          <w:tcPr>
            <w:tcW w:w="709" w:type="dxa"/>
          </w:tcPr>
          <w:p w14:paraId="5FB2E262" w14:textId="7E368F92"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{"citationItems":[{"id":"ITEM-1","itemData":{"ISSN":"2168-6106","abstract":"BACKGROUND: National quality indicators show little change in the overuse of antibiotics for uncomplicated acute bronchitis. We compared the effect of 2 decision support strategies on antibiotic treatment of uncomplicated acute bronchitis. METHODS: We conducted a 3-arm cluster randomized trial among 33 primary care practices belonging to an integrated health care system in central Pennsylvania. The printed decision support intervention sites (11 practices) received decision support for acute cough illness through a print-based strategy, the computer-assisted decision support intervention sites (11 practices) received decision support through an electronic medical record-based strategy, and the control sites (11 practices) served as a control arm. Both intervention sites also received clinician education and feedback on prescribing practices, as well as patient education brochures at check-in. Antibiotic prescription rates for uncomplicated acute bronchitis in the winter period (October 1, 2009, through March 31, 2010) following introduction of the intervention were compared with the previous 3 winter periods in an intent-to-treat analysis. RESULTS: Compared with the baseline period, the percentage of adolescents and adults prescribed antibiotics during the intervention period decreased at the printed decision support intervention sites (from 80.0% to 68.3%) and at the computer-assisted decision support intervention sites (from 74.0% to 60.7%) but increased slightly at the control sites (from 72.5% to 74.3%). After controlling for patient and clinician characteristics, as well as clustering of observations by clinician and practice site, the differences for the intervention sites were statistically significant from the control sites (P = .003 for control sites vs printed decision support intervention sites and P = .01 for control sites vs computer-assisted decision support intervention sites) but not between themselves (P = .67 for printed decision support intervention sites vs computer-assisted decision support intervention sites). Changes in total visits, 30-day return visit rates, and proportion diagnosed as having uncomplicated acute bronchitis were similar among the study sites. CONCLUSIONS: Implementation of a decision support strategy for acute bronchitis can help reduce the overuse of antibiotics in primary care settings. The effect of printed vs computer-assisted decision support strategies for providing decision support was equivalent. TRIAL RE…","author":[{"dropping-particle":"","family":"Gonzales","given":"R","non-dropping-particle":"","parse-names":false,"suffix":""},{"dropping-particle":"","family":"Anderer","given":"T","non-dropping-particle":"","parse-names":false,"suffix":""},{"dropping-particle":"","family":"McCulloch","given":"C E","non-dropping-particle":"","parse-names":false,"suffix":""},{"dropping-particle":"","family":"Maselli","given":"J H","non-dropping-particle":"","parse-names":false,"suffix":""},{"dropping-particle":"","family":"Bloom F. J.","given":"Jr.","non-dropping-particle":"","parse-names":false,"suffix":""},{"dropping-particle":"","family":"Graf","given":"T R","non-dropping-particle":"","parse-names":false,"suffix":""},{"dropping-particle":"","family":"Stahl","given":"M","non-dropping-particle":"","parse-names":false,"suffix":""},{"dropping-particle":"","family":"Yefko","given":"M","non-dropping-particle":"","parse-names":false,"suffix":""},{"dropping-particle":"","family":"Molecavage","given":"J","non-dropping-particle":"","parse-names":false,"suffix":""},{"dropping-particle":"","family":"Metlay","given":"J P","non-dropping-particle":"","parse-names":false,"suffix":""}],"container-title":"JAMA Internal Medicine","id":"ITEM-1","issue":"4","issued":{"date-parts":[["2015"]]},"page":"267-273","title":"A cluster randomized trial of decision support strategies for reducing antibiotic use in acute bronchitis","type":"article-journal","volume":"173"},"uris":["http://www.mendeley.com/documents/?uuid=c1746f5f-b375-49b1-be3d-b145e0f2ae4e"]}],"mendeley":{"formattedCitation":"(30)","plainTextFormattedCitation":"(30)","previouslyFormattedCitation":"(30)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(30)</w:t>
            </w:r>
            <w:r w:rsidRPr="00EC3E91">
              <w:rPr>
                <w:rFonts w:cstheme="minorHAnsi"/>
                <w:sz w:val="20"/>
                <w:szCs w:val="20"/>
                <w:lang w:val="en-US"/>
              </w:rPr>
              <w:fldChar w:fldCharType="end"/>
            </w:r>
          </w:p>
        </w:tc>
        <w:tc>
          <w:tcPr>
            <w:tcW w:w="992" w:type="dxa"/>
          </w:tcPr>
          <w:p w14:paraId="6CA3B0C7" w14:textId="25CB89DE" w:rsidR="00FF4BD9" w:rsidRPr="00EC3E91" w:rsidRDefault="00FF4BD9" w:rsidP="00B205C1">
            <w:pPr>
              <w:rPr>
                <w:rFonts w:cstheme="minorHAnsi"/>
                <w:sz w:val="20"/>
                <w:szCs w:val="20"/>
                <w:lang w:val="en-US"/>
              </w:rPr>
            </w:pPr>
            <w:r w:rsidRPr="00EC3E91">
              <w:rPr>
                <w:rFonts w:cstheme="minorHAnsi"/>
                <w:sz w:val="20"/>
                <w:szCs w:val="20"/>
                <w:lang w:val="en-US"/>
              </w:rPr>
              <w:t xml:space="preserve">US </w:t>
            </w:r>
          </w:p>
        </w:tc>
        <w:tc>
          <w:tcPr>
            <w:tcW w:w="993" w:type="dxa"/>
          </w:tcPr>
          <w:p w14:paraId="5EC1A0B3" w14:textId="47B9BE5F" w:rsidR="00FF4BD9" w:rsidRPr="00EC3E91" w:rsidRDefault="00FF4BD9" w:rsidP="00B205C1">
            <w:pPr>
              <w:rPr>
                <w:rFonts w:cstheme="minorHAnsi"/>
                <w:sz w:val="20"/>
                <w:szCs w:val="20"/>
                <w:lang w:val="en-US"/>
              </w:rPr>
            </w:pPr>
            <w:r w:rsidRPr="00EC3E91">
              <w:rPr>
                <w:rFonts w:cstheme="minorHAnsi"/>
                <w:sz w:val="20"/>
                <w:szCs w:val="20"/>
                <w:lang w:val="en-US"/>
              </w:rPr>
              <w:t>Primary care</w:t>
            </w:r>
          </w:p>
        </w:tc>
        <w:tc>
          <w:tcPr>
            <w:tcW w:w="850" w:type="dxa"/>
          </w:tcPr>
          <w:p w14:paraId="453EEE22" w14:textId="5B6D75F3" w:rsidR="00FF4BD9" w:rsidRPr="00EC3E91" w:rsidRDefault="00FF4BD9" w:rsidP="00B205C1">
            <w:pPr>
              <w:rPr>
                <w:rFonts w:cstheme="minorHAnsi"/>
                <w:sz w:val="20"/>
                <w:szCs w:val="20"/>
                <w:lang w:val="en-US"/>
              </w:rPr>
            </w:pPr>
            <w:r w:rsidRPr="00EC3E91">
              <w:rPr>
                <w:rFonts w:cstheme="minorHAnsi"/>
                <w:sz w:val="20"/>
                <w:szCs w:val="20"/>
                <w:lang w:val="en-US"/>
              </w:rPr>
              <w:t>Quant RCT</w:t>
            </w:r>
          </w:p>
        </w:tc>
        <w:tc>
          <w:tcPr>
            <w:tcW w:w="851" w:type="dxa"/>
          </w:tcPr>
          <w:p w14:paraId="1A4278E7" w14:textId="4CA40D5F" w:rsidR="00FF4BD9" w:rsidRPr="00EC3E91" w:rsidRDefault="00FF4BD9" w:rsidP="00B205C1">
            <w:pPr>
              <w:rPr>
                <w:rFonts w:cstheme="minorHAnsi"/>
                <w:sz w:val="20"/>
                <w:szCs w:val="20"/>
                <w:lang w:val="en-US"/>
              </w:rPr>
            </w:pPr>
            <w:r w:rsidRPr="00EC3E91">
              <w:rPr>
                <w:rFonts w:cstheme="minorHAnsi"/>
                <w:sz w:val="20"/>
                <w:szCs w:val="20"/>
                <w:lang w:val="en-US"/>
              </w:rPr>
              <w:t>Efficacy/Effectiveness</w:t>
            </w:r>
          </w:p>
        </w:tc>
        <w:tc>
          <w:tcPr>
            <w:tcW w:w="1134" w:type="dxa"/>
          </w:tcPr>
          <w:p w14:paraId="0324F4A3" w14:textId="4115985E" w:rsidR="00FF4BD9" w:rsidRPr="00EC3E91" w:rsidRDefault="00FF4BD9" w:rsidP="00B205C1">
            <w:pPr>
              <w:rPr>
                <w:rFonts w:cstheme="minorHAnsi"/>
                <w:sz w:val="20"/>
                <w:szCs w:val="20"/>
                <w:lang w:val="en-US"/>
              </w:rPr>
            </w:pPr>
            <w:r w:rsidRPr="00EC3E91">
              <w:rPr>
                <w:rFonts w:cstheme="minorHAnsi"/>
                <w:sz w:val="20"/>
                <w:szCs w:val="20"/>
                <w:lang w:val="en-US"/>
              </w:rPr>
              <w:t>Antibiotics</w:t>
            </w:r>
          </w:p>
        </w:tc>
        <w:tc>
          <w:tcPr>
            <w:tcW w:w="2126" w:type="dxa"/>
          </w:tcPr>
          <w:p w14:paraId="114B2777" w14:textId="5564A1E3" w:rsidR="00FF4BD9" w:rsidRPr="00EC3E91" w:rsidRDefault="00FF4BD9" w:rsidP="00A17656">
            <w:pPr>
              <w:rPr>
                <w:rFonts w:cstheme="minorHAnsi"/>
                <w:sz w:val="20"/>
                <w:szCs w:val="20"/>
                <w:lang w:val="en-US"/>
              </w:rPr>
            </w:pPr>
            <w:r w:rsidRPr="00EC3E91">
              <w:rPr>
                <w:rFonts w:cstheme="minorHAnsi"/>
                <w:sz w:val="20"/>
                <w:szCs w:val="20"/>
                <w:lang w:val="en-US"/>
              </w:rPr>
              <w:t>Inappropriate use</w:t>
            </w:r>
          </w:p>
          <w:p w14:paraId="3BC9C5F7" w14:textId="0B35B489" w:rsidR="00FF4BD9" w:rsidRPr="00EC3E91" w:rsidRDefault="00FF4BD9" w:rsidP="00A17656">
            <w:pPr>
              <w:rPr>
                <w:rFonts w:cstheme="minorHAnsi"/>
                <w:sz w:val="20"/>
                <w:szCs w:val="20"/>
                <w:lang w:val="en-US"/>
              </w:rPr>
            </w:pPr>
            <w:r w:rsidRPr="00EC3E91">
              <w:rPr>
                <w:rFonts w:cstheme="minorHAnsi"/>
                <w:sz w:val="20"/>
                <w:szCs w:val="20"/>
                <w:lang w:val="en-US"/>
              </w:rPr>
              <w:t>of antibiotics in primary care settings</w:t>
            </w:r>
          </w:p>
        </w:tc>
        <w:tc>
          <w:tcPr>
            <w:tcW w:w="3969" w:type="dxa"/>
          </w:tcPr>
          <w:p w14:paraId="764AACB5" w14:textId="77777777" w:rsidR="00FF4BD9" w:rsidRPr="00EC3E91" w:rsidRDefault="00FF4BD9" w:rsidP="000524C8">
            <w:pPr>
              <w:rPr>
                <w:rFonts w:cstheme="minorHAnsi"/>
                <w:sz w:val="20"/>
                <w:szCs w:val="20"/>
                <w:lang w:val="en-US"/>
              </w:rPr>
            </w:pPr>
            <w:r w:rsidRPr="00EC3E91">
              <w:rPr>
                <w:rFonts w:cstheme="minorHAnsi"/>
                <w:sz w:val="20"/>
                <w:szCs w:val="20"/>
                <w:lang w:val="en-US"/>
              </w:rPr>
              <w:t>Principles of appropriate</w:t>
            </w:r>
          </w:p>
          <w:p w14:paraId="3140990B" w14:textId="638F6E6F" w:rsidR="00FF4BD9" w:rsidRPr="00EC3E91" w:rsidRDefault="00FF4BD9" w:rsidP="00A17656">
            <w:pPr>
              <w:rPr>
                <w:rFonts w:cstheme="minorHAnsi"/>
                <w:sz w:val="20"/>
                <w:szCs w:val="20"/>
                <w:lang w:val="en-US"/>
              </w:rPr>
            </w:pPr>
            <w:r w:rsidRPr="00EC3E91">
              <w:rPr>
                <w:rFonts w:cstheme="minorHAnsi"/>
                <w:sz w:val="20"/>
                <w:szCs w:val="20"/>
                <w:lang w:val="en-US"/>
              </w:rPr>
              <w:t>antibiotic use for treatment of uncomplicated acute bronchitis American Academy of Family Physicians; American College of Physicians–American Society of Internal Medicine; Centers</w:t>
            </w:r>
          </w:p>
          <w:p w14:paraId="163C191C" w14:textId="340671DB" w:rsidR="00FF4BD9" w:rsidRPr="00EC3E91" w:rsidRDefault="00FF4BD9" w:rsidP="000524C8">
            <w:pPr>
              <w:rPr>
                <w:rFonts w:cstheme="minorHAnsi"/>
                <w:sz w:val="20"/>
                <w:szCs w:val="20"/>
                <w:lang w:val="en-US"/>
              </w:rPr>
            </w:pPr>
            <w:r w:rsidRPr="00EC3E91">
              <w:rPr>
                <w:rFonts w:cstheme="minorHAnsi"/>
                <w:sz w:val="20"/>
                <w:szCs w:val="20"/>
                <w:lang w:val="en-US"/>
              </w:rPr>
              <w:t>for Disease Control; Infectious Diseases Society of America.</w:t>
            </w:r>
          </w:p>
          <w:p w14:paraId="03535F85" w14:textId="3093D531" w:rsidR="00FF4BD9" w:rsidRPr="00EC3E91" w:rsidRDefault="00FF4BD9" w:rsidP="000524C8">
            <w:pPr>
              <w:rPr>
                <w:rFonts w:cstheme="minorHAnsi"/>
                <w:sz w:val="20"/>
                <w:szCs w:val="20"/>
                <w:lang w:val="en-US"/>
              </w:rPr>
            </w:pPr>
          </w:p>
          <w:p w14:paraId="19DB3C3F" w14:textId="77777777" w:rsidR="00FF4BD9" w:rsidRPr="00EC3E91" w:rsidRDefault="00FF4BD9" w:rsidP="000524C8">
            <w:pPr>
              <w:rPr>
                <w:rFonts w:cstheme="minorHAnsi"/>
                <w:sz w:val="20"/>
                <w:szCs w:val="20"/>
                <w:lang w:val="en-US"/>
              </w:rPr>
            </w:pPr>
            <w:r w:rsidRPr="00EC3E91">
              <w:rPr>
                <w:rFonts w:cstheme="minorHAnsi"/>
                <w:sz w:val="20"/>
                <w:szCs w:val="20"/>
                <w:lang w:val="en-US"/>
              </w:rPr>
              <w:t>Principles of appropriate antibiotic use for treatment of nonspecific</w:t>
            </w:r>
          </w:p>
          <w:p w14:paraId="46BC69C7" w14:textId="294EECE8" w:rsidR="00FF4BD9" w:rsidRPr="00EC3E91" w:rsidRDefault="00FF4BD9" w:rsidP="00A17656">
            <w:pPr>
              <w:rPr>
                <w:rFonts w:cstheme="minorHAnsi"/>
                <w:sz w:val="20"/>
                <w:szCs w:val="20"/>
                <w:lang w:val="en-US"/>
              </w:rPr>
            </w:pPr>
            <w:r w:rsidRPr="00EC3E91">
              <w:rPr>
                <w:rFonts w:cstheme="minorHAnsi"/>
                <w:sz w:val="20"/>
                <w:szCs w:val="20"/>
                <w:lang w:val="en-US"/>
              </w:rPr>
              <w:t>upper respiratory tract infections in adults. Academy of Family Physicians; Infectious Diseases Society of America; Centers for Disease Control; American College of Physicians–American Society of Internal Medicine.</w:t>
            </w:r>
          </w:p>
        </w:tc>
        <w:tc>
          <w:tcPr>
            <w:tcW w:w="2551" w:type="dxa"/>
          </w:tcPr>
          <w:p w14:paraId="4532C7FE" w14:textId="0EE3DC0A" w:rsidR="00FF4BD9" w:rsidRPr="00EC3E91" w:rsidRDefault="00FF4BD9" w:rsidP="00B205C1">
            <w:pPr>
              <w:rPr>
                <w:rFonts w:cstheme="minorHAnsi"/>
                <w:sz w:val="20"/>
                <w:szCs w:val="20"/>
                <w:lang w:val="en-US"/>
              </w:rPr>
            </w:pPr>
            <w:r w:rsidRPr="00EC3E91">
              <w:rPr>
                <w:rFonts w:cstheme="minorHAnsi"/>
                <w:sz w:val="20"/>
                <w:szCs w:val="20"/>
                <w:lang w:val="en-US"/>
              </w:rPr>
              <w:t>Remind clinicians, make training dynamic, identify and prepare champions, audit and provide feedback, develop educational materials.</w:t>
            </w:r>
          </w:p>
        </w:tc>
      </w:tr>
      <w:tr w:rsidR="00FF4BD9" w:rsidRPr="00E119DD" w14:paraId="3A999C73" w14:textId="77777777" w:rsidTr="00FF4BD9">
        <w:trPr>
          <w:tblHeader/>
        </w:trPr>
        <w:tc>
          <w:tcPr>
            <w:tcW w:w="709" w:type="dxa"/>
          </w:tcPr>
          <w:p w14:paraId="53F063E8" w14:textId="33DF3033" w:rsidR="00FF4BD9" w:rsidRPr="00EC3E91" w:rsidRDefault="00FF4BD9" w:rsidP="00B205C1">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{"citationItems":[{"id":"ITEM-1","itemData":{"abstract":"BACKGROUND: Acid suppression therapy (AST) is commonly overprescribed in hospitalised patients. This indiscriminate use increases cost and drug-related side effects. Minimal data is available on interventions aimed at reducing the burden of overprescription. The aim of our study was to evaluate the impact of education and medication reconciliation forms use on admission as well as discharge, on AST overuse in hospitalised patients. METHODS: A retrospective chart review of randomly selected patients admitted to the general medicine service at University of Florida Health Science Center/Jacksonville was performed prior to and after the introduction of interventions (education/medication reconciliation) aimed at reducing AST overuse. The percentage of patients started on inappropriate AST, the admitting diagnosis, indications for starting AST and discharge on these medications was compared in the pre and postintervention groups. RESULTS: Acid suppression therapy use declined from 70% (279/400) in the preintervention period to 37% (100/270) postintervention (p &lt; 0.001). There was a reduction in inappropriate prescriptions from 51% (204/400) pre to 22% (60/270) postintervention (p &lt; 0.02). Stress ulcer prophylaxis in low-risk patients or the concomitant use of ulcerogenic drugs continued to motivate inappropriate AST therapy in most patients. Postintervention, only 20% (12/60) of patients were discharged on unneeded AST compared with 69% (140/204) in the preintervention group (p &lt; 0.001). CONCLUSION: Interventions consisting of education and use of medication reconciliation forms decreased inappropriate prescription of AST on admission and discharge. This can significantly decrease cost to the healthcare system and the risk of drug interactions.","author":[{"dropping-particle":"","family":"Gupta","given":"R","non-dropping-particle":"","parse-names":false,"suffix":""},{"dropping-particle":"","family":"Marshall","given":"J","non-dropping-particle":"","parse-names":false,"suffix":""},{"dropping-particle":"","family":"Munoz","given":"J C","non-dropping-particle":"","parse-names":false,"suffix":""},{"dropping-particle":"","family":"Kottoor","given":"R","non-dropping-particle":"","parse-names":false,"suffix":""},{"dropping-particle":"","family":"Jamal","given":"M M","non-dropping-particle":"","parse-names":false,"suffix":""},{"dropping-particle":"","family":"Vega","given":"K J","non-dropping-particle":"","parse-names":false,"suffix":""}],"container-title":"International Journal of Clinical Practice","id":"ITEM-1","issue":"1","issued":{"date-parts":[["2013"]]},"page":"60-65","title":"Decreased acid suppression therapy overuse after education and medication reconciliation","type":"article-journal","volume":"67"},"uris":["http://www.mendeley.com/documents/?uuid=7a0423d3-8f0c-4e06-87a5-bb8547305449"]}],"mendeley":{"formattedCitation":"(31)","plainTextFormattedCitation":"(31)","previouslyFormattedCitation":"(31)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(31)</w:t>
            </w:r>
            <w:r w:rsidRPr="00EC3E91">
              <w:rPr>
                <w:rFonts w:cstheme="minorHAnsi"/>
                <w:sz w:val="20"/>
                <w:szCs w:val="20"/>
                <w:lang w:val="en-US"/>
              </w:rPr>
              <w:fldChar w:fldCharType="end"/>
            </w:r>
          </w:p>
        </w:tc>
        <w:tc>
          <w:tcPr>
            <w:tcW w:w="992" w:type="dxa"/>
          </w:tcPr>
          <w:p w14:paraId="4835A887" w14:textId="0B1CD8B1" w:rsidR="00FF4BD9" w:rsidRPr="00EC3E91" w:rsidRDefault="00FF4BD9" w:rsidP="00B205C1">
            <w:pPr>
              <w:rPr>
                <w:rFonts w:cstheme="minorHAnsi"/>
                <w:sz w:val="20"/>
                <w:szCs w:val="20"/>
                <w:lang w:val="en-US"/>
              </w:rPr>
            </w:pPr>
            <w:r w:rsidRPr="00EC3E91">
              <w:rPr>
                <w:rFonts w:cstheme="minorHAnsi"/>
                <w:sz w:val="20"/>
                <w:szCs w:val="20"/>
                <w:lang w:val="en-US"/>
              </w:rPr>
              <w:t>US</w:t>
            </w:r>
          </w:p>
        </w:tc>
        <w:tc>
          <w:tcPr>
            <w:tcW w:w="993" w:type="dxa"/>
          </w:tcPr>
          <w:p w14:paraId="4D8F1670" w14:textId="793462FF" w:rsidR="00FF4BD9" w:rsidRPr="00EC3E91" w:rsidRDefault="00FF4BD9" w:rsidP="00B205C1">
            <w:pPr>
              <w:rPr>
                <w:rFonts w:cstheme="minorHAnsi"/>
                <w:sz w:val="20"/>
                <w:szCs w:val="20"/>
                <w:lang w:val="en-US"/>
              </w:rPr>
            </w:pPr>
            <w:r w:rsidRPr="00EC3E91">
              <w:rPr>
                <w:rFonts w:cstheme="minorHAnsi"/>
                <w:sz w:val="20"/>
                <w:szCs w:val="20"/>
                <w:lang w:val="en-US"/>
              </w:rPr>
              <w:t>Hospital</w:t>
            </w:r>
          </w:p>
        </w:tc>
        <w:tc>
          <w:tcPr>
            <w:tcW w:w="850" w:type="dxa"/>
          </w:tcPr>
          <w:p w14:paraId="055CA6E6" w14:textId="07C5C235" w:rsidR="00FF4BD9" w:rsidRPr="00EC3E91" w:rsidRDefault="00FF4BD9" w:rsidP="00B205C1">
            <w:pPr>
              <w:rPr>
                <w:rFonts w:cstheme="minorHAnsi"/>
                <w:sz w:val="20"/>
                <w:szCs w:val="20"/>
                <w:lang w:val="en-US"/>
              </w:rPr>
            </w:pPr>
            <w:r w:rsidRPr="00EC3E91">
              <w:rPr>
                <w:rFonts w:cstheme="minorHAnsi"/>
                <w:sz w:val="20"/>
                <w:szCs w:val="20"/>
                <w:lang w:val="en-US"/>
              </w:rPr>
              <w:t>Quant pre-post</w:t>
            </w:r>
          </w:p>
        </w:tc>
        <w:tc>
          <w:tcPr>
            <w:tcW w:w="851" w:type="dxa"/>
          </w:tcPr>
          <w:p w14:paraId="4E7B81B9" w14:textId="1EEA7C9C" w:rsidR="00FF4BD9" w:rsidRPr="00EC3E91" w:rsidRDefault="00FF4BD9" w:rsidP="00B205C1">
            <w:pPr>
              <w:rPr>
                <w:rFonts w:cstheme="minorHAnsi"/>
                <w:sz w:val="20"/>
                <w:szCs w:val="20"/>
                <w:lang w:val="en-US"/>
              </w:rPr>
            </w:pPr>
            <w:r w:rsidRPr="00EC3E91">
              <w:rPr>
                <w:rFonts w:cstheme="minorHAnsi"/>
                <w:sz w:val="20"/>
                <w:szCs w:val="20"/>
                <w:lang w:val="en-US"/>
              </w:rPr>
              <w:t>Efficacy/Effectiveness</w:t>
            </w:r>
          </w:p>
        </w:tc>
        <w:tc>
          <w:tcPr>
            <w:tcW w:w="1134" w:type="dxa"/>
          </w:tcPr>
          <w:p w14:paraId="732C6A93" w14:textId="055A5AA8" w:rsidR="00FF4BD9" w:rsidRPr="00EC3E91" w:rsidRDefault="00FF4BD9" w:rsidP="00B205C1">
            <w:pPr>
              <w:rPr>
                <w:rFonts w:cstheme="minorHAnsi"/>
                <w:sz w:val="20"/>
                <w:szCs w:val="20"/>
                <w:lang w:val="en-US"/>
              </w:rPr>
            </w:pPr>
            <w:r w:rsidRPr="00EC3E91">
              <w:rPr>
                <w:rFonts w:cstheme="minorHAnsi"/>
                <w:sz w:val="20"/>
                <w:szCs w:val="20"/>
                <w:lang w:val="en-US"/>
              </w:rPr>
              <w:t>Acid suppression medication</w:t>
            </w:r>
          </w:p>
        </w:tc>
        <w:tc>
          <w:tcPr>
            <w:tcW w:w="2126" w:type="dxa"/>
          </w:tcPr>
          <w:p w14:paraId="0A01777A" w14:textId="0D830CB5" w:rsidR="00FF4BD9" w:rsidRPr="00EC3E91" w:rsidRDefault="00746D40" w:rsidP="00B205C1">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prescription of </w:t>
            </w:r>
            <w:r w:rsidR="00865564" w:rsidRPr="00EC3E91">
              <w:rPr>
                <w:rFonts w:cstheme="minorHAnsi"/>
                <w:sz w:val="20"/>
                <w:szCs w:val="20"/>
                <w:lang w:val="en-US"/>
              </w:rPr>
              <w:t xml:space="preserve">Acid </w:t>
            </w:r>
            <w:r w:rsidR="00E12E20" w:rsidRPr="00EC3E91">
              <w:rPr>
                <w:rFonts w:cstheme="minorHAnsi"/>
                <w:sz w:val="20"/>
                <w:szCs w:val="20"/>
                <w:lang w:val="en-US"/>
              </w:rPr>
              <w:t>suppression medications</w:t>
            </w:r>
            <w:r w:rsidR="00FF4BD9" w:rsidRPr="00EC3E91">
              <w:rPr>
                <w:rFonts w:cstheme="minorHAnsi"/>
                <w:sz w:val="20"/>
                <w:szCs w:val="20"/>
                <w:lang w:val="en-US"/>
              </w:rPr>
              <w:t xml:space="preserve"> (AST)</w:t>
            </w:r>
          </w:p>
        </w:tc>
        <w:tc>
          <w:tcPr>
            <w:tcW w:w="3969" w:type="dxa"/>
          </w:tcPr>
          <w:p w14:paraId="75513059" w14:textId="3F1FEBF6" w:rsidR="00FF4BD9" w:rsidRPr="00EC3E91" w:rsidRDefault="00FF4BD9" w:rsidP="000524C8">
            <w:pPr>
              <w:rPr>
                <w:rFonts w:cstheme="minorHAnsi"/>
                <w:sz w:val="20"/>
                <w:szCs w:val="20"/>
                <w:lang w:val="en-US"/>
              </w:rPr>
            </w:pPr>
            <w:r w:rsidRPr="00EC3E91">
              <w:rPr>
                <w:rFonts w:cstheme="minorHAnsi"/>
                <w:sz w:val="20"/>
                <w:szCs w:val="20"/>
                <w:lang w:val="en-US"/>
              </w:rPr>
              <w:t>ASHP therapeutic guidelines on stress ulcer pro-phylaxis. American Society of Health System Pharmacists</w:t>
            </w:r>
          </w:p>
        </w:tc>
        <w:tc>
          <w:tcPr>
            <w:tcW w:w="2551" w:type="dxa"/>
          </w:tcPr>
          <w:p w14:paraId="46B8CCE7" w14:textId="6001F75A" w:rsidR="00FF4BD9" w:rsidRPr="00EC3E91" w:rsidRDefault="00FF4BD9" w:rsidP="00B205C1">
            <w:pPr>
              <w:rPr>
                <w:rFonts w:cstheme="minorHAnsi"/>
                <w:sz w:val="20"/>
                <w:szCs w:val="20"/>
                <w:lang w:val="en-US"/>
              </w:rPr>
            </w:pPr>
            <w:r w:rsidRPr="00EC3E91">
              <w:rPr>
                <w:rFonts w:cstheme="minorHAnsi"/>
                <w:sz w:val="20"/>
                <w:szCs w:val="20"/>
                <w:lang w:val="en-US"/>
              </w:rPr>
              <w:t>conduct educational meetings, develop and organize quality monitoring systems</w:t>
            </w:r>
          </w:p>
        </w:tc>
      </w:tr>
      <w:tr w:rsidR="00FF4BD9" w:rsidRPr="00E119DD" w14:paraId="5956771F" w14:textId="77777777" w:rsidTr="00FF4BD9">
        <w:trPr>
          <w:tblHeader/>
        </w:trPr>
        <w:tc>
          <w:tcPr>
            <w:tcW w:w="709" w:type="dxa"/>
          </w:tcPr>
          <w:p w14:paraId="3213BC26" w14:textId="2BA8F9CE"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Antibiotic overuse in the primary care setting is common. Our objective was to evaluate the effect of a clinical pathway-based intervention on antibiotic use. METHODS: Eight primary care clinics were randomized to receive clinical pathways for upper respiratory infection, acute bronchitis, acute rhinosinusitis, pharyngitis, acute otitis media, urinary tract infection, skin infections, and pneumonia and patient education materials (study group) versus no intervention (control group). Generalized linear mixed effects models were used to assess trends in antibiotic prescriptions for non-pneumonia acute respiratory infections and broad-spectrum antibiotic use for all 8 conditions during a 2-year baseline and 1-year intervention period. RESULTS: In the study group, antibiotic prescriptions for non-pneumonia acute respiratory infections decreased from 42.7% of cases at baseline to 37.9% during the intervention period (11.2% relative reduction) (P&lt;.0001) and from 39.8% to 38.7%, respectively, in the control group (2.8% relative reduction) (P=.25). Overall use of broad-spectrum antibiotics in the study group decreased from 26.4% to 22.6% of cases, respectively (14.4% relative reduction) (P&lt;.0001) and from 20.0% to 19.4%, respectively, in the control group (3.0% relative reduction) (P=.35). There were significant differences in the trends of prescriptions for acute respiratory infections (P&lt;.0001) and broad-spectrum antibiotic use (P=.001) between the study and control groups during the intervention period, with greater declines in the study group. CONCLUSIONS: This intervention was associated with declining antibiotic prescriptions for non-pneumonia acute respiratory infections and use of broad-spectrum antibiotics over the first year. Evaluation of the impact over a longer study period is warranted.","author":[{"dropping-particle":"","family":"Jenkins","given":"T C","non-dropping-particle":"","parse-names":false,"suffix":""},{"dropping-particle":"","family":"Irwin","given":"A","non-dropping-particle":"","parse-names":false,"suffix":""},{"dropping-particle":"","family":"Coombs","given":"L","non-dropping-particle":"","parse-names":false,"suffix":""},{"dropping-particle":"","family":"Dealleaume","given":"L","non-dropping-particle":"","parse-names":false,"suffix":""},{"dropping-particle":"","family":"Ross","given":"S E","non-dropping-particle":"","parse-names":false,"suffix":""},{"dropping-particle":"","family":"Rozwadowski","given":"J","non-dropping-particle":"","parse-names":false,"suffix":""},{"dropping-particle":"","family":"Webster","given":"B","non-dropping-particle":"","parse-names":false,"suffix":""},{"dropping-particle":"","family":"Dickinson","given":"L M","non-dropping-particle":"","parse-names":false,"suffix":""},{"dropping-particle":"","family":"Sabel","given":"A L","non-dropping-particle":"","parse-names":false,"suffix":""},{"dropping-particle":"","family":"Mackenzie","given":"T D","non-dropping-particle":"","parse-names":false,"suffix":""},{"dropping-particle":"","family":"West","given":"D R","non-dropping-particle":"","parse-names":false,"suffix":""},{"dropping-particle":"","family":"Price","given":"C S","non-dropping-particle":"","parse-names":false,"suffix":""}],"container-title":"American Journal of Medicine","id":"ITEM-1","issue":"4","issued":{"date-parts":[["2013"]]},"page":"327-335.e12","title":"Effects of clinical pathways for common outpatient infections on antibiotic prescribing","type":"article-journal","volume":"126"},"uris":["http://www.mendeley.com/documents/?uuid=72226cf8-f574-4e01-b717-4de701e9032c"]}],"mendeley":{"formattedCitation":"(32)","plainTextFormattedCitation":"(32)","previouslyFormattedCitation":"(32)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(32)</w:t>
            </w:r>
            <w:r w:rsidRPr="00EC3E91">
              <w:rPr>
                <w:rFonts w:cstheme="minorHAnsi"/>
                <w:sz w:val="20"/>
                <w:szCs w:val="20"/>
                <w:lang w:val="en-US"/>
              </w:rPr>
              <w:fldChar w:fldCharType="end"/>
            </w:r>
          </w:p>
        </w:tc>
        <w:tc>
          <w:tcPr>
            <w:tcW w:w="992" w:type="dxa"/>
          </w:tcPr>
          <w:p w14:paraId="3A25C583" w14:textId="3EA4F553" w:rsidR="00FF4BD9" w:rsidRPr="00EC3E91" w:rsidRDefault="00FF4BD9" w:rsidP="00B205C1">
            <w:pPr>
              <w:rPr>
                <w:rFonts w:cstheme="minorHAnsi"/>
                <w:sz w:val="20"/>
                <w:szCs w:val="20"/>
                <w:lang w:val="en-US"/>
              </w:rPr>
            </w:pPr>
            <w:r w:rsidRPr="00EC3E91">
              <w:rPr>
                <w:rFonts w:cstheme="minorHAnsi"/>
                <w:sz w:val="20"/>
                <w:szCs w:val="20"/>
                <w:lang w:val="en-US"/>
              </w:rPr>
              <w:t>US</w:t>
            </w:r>
          </w:p>
        </w:tc>
        <w:tc>
          <w:tcPr>
            <w:tcW w:w="993" w:type="dxa"/>
          </w:tcPr>
          <w:p w14:paraId="561705E9" w14:textId="793BB152" w:rsidR="00FF4BD9" w:rsidRPr="00EC3E91" w:rsidRDefault="00FF4BD9" w:rsidP="00B205C1">
            <w:pPr>
              <w:rPr>
                <w:rFonts w:cstheme="minorHAnsi"/>
                <w:sz w:val="20"/>
                <w:szCs w:val="20"/>
                <w:lang w:val="en-US"/>
              </w:rPr>
            </w:pPr>
            <w:r w:rsidRPr="00EC3E91">
              <w:rPr>
                <w:rFonts w:cstheme="minorHAnsi"/>
                <w:sz w:val="20"/>
                <w:szCs w:val="20"/>
                <w:lang w:val="en-US"/>
              </w:rPr>
              <w:t>Primary care</w:t>
            </w:r>
          </w:p>
        </w:tc>
        <w:tc>
          <w:tcPr>
            <w:tcW w:w="850" w:type="dxa"/>
          </w:tcPr>
          <w:p w14:paraId="4C4A94E2" w14:textId="64B80D91" w:rsidR="00FF4BD9" w:rsidRPr="00EC3E91" w:rsidRDefault="00FF4BD9" w:rsidP="00B205C1">
            <w:pPr>
              <w:rPr>
                <w:rFonts w:cstheme="minorHAnsi"/>
                <w:sz w:val="20"/>
                <w:szCs w:val="20"/>
                <w:lang w:val="en-US"/>
              </w:rPr>
            </w:pPr>
            <w:r w:rsidRPr="00EC3E91">
              <w:rPr>
                <w:rFonts w:cstheme="minorHAnsi"/>
                <w:sz w:val="20"/>
                <w:szCs w:val="20"/>
                <w:lang w:val="en-US"/>
              </w:rPr>
              <w:t>Quant Quasi-experimental</w:t>
            </w:r>
          </w:p>
        </w:tc>
        <w:tc>
          <w:tcPr>
            <w:tcW w:w="851" w:type="dxa"/>
          </w:tcPr>
          <w:p w14:paraId="643E88C0" w14:textId="0F4E188A" w:rsidR="00FF4BD9" w:rsidRPr="00EC3E91" w:rsidRDefault="00FF4BD9" w:rsidP="00B205C1">
            <w:pPr>
              <w:rPr>
                <w:rFonts w:cstheme="minorHAnsi"/>
                <w:sz w:val="20"/>
                <w:szCs w:val="20"/>
                <w:lang w:val="en-US"/>
              </w:rPr>
            </w:pPr>
            <w:r w:rsidRPr="00EC3E91">
              <w:rPr>
                <w:rFonts w:cstheme="minorHAnsi"/>
                <w:sz w:val="20"/>
                <w:szCs w:val="20"/>
                <w:lang w:val="en-US"/>
              </w:rPr>
              <w:t>Efficacy/Effectiveness</w:t>
            </w:r>
          </w:p>
        </w:tc>
        <w:tc>
          <w:tcPr>
            <w:tcW w:w="1134" w:type="dxa"/>
          </w:tcPr>
          <w:p w14:paraId="4E11281B" w14:textId="69E39740" w:rsidR="00FF4BD9" w:rsidRPr="00EC3E91" w:rsidRDefault="00FF4BD9" w:rsidP="00B205C1">
            <w:pPr>
              <w:rPr>
                <w:rFonts w:cstheme="minorHAnsi"/>
                <w:sz w:val="20"/>
                <w:szCs w:val="20"/>
                <w:lang w:val="en-US"/>
              </w:rPr>
            </w:pPr>
            <w:r w:rsidRPr="00EC3E91">
              <w:rPr>
                <w:rFonts w:cstheme="minorHAnsi"/>
                <w:sz w:val="20"/>
                <w:szCs w:val="20"/>
                <w:lang w:val="en-US"/>
              </w:rPr>
              <w:t>Antibiotics</w:t>
            </w:r>
          </w:p>
        </w:tc>
        <w:tc>
          <w:tcPr>
            <w:tcW w:w="2126" w:type="dxa"/>
          </w:tcPr>
          <w:p w14:paraId="03A0FEED" w14:textId="77777777" w:rsidR="00FF4BD9" w:rsidRPr="00EC3E91" w:rsidRDefault="00FF4BD9" w:rsidP="00A653B2">
            <w:pPr>
              <w:rPr>
                <w:rFonts w:cstheme="minorHAnsi"/>
                <w:sz w:val="20"/>
                <w:szCs w:val="20"/>
                <w:lang w:val="en-US"/>
              </w:rPr>
            </w:pPr>
            <w:r w:rsidRPr="00EC3E91">
              <w:rPr>
                <w:rFonts w:cstheme="minorHAnsi"/>
                <w:sz w:val="20"/>
                <w:szCs w:val="20"/>
                <w:lang w:val="en-US"/>
              </w:rPr>
              <w:t>Inappropriate use</w:t>
            </w:r>
          </w:p>
          <w:p w14:paraId="033C8567" w14:textId="52607362" w:rsidR="00FF4BD9" w:rsidRPr="00EC3E91" w:rsidRDefault="00FF4BD9" w:rsidP="00A653B2">
            <w:pPr>
              <w:rPr>
                <w:rFonts w:cstheme="minorHAnsi"/>
                <w:sz w:val="20"/>
                <w:szCs w:val="20"/>
                <w:lang w:val="en-US"/>
              </w:rPr>
            </w:pPr>
            <w:r w:rsidRPr="00EC3E91">
              <w:rPr>
                <w:rFonts w:cstheme="minorHAnsi"/>
                <w:sz w:val="20"/>
                <w:szCs w:val="20"/>
                <w:lang w:val="en-US"/>
              </w:rPr>
              <w:t>of antibiotics in primary care settings</w:t>
            </w:r>
          </w:p>
        </w:tc>
        <w:tc>
          <w:tcPr>
            <w:tcW w:w="3969" w:type="dxa"/>
          </w:tcPr>
          <w:p w14:paraId="43D681FB" w14:textId="005F26FC" w:rsidR="00FF4BD9" w:rsidRPr="00EC3E91" w:rsidRDefault="00FF4BD9" w:rsidP="008D78F3">
            <w:pPr>
              <w:rPr>
                <w:rFonts w:cstheme="minorHAnsi"/>
                <w:sz w:val="20"/>
                <w:szCs w:val="20"/>
                <w:lang w:val="en-US"/>
              </w:rPr>
            </w:pPr>
            <w:r w:rsidRPr="00EC3E91">
              <w:rPr>
                <w:rFonts w:cstheme="minorHAnsi"/>
                <w:sz w:val="20"/>
                <w:szCs w:val="20"/>
                <w:lang w:val="en-US"/>
              </w:rPr>
              <w:t>Antibiotic prescribing and use. Centers for Disease Control and Prevention.</w:t>
            </w:r>
          </w:p>
        </w:tc>
        <w:tc>
          <w:tcPr>
            <w:tcW w:w="2551" w:type="dxa"/>
          </w:tcPr>
          <w:p w14:paraId="1745518E" w14:textId="02E45DA7" w:rsidR="00FF4BD9" w:rsidRPr="00EC3E91" w:rsidRDefault="00FF4BD9" w:rsidP="00B205C1">
            <w:pPr>
              <w:rPr>
                <w:rFonts w:cstheme="minorHAnsi"/>
                <w:sz w:val="20"/>
                <w:szCs w:val="20"/>
                <w:lang w:val="en-US"/>
              </w:rPr>
            </w:pPr>
            <w:r w:rsidRPr="00EC3E91">
              <w:rPr>
                <w:rFonts w:cstheme="minorHAnsi"/>
                <w:sz w:val="20"/>
                <w:szCs w:val="20"/>
                <w:lang w:val="en-US"/>
              </w:rPr>
              <w:t>Assess and redesign workflow, develop educational materials</w:t>
            </w:r>
          </w:p>
        </w:tc>
      </w:tr>
      <w:tr w:rsidR="00FF4BD9" w:rsidRPr="00E119DD" w14:paraId="06AC0BA3" w14:textId="77777777" w:rsidTr="00FF4BD9">
        <w:trPr>
          <w:tblHeader/>
        </w:trPr>
        <w:tc>
          <w:tcPr>
            <w:tcW w:w="709" w:type="dxa"/>
          </w:tcPr>
          <w:p w14:paraId="6524C57D" w14:textId="0E5B75CB"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{"citationItems":[{"id":"ITEM-1","itemData":{"DOI":"10.1542/peds.2012-1427m","ISSN":"00314005","abstract":"OBJECTIVE: Recent practice guidelines from the American Academy of Pediatrics recommend limiting use of bronchodilators, corticosteroids, antibiotics, and diagnostic testing for patients with bronchiolitis. We sought to determine the association of the evidence-based guidelines with bronchiolitis care in the emergency department (ED). METHODS: We analyzed data from the National Hospital Ambulatory Medical Care Survey, a nationally representative sample of ED visits. We compared utilization for patient visits before and after the publication of the guidelines. We used logistic regression to determine the association of the availability of the guidelines with resource utilization. RESULTS: Bronchodilators were used in 53.8% of patient visits with no differences noted after the introduction of the guidelines (53.6% vs 54.2%, P = .91). Systemic steroids were used in 20.4% of patient visits, and antibiotics were given in 33.2% of visits. There were no changes in the frequency of corticosteroid (21.9% vs 17.8%, P = .31) or antibiotic (33.6% vs 29.7%, P = .51) use. There was an associated decrease in use of chest x-rays (65.3% vs 48.6%, P = .005). This association remained significant after adjusting for patient and hospital characteristics with an adjusted odds ratio of 0.41 (95% confidence interval 0.26-0.67). CONCLUSIONS: For patients seen in the ED with bronchiolitis, utilization of diagnostic imaging has decreased with the availability of the American Academy of Pediatrics practice guidelines. However, there has not been an associated decrease in use of nonrecommended therapies. Targeted efforts will likely be required to change practice significantly.","author":[{"dropping-particle":"","family":"Johnson","given":"Lara W.","non-dropping-particle":"","parse-names":false,"suffix":""},{"dropping-particle":"","family":"Robles","given":"Janie","non-dropping-particle":"","parse-names":false,"suffix":""},{"dropping-particle":"","family":"Hudgins","given":"Amanda","non-dropping-particle":"","parse-names":false,"suffix":""},{"dropping-particle":"","family":"Osburn","given":"Shea","non-dropping-particle":"","parse-names":false,"suffix":""},{"dropping-particle":"","family":"Martin","given":"Devona","non-dropping-particle":"","parse-names":false,"suffix":""},{"dropping-particle":"","family":"Thompson","given":"Amy","non-dropping-particle":"","parse-names":false,"suffix":""}],"container-title":"Pediatrics","id":"ITEM-1","issue":"SUPPL.1","issued":{"date-parts":[["2013"]]},"page":"S103-9","title":"Management of bronchiolitis in the emergency department: impact of evidence-based guidelines?","type":"article-journal","volume":"131"},"uris":["http://www.mendeley.com/documents/?uuid=f0ab99c4-307b-45e4-be14-3a68265747c5"]}],"mendeley":{"formattedCitation":"(33)","plainTextFormattedCitation":"(33)","previouslyFormattedCitation":"(33)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(33)</w:t>
            </w:r>
            <w:r w:rsidRPr="00EC3E91">
              <w:rPr>
                <w:rFonts w:cstheme="minorHAnsi"/>
                <w:sz w:val="20"/>
                <w:szCs w:val="20"/>
                <w:lang w:val="en-US"/>
              </w:rPr>
              <w:fldChar w:fldCharType="end"/>
            </w:r>
          </w:p>
        </w:tc>
        <w:tc>
          <w:tcPr>
            <w:tcW w:w="992" w:type="dxa"/>
          </w:tcPr>
          <w:p w14:paraId="4EB93576" w14:textId="4F64D7EC" w:rsidR="00FF4BD9" w:rsidRPr="00EC3E91" w:rsidRDefault="00FF4BD9" w:rsidP="00B205C1">
            <w:pPr>
              <w:rPr>
                <w:rFonts w:cstheme="minorHAnsi"/>
                <w:sz w:val="20"/>
                <w:szCs w:val="20"/>
                <w:lang w:val="en-US"/>
              </w:rPr>
            </w:pPr>
            <w:r w:rsidRPr="00EC3E91">
              <w:rPr>
                <w:rFonts w:cstheme="minorHAnsi"/>
                <w:sz w:val="20"/>
                <w:szCs w:val="20"/>
                <w:lang w:val="en-US"/>
              </w:rPr>
              <w:t>US</w:t>
            </w:r>
          </w:p>
        </w:tc>
        <w:tc>
          <w:tcPr>
            <w:tcW w:w="993" w:type="dxa"/>
          </w:tcPr>
          <w:p w14:paraId="3244BCAB" w14:textId="35B75C32" w:rsidR="00FF4BD9" w:rsidRPr="00EC3E91" w:rsidRDefault="00FF4BD9" w:rsidP="00B205C1">
            <w:pPr>
              <w:rPr>
                <w:rFonts w:cstheme="minorHAnsi"/>
                <w:sz w:val="20"/>
                <w:szCs w:val="20"/>
                <w:lang w:val="en-US"/>
              </w:rPr>
            </w:pPr>
            <w:r w:rsidRPr="00EC3E91">
              <w:rPr>
                <w:rFonts w:cstheme="minorHAnsi"/>
                <w:sz w:val="20"/>
                <w:szCs w:val="20"/>
                <w:lang w:val="en-US"/>
              </w:rPr>
              <w:t xml:space="preserve">Hospital </w:t>
            </w:r>
          </w:p>
        </w:tc>
        <w:tc>
          <w:tcPr>
            <w:tcW w:w="850" w:type="dxa"/>
          </w:tcPr>
          <w:p w14:paraId="1206CCEE" w14:textId="71F7F717" w:rsidR="00FF4BD9" w:rsidRPr="00EC3E91" w:rsidRDefault="00FF4BD9" w:rsidP="00B205C1">
            <w:pPr>
              <w:rPr>
                <w:rFonts w:cstheme="minorHAnsi"/>
                <w:sz w:val="20"/>
                <w:szCs w:val="20"/>
                <w:lang w:val="en-US"/>
              </w:rPr>
            </w:pPr>
            <w:r w:rsidRPr="00EC3E91">
              <w:rPr>
                <w:rFonts w:cstheme="minorHAnsi"/>
                <w:sz w:val="20"/>
                <w:szCs w:val="20"/>
                <w:lang w:val="en-US"/>
              </w:rPr>
              <w:t>Quant longitudinal</w:t>
            </w:r>
          </w:p>
        </w:tc>
        <w:tc>
          <w:tcPr>
            <w:tcW w:w="851" w:type="dxa"/>
          </w:tcPr>
          <w:p w14:paraId="29F09403" w14:textId="1E4E883F" w:rsidR="00FF4BD9" w:rsidRPr="00EC3E91" w:rsidRDefault="00FF4BD9" w:rsidP="00B205C1">
            <w:pPr>
              <w:rPr>
                <w:rFonts w:cstheme="minorHAnsi"/>
                <w:sz w:val="20"/>
                <w:szCs w:val="20"/>
                <w:lang w:val="en-US"/>
              </w:rPr>
            </w:pPr>
            <w:r w:rsidRPr="00EC3E91">
              <w:rPr>
                <w:rFonts w:cstheme="minorHAnsi"/>
                <w:sz w:val="20"/>
                <w:szCs w:val="20"/>
                <w:lang w:val="en-US"/>
              </w:rPr>
              <w:t>Association</w:t>
            </w:r>
          </w:p>
        </w:tc>
        <w:tc>
          <w:tcPr>
            <w:tcW w:w="1134" w:type="dxa"/>
          </w:tcPr>
          <w:p w14:paraId="0D6B10DB" w14:textId="2247D4CE" w:rsidR="00FF4BD9" w:rsidRPr="00EC3E91" w:rsidRDefault="00FF4BD9" w:rsidP="00B205C1">
            <w:pPr>
              <w:rPr>
                <w:rFonts w:cstheme="minorHAnsi"/>
                <w:sz w:val="20"/>
                <w:szCs w:val="20"/>
                <w:lang w:val="en-US"/>
              </w:rPr>
            </w:pPr>
            <w:r w:rsidRPr="00EC3E91">
              <w:rPr>
                <w:rFonts w:cstheme="minorHAnsi"/>
                <w:sz w:val="20"/>
                <w:szCs w:val="20"/>
                <w:lang w:val="en-US"/>
              </w:rPr>
              <w:t xml:space="preserve">Antibiotics </w:t>
            </w:r>
          </w:p>
        </w:tc>
        <w:tc>
          <w:tcPr>
            <w:tcW w:w="2126" w:type="dxa"/>
          </w:tcPr>
          <w:p w14:paraId="5F726C43" w14:textId="328703E2" w:rsidR="00FF4BD9" w:rsidRPr="00EC3E91" w:rsidRDefault="00FF4BD9" w:rsidP="00B205C1">
            <w:pPr>
              <w:rPr>
                <w:rFonts w:cstheme="minorHAnsi"/>
                <w:sz w:val="20"/>
                <w:szCs w:val="20"/>
                <w:lang w:val="en-US"/>
              </w:rPr>
            </w:pPr>
            <w:r w:rsidRPr="00EC3E91">
              <w:rPr>
                <w:rFonts w:cstheme="minorHAnsi"/>
                <w:sz w:val="20"/>
                <w:szCs w:val="20"/>
                <w:lang w:val="en-US"/>
              </w:rPr>
              <w:t xml:space="preserve">Treatment with </w:t>
            </w:r>
            <w:r w:rsidR="00E12E20" w:rsidRPr="00EC3E91">
              <w:rPr>
                <w:rFonts w:cstheme="minorHAnsi"/>
                <w:sz w:val="20"/>
                <w:szCs w:val="20"/>
                <w:lang w:val="en-US"/>
              </w:rPr>
              <w:t>bronchodilators, corticosteroids</w:t>
            </w:r>
            <w:r w:rsidRPr="00EC3E91">
              <w:rPr>
                <w:rFonts w:cstheme="minorHAnsi"/>
                <w:sz w:val="20"/>
                <w:szCs w:val="20"/>
                <w:lang w:val="en-US"/>
              </w:rPr>
              <w:t>, antibiotics, and utilization of chest radiographs "in the management of children with bronchiolitis"</w:t>
            </w:r>
          </w:p>
        </w:tc>
        <w:tc>
          <w:tcPr>
            <w:tcW w:w="3969" w:type="dxa"/>
          </w:tcPr>
          <w:p w14:paraId="43B023DA" w14:textId="218A801F" w:rsidR="00FF4BD9" w:rsidRPr="00EC3E91" w:rsidRDefault="00FF4BD9" w:rsidP="000524C8">
            <w:pPr>
              <w:rPr>
                <w:rFonts w:cstheme="minorHAnsi"/>
                <w:sz w:val="20"/>
                <w:szCs w:val="20"/>
                <w:lang w:val="en-US"/>
              </w:rPr>
            </w:pPr>
            <w:r w:rsidRPr="00EC3E91">
              <w:rPr>
                <w:rFonts w:cstheme="minorHAnsi"/>
                <w:sz w:val="20"/>
                <w:szCs w:val="20"/>
                <w:lang w:val="en-US"/>
              </w:rPr>
              <w:t xml:space="preserve">Diagnosis and Management of Bronchiolitis. </w:t>
            </w:r>
            <w:r w:rsidR="00E12E20" w:rsidRPr="00EC3E91">
              <w:rPr>
                <w:rFonts w:cstheme="minorHAnsi"/>
                <w:sz w:val="20"/>
                <w:szCs w:val="20"/>
                <w:lang w:val="en-US"/>
              </w:rPr>
              <w:t xml:space="preserve">American </w:t>
            </w:r>
            <w:r w:rsidR="009307F3" w:rsidRPr="00EC3E91">
              <w:rPr>
                <w:rFonts w:cstheme="minorHAnsi"/>
                <w:sz w:val="20"/>
                <w:szCs w:val="20"/>
                <w:lang w:val="en-US"/>
              </w:rPr>
              <w:t xml:space="preserve">Academy </w:t>
            </w:r>
            <w:r w:rsidR="008E3BEF" w:rsidRPr="00EC3E91">
              <w:rPr>
                <w:rFonts w:cstheme="minorHAnsi"/>
                <w:sz w:val="20"/>
                <w:szCs w:val="20"/>
                <w:lang w:val="en-US"/>
              </w:rPr>
              <w:t>of Pediatrics</w:t>
            </w:r>
            <w:r w:rsidRPr="00EC3E91">
              <w:rPr>
                <w:rFonts w:cstheme="minorHAnsi"/>
                <w:sz w:val="20"/>
                <w:szCs w:val="20"/>
                <w:lang w:val="en-US"/>
              </w:rPr>
              <w:t xml:space="preserve"> Sub-committee </w:t>
            </w:r>
          </w:p>
        </w:tc>
        <w:tc>
          <w:tcPr>
            <w:tcW w:w="2551" w:type="dxa"/>
          </w:tcPr>
          <w:p w14:paraId="575C300B" w14:textId="1C0EEF13" w:rsidR="00FF4BD9" w:rsidRPr="00EC3E91" w:rsidRDefault="00FF4BD9" w:rsidP="00B205C1">
            <w:pPr>
              <w:rPr>
                <w:rFonts w:cstheme="minorHAnsi"/>
                <w:sz w:val="20"/>
                <w:szCs w:val="20"/>
                <w:lang w:val="en-US"/>
              </w:rPr>
            </w:pPr>
            <w:r w:rsidRPr="00EC3E91">
              <w:rPr>
                <w:rFonts w:cstheme="minorHAnsi"/>
                <w:sz w:val="20"/>
                <w:szCs w:val="20"/>
                <w:lang w:val="en-US"/>
              </w:rPr>
              <w:t>Distribute educational materials</w:t>
            </w:r>
          </w:p>
        </w:tc>
      </w:tr>
      <w:tr w:rsidR="00FF4BD9" w:rsidRPr="00E119DD" w14:paraId="796268E9" w14:textId="77777777" w:rsidTr="00FF4BD9">
        <w:trPr>
          <w:tblHeader/>
        </w:trPr>
        <w:tc>
          <w:tcPr>
            <w:tcW w:w="709" w:type="dxa"/>
          </w:tcPr>
          <w:p w14:paraId="11472670" w14:textId="086DDAC3"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Potentially inappropriate medications (PIMs) are a preventable cause of negative clinical and economic consequences in older people. A range of educational interventions have attempted to address this in the past and have produced mixed results. OBJECTIVE: The objective of this study was to assess the effect of a physician-focused, multi-factorial, quality-improvement intervention on PIM prescribing in older patients in primary care. METHODS: This 3-year, multi-phase, prospective, proof-of-concept project introduced in 2007 was aimed at engaging all 303 general practitioners (GPs) in the Local Health Authority (LHA) of Parma, Italy, to positively influence the quality of prescribing to the entire older outpatient population (those aged at least 65 years) served by these physicians. The intervention focused on increasing GPs' awareness of prescribing for older people and included three key elements: (1) initial dissemination of a developed list of PIMs to always be avoided, along with a list of alternative drugs; (2) annual reviews of PIM incidence data; and (3) educational sessions on PIMs via academic detailing and case study reviews. Quarterly incidence rates of PIM exposure were calculated among all Parma LHA older outpatients who had received a prescription for any medication from their GP in a given quarter. The intervention was assessed by evaluating the changes in these rates between the study baseline (2007 fourth quarter [Q4]) and the end of the study (post-intervention: 2009 Q4). To reduce bias and confounding from background influences that may have acted to reduce PIM incidence rates independent of the intervention, these rate changes were also compared with those drawn from a similar neighbouring LHA over the same time period. RESULTS: Quarterly PIM exposure incidence rates among the older Parma LHA patients declined 31.4 % (7.8 % baseline to 5.3 % post-intervention), compared with 21.6 % in the comparator LHA (7.7 % to 6.1 %). The reduction in rates was significantly greater in the Parma LHA (p &lt; 0.001), where the intervention resulted in 608 older patients (12.4 % of expected) being spared PIM exposure during 2009 Q4. PIM exposure rate reductions for NSAIDs and digoxin were each significantly greater in the Parma LHA than in the comparator LHA. CONCLUSIONS: By reaching out to GPs and maintaining contact with them, this quality intervention appears to have positively impacted physicians' awareness and prescribing behaviour, whi…","author":[{"dropping-particle":"","family":"Keith","given":"S W","non-dropping-particle":"","parse-names":false,"suffix":""},{"dropping-particle":"","family":"Maio","given":"V","non-dropping-particle":"","parse-names":false,"suffix":""},{"dropping-particle":"","family":"Dudash","given":"K","non-dropping-particle":"","parse-names":false,"suffix":""},{"dropping-particle":"","family":"Templin","given":"M","non-dropping-particle":"","parse-names":false,"suffix":""},{"dropping-particle":"","family":"Canale","given":"S","non-dropping-particle":"Del","parse-names":false,"suffix":""}],"container-title":"Drugs &amp; Aging","id":"ITEM-1","issue":"2","issued":{"date-parts":[["2013"]]},"page":"119-127","title":"A physician-focused intervention to reduce potentially inappropriate medication prescribing in older people: a 3-year, Italian, prospective, proof-of-concept study","type":"article-journal","volume":"30"},"uris":["http://www.mendeley.com/documents/?uuid=8a27a733-7cab-4b04-ab91-a926d2c470c1"]}],"mendeley":{"formattedCitation":"(34)","plainTextFormattedCitation":"(34)","previouslyFormattedCitation":"(34)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(34)</w:t>
            </w:r>
            <w:r w:rsidRPr="00EC3E91">
              <w:rPr>
                <w:rFonts w:cstheme="minorHAnsi"/>
                <w:sz w:val="20"/>
                <w:szCs w:val="20"/>
                <w:lang w:val="en-US"/>
              </w:rPr>
              <w:fldChar w:fldCharType="end"/>
            </w:r>
          </w:p>
        </w:tc>
        <w:tc>
          <w:tcPr>
            <w:tcW w:w="992" w:type="dxa"/>
          </w:tcPr>
          <w:p w14:paraId="719A4F55" w14:textId="3D0A098E" w:rsidR="00FF4BD9" w:rsidRPr="00EC3E91" w:rsidRDefault="00FF4BD9" w:rsidP="00B205C1">
            <w:pPr>
              <w:rPr>
                <w:rFonts w:cstheme="minorHAnsi"/>
                <w:sz w:val="20"/>
                <w:szCs w:val="20"/>
                <w:lang w:val="en-US"/>
              </w:rPr>
            </w:pPr>
            <w:r w:rsidRPr="00EC3E91">
              <w:rPr>
                <w:rFonts w:cstheme="minorHAnsi"/>
                <w:sz w:val="20"/>
                <w:szCs w:val="20"/>
                <w:lang w:val="en-US"/>
              </w:rPr>
              <w:t xml:space="preserve">Italy </w:t>
            </w:r>
          </w:p>
        </w:tc>
        <w:tc>
          <w:tcPr>
            <w:tcW w:w="993" w:type="dxa"/>
          </w:tcPr>
          <w:p w14:paraId="47E25602" w14:textId="53186563" w:rsidR="00FF4BD9" w:rsidRPr="00EC3E91" w:rsidRDefault="00FF4BD9" w:rsidP="00B205C1">
            <w:pPr>
              <w:rPr>
                <w:rFonts w:cstheme="minorHAnsi"/>
                <w:sz w:val="20"/>
                <w:szCs w:val="20"/>
                <w:lang w:val="en-US"/>
              </w:rPr>
            </w:pPr>
            <w:r w:rsidRPr="00EC3E91">
              <w:rPr>
                <w:rFonts w:cstheme="minorHAnsi"/>
                <w:sz w:val="20"/>
                <w:szCs w:val="20"/>
                <w:lang w:val="en-US"/>
              </w:rPr>
              <w:t>Primary care</w:t>
            </w:r>
          </w:p>
        </w:tc>
        <w:tc>
          <w:tcPr>
            <w:tcW w:w="850" w:type="dxa"/>
          </w:tcPr>
          <w:p w14:paraId="510A5461" w14:textId="4F16296A" w:rsidR="00FF4BD9" w:rsidRPr="00EC3E91" w:rsidRDefault="00FF4BD9" w:rsidP="00B205C1">
            <w:pPr>
              <w:rPr>
                <w:rFonts w:cstheme="minorHAnsi"/>
                <w:sz w:val="20"/>
                <w:szCs w:val="20"/>
                <w:lang w:val="en-US"/>
              </w:rPr>
            </w:pPr>
            <w:r w:rsidRPr="00EC3E91">
              <w:rPr>
                <w:rFonts w:cstheme="minorHAnsi"/>
                <w:sz w:val="20"/>
                <w:szCs w:val="20"/>
                <w:lang w:val="en-US"/>
              </w:rPr>
              <w:t>Quant quasi-experimental</w:t>
            </w:r>
          </w:p>
        </w:tc>
        <w:tc>
          <w:tcPr>
            <w:tcW w:w="851" w:type="dxa"/>
          </w:tcPr>
          <w:p w14:paraId="1453FC49" w14:textId="23CF077A" w:rsidR="00FF4BD9" w:rsidRPr="00EC3E91" w:rsidRDefault="00FF4BD9" w:rsidP="00B205C1">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75023756" w14:textId="3D93ADCC" w:rsidR="00FF4BD9" w:rsidRPr="00EC3E91" w:rsidRDefault="00FF4BD9" w:rsidP="00B205C1">
            <w:pPr>
              <w:rPr>
                <w:rFonts w:cstheme="minorHAnsi"/>
                <w:sz w:val="20"/>
                <w:szCs w:val="20"/>
                <w:lang w:val="en-US"/>
              </w:rPr>
            </w:pPr>
            <w:r w:rsidRPr="00EC3E91">
              <w:rPr>
                <w:rFonts w:cstheme="minorHAnsi"/>
                <w:sz w:val="20"/>
                <w:szCs w:val="20"/>
                <w:lang w:val="en-US"/>
              </w:rPr>
              <w:t xml:space="preserve">PIM Elderly </w:t>
            </w:r>
          </w:p>
        </w:tc>
        <w:tc>
          <w:tcPr>
            <w:tcW w:w="2126" w:type="dxa"/>
          </w:tcPr>
          <w:p w14:paraId="7111CEA2" w14:textId="7D84745E" w:rsidR="00FF4BD9" w:rsidRPr="00EC3E91" w:rsidRDefault="00FF4BD9" w:rsidP="00B205C1">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5331085F" w14:textId="270ADA60" w:rsidR="00FF4BD9" w:rsidRPr="00EC3E91" w:rsidRDefault="00E12E20" w:rsidP="000524C8">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w:t>
            </w:r>
          </w:p>
        </w:tc>
        <w:tc>
          <w:tcPr>
            <w:tcW w:w="2551" w:type="dxa"/>
          </w:tcPr>
          <w:p w14:paraId="1B1B1787" w14:textId="539805C2" w:rsidR="00FF4BD9" w:rsidRPr="00EC3E91" w:rsidRDefault="00FF4BD9" w:rsidP="00B205C1">
            <w:pPr>
              <w:rPr>
                <w:rFonts w:cstheme="minorHAnsi"/>
                <w:sz w:val="20"/>
                <w:szCs w:val="20"/>
                <w:lang w:val="en-US"/>
              </w:rPr>
            </w:pPr>
            <w:r w:rsidRPr="00EC3E91">
              <w:rPr>
                <w:rFonts w:cstheme="minorHAnsi"/>
                <w:sz w:val="20"/>
                <w:szCs w:val="20"/>
                <w:lang w:val="en-US"/>
              </w:rPr>
              <w:t xml:space="preserve">Distribute educational materials, develop and organize quality monitoring systems, make training dynamic, audit and provide feedback, use advisory boards and workgroups. </w:t>
            </w:r>
          </w:p>
        </w:tc>
      </w:tr>
      <w:tr w:rsidR="00FF4BD9" w:rsidRPr="00E119DD" w14:paraId="7A5DF37E" w14:textId="77777777" w:rsidTr="00FF4BD9">
        <w:trPr>
          <w:tblHeader/>
        </w:trPr>
        <w:tc>
          <w:tcPr>
            <w:tcW w:w="709" w:type="dxa"/>
          </w:tcPr>
          <w:p w14:paraId="4F5FAECD" w14:textId="6EE65ECD" w:rsidR="00FF4BD9" w:rsidRPr="00EC3E91" w:rsidRDefault="00FF4BD9" w:rsidP="00F36A7B">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Antibiotics are often inappropriately prescribed for acute respiratory infections (ARIs). OBJECTIVE: To assess the impact of a clinical decision support system (CDSS) on antibiotic prescribing for ARIs. DESIGN: A two-phase, 27-month demonstration project. SETTING: Nine primary care practices in PPRNet, a practice-based research network whose members use a common electronic health record (EHR). PARTICIPANTS: Thirty-nine providers were included in the project. INTERVENTION: A CDSS was designed as an EHR progress note template. To facilitate CDSS implementation, each practice participated in two to three site visits, sent representatives to two project meetings, and received quarterly performance reports on antibiotic prescribing for ARIs. MAIN OUTCOME MEASURES: 1) Use of antibiotics for inappropriate indications. 2) Use of broad spectrum antibiotics when inappropriate. 3) Use of antibiotics for sinusitis and bronchitis. KEY RESULTS: The CDSS was used 38,592 times during the 27-month intervention; its use was sustained for the study duration. Use of antibiotics for encounters at which diagnoses for which antibiotics are rarely appropriate did not significantly change through the course of the study (estimated 27-month change, 1.57% [95% CI, -5.35%, 8.49%] in adults and -1.89% [95% CI, -9.03%, 5.26%] in children). However, use of broad spectrum antibiotics for ARI encounters improved significantly (estimated 27 month change, -16.30%, [95% CI, -24.81%, -7.79%] in adults and -16.30 [95%CI, -23.29%, -9.31%] in children). Prescribing for bronchitis did not change significantly, but use of broad spectrum antibiotics for sinusitis declined. CONCLUSIONS: This multi-method intervention appears to have had a sustained impact on reducing the use of broad spectrum antibiotics for ARIs. This intervention shows promise for promoting judicious antibiotic use in primary care.","author":[{"dropping-particle":"","family":"Litvin","given":"C B","non-dropping-particle":"","parse-names":false,"suffix":""},{"dropping-particle":"","family":"Ornstein","given":"S M","non-dropping-particle":"","parse-names":false,"suffix":""},{"dropping-particle":"","family":"Wessell","given":"A M","non-dropping-particle":"","parse-names":false,"suffix":""},{"dropping-particle":"","family":"Nemeth","given":"L S","non-dropping-particle":"","parse-names":false,"suffix":""},{"dropping-particle":"","family":"Nietert","given":"P J","non-dropping-particle":"","parse-names":false,"suffix":""}],"container-title":"Journal of General Internal Medicine","id":"ITEM-1","issue":"6","issued":{"date-parts":[["2013"]]},"page":"810-816","title":"Use of an electronic health record clinical decision support tool to improve antibiotic prescribing for acute respiratory infections: the ABX-TRIP study","type":"article-journal","volume":"28"},"uris":["http://www.mendeley.com/documents/?uuid=f5eac423-405f-4080-8f14-8e1d7ccce250"]}],"mendeley":{"formattedCitation":"(35)","plainTextFormattedCitation":"(35)","previouslyFormattedCitation":"(35)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(35)</w:t>
            </w:r>
            <w:r w:rsidRPr="00EC3E91">
              <w:rPr>
                <w:rFonts w:cstheme="minorHAnsi"/>
                <w:sz w:val="20"/>
                <w:szCs w:val="20"/>
                <w:lang w:val="en-US"/>
              </w:rPr>
              <w:fldChar w:fldCharType="end"/>
            </w:r>
          </w:p>
        </w:tc>
        <w:tc>
          <w:tcPr>
            <w:tcW w:w="992" w:type="dxa"/>
          </w:tcPr>
          <w:p w14:paraId="24C1C790" w14:textId="7B95C7BC" w:rsidR="00FF4BD9" w:rsidRPr="00EC3E91" w:rsidRDefault="00FF4BD9" w:rsidP="00B205C1">
            <w:pPr>
              <w:rPr>
                <w:rFonts w:cstheme="minorHAnsi"/>
                <w:sz w:val="20"/>
                <w:szCs w:val="20"/>
                <w:lang w:val="en-US"/>
              </w:rPr>
            </w:pPr>
            <w:r w:rsidRPr="00EC3E91">
              <w:rPr>
                <w:rFonts w:cstheme="minorHAnsi"/>
                <w:sz w:val="20"/>
                <w:szCs w:val="20"/>
                <w:lang w:val="en-US"/>
              </w:rPr>
              <w:t xml:space="preserve">US </w:t>
            </w:r>
          </w:p>
        </w:tc>
        <w:tc>
          <w:tcPr>
            <w:tcW w:w="993" w:type="dxa"/>
          </w:tcPr>
          <w:p w14:paraId="3911B807" w14:textId="5C073A24" w:rsidR="00FF4BD9" w:rsidRPr="00EC3E91" w:rsidRDefault="00FF4BD9" w:rsidP="00B205C1">
            <w:pPr>
              <w:rPr>
                <w:rFonts w:cstheme="minorHAnsi"/>
                <w:sz w:val="20"/>
                <w:szCs w:val="20"/>
                <w:lang w:val="en-US"/>
              </w:rPr>
            </w:pPr>
            <w:r w:rsidRPr="00EC3E91">
              <w:rPr>
                <w:rFonts w:cstheme="minorHAnsi"/>
                <w:sz w:val="20"/>
                <w:szCs w:val="20"/>
                <w:lang w:val="en-US"/>
              </w:rPr>
              <w:t>Primary Care</w:t>
            </w:r>
          </w:p>
        </w:tc>
        <w:tc>
          <w:tcPr>
            <w:tcW w:w="850" w:type="dxa"/>
          </w:tcPr>
          <w:p w14:paraId="77CDC0C7" w14:textId="737D7AD3" w:rsidR="00FF4BD9" w:rsidRPr="00EC3E91" w:rsidRDefault="00FF4BD9" w:rsidP="00B205C1">
            <w:pPr>
              <w:rPr>
                <w:rFonts w:cstheme="minorHAnsi"/>
                <w:sz w:val="20"/>
                <w:szCs w:val="20"/>
                <w:lang w:val="en-US"/>
              </w:rPr>
            </w:pPr>
            <w:r w:rsidRPr="00EC3E91">
              <w:rPr>
                <w:rFonts w:cstheme="minorHAnsi"/>
                <w:sz w:val="20"/>
                <w:szCs w:val="20"/>
                <w:lang w:val="en-US"/>
              </w:rPr>
              <w:t xml:space="preserve">Quant longitudinal </w:t>
            </w:r>
          </w:p>
        </w:tc>
        <w:tc>
          <w:tcPr>
            <w:tcW w:w="851" w:type="dxa"/>
          </w:tcPr>
          <w:p w14:paraId="2B698323" w14:textId="1EF0DBE1" w:rsidR="00FF4BD9" w:rsidRPr="00EC3E91" w:rsidRDefault="00FF4BD9" w:rsidP="00B205C1">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09D89E79" w14:textId="0E7B778B" w:rsidR="00FF4BD9" w:rsidRPr="00EC3E91" w:rsidRDefault="00FF4BD9" w:rsidP="00B205C1">
            <w:pPr>
              <w:rPr>
                <w:rFonts w:cstheme="minorHAnsi"/>
                <w:sz w:val="20"/>
                <w:szCs w:val="20"/>
                <w:lang w:val="en-US"/>
              </w:rPr>
            </w:pPr>
            <w:r w:rsidRPr="00EC3E91">
              <w:rPr>
                <w:rFonts w:cstheme="minorHAnsi"/>
                <w:sz w:val="20"/>
                <w:szCs w:val="20"/>
                <w:lang w:val="en-US"/>
              </w:rPr>
              <w:t>Antibiotics</w:t>
            </w:r>
          </w:p>
        </w:tc>
        <w:tc>
          <w:tcPr>
            <w:tcW w:w="2126" w:type="dxa"/>
          </w:tcPr>
          <w:p w14:paraId="564449BE" w14:textId="2ADAA3A3" w:rsidR="00FF4BD9" w:rsidRPr="00EC3E91" w:rsidRDefault="00FF4BD9" w:rsidP="00B205C1">
            <w:pPr>
              <w:rPr>
                <w:rFonts w:cstheme="minorHAnsi"/>
                <w:sz w:val="20"/>
                <w:szCs w:val="20"/>
                <w:lang w:val="en-US"/>
              </w:rPr>
            </w:pPr>
            <w:r w:rsidRPr="00EC3E91">
              <w:rPr>
                <w:rFonts w:cstheme="minorHAnsi"/>
                <w:sz w:val="20"/>
                <w:szCs w:val="20"/>
                <w:lang w:val="en-US"/>
              </w:rPr>
              <w:t>Inappropriate use of antibiotics for ARI in primary care practices</w:t>
            </w:r>
          </w:p>
        </w:tc>
        <w:tc>
          <w:tcPr>
            <w:tcW w:w="3969" w:type="dxa"/>
          </w:tcPr>
          <w:p w14:paraId="14CDEA4C" w14:textId="6F73CBD2" w:rsidR="00FF4BD9" w:rsidRPr="00EC3E91" w:rsidRDefault="00FF4BD9" w:rsidP="000524C8">
            <w:pPr>
              <w:rPr>
                <w:rFonts w:cstheme="minorHAnsi"/>
                <w:sz w:val="20"/>
                <w:szCs w:val="20"/>
                <w:lang w:val="en-US"/>
              </w:rPr>
            </w:pPr>
            <w:r w:rsidRPr="00EC3E91">
              <w:rPr>
                <w:rFonts w:cstheme="minorHAnsi"/>
                <w:sz w:val="20"/>
                <w:szCs w:val="20"/>
                <w:lang w:val="en-US"/>
              </w:rPr>
              <w:t xml:space="preserve">Management of community-acquired pneumonia in adults. Infectious Diseases Society of America/American Thoracic Society </w:t>
            </w:r>
          </w:p>
        </w:tc>
        <w:tc>
          <w:tcPr>
            <w:tcW w:w="2551" w:type="dxa"/>
          </w:tcPr>
          <w:p w14:paraId="3AA22B25" w14:textId="31497E49" w:rsidR="00FF4BD9" w:rsidRPr="00EC3E91" w:rsidRDefault="00FF4BD9" w:rsidP="00B205C1">
            <w:pPr>
              <w:rPr>
                <w:rFonts w:cstheme="minorHAnsi"/>
                <w:sz w:val="20"/>
                <w:szCs w:val="20"/>
                <w:lang w:val="en-US"/>
              </w:rPr>
            </w:pPr>
            <w:r w:rsidRPr="00EC3E91">
              <w:rPr>
                <w:rFonts w:cstheme="minorHAnsi"/>
                <w:sz w:val="20"/>
                <w:szCs w:val="20"/>
                <w:lang w:val="en-US"/>
              </w:rPr>
              <w:t xml:space="preserve">Remind clinicians, conduct educational outreach, audit and provide feedback. </w:t>
            </w:r>
          </w:p>
        </w:tc>
      </w:tr>
      <w:tr w:rsidR="00FF4BD9" w:rsidRPr="00E119DD" w14:paraId="3C4DC63F" w14:textId="77777777" w:rsidTr="00FF4BD9">
        <w:trPr>
          <w:tblHeader/>
        </w:trPr>
        <w:tc>
          <w:tcPr>
            <w:tcW w:w="709" w:type="dxa"/>
          </w:tcPr>
          <w:p w14:paraId="01532CCD" w14:textId="58769EC3" w:rsidR="00FF4BD9" w:rsidRPr="00EC3E91" w:rsidRDefault="00FF4BD9" w:rsidP="00B205C1">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To assess the effect of a clinical decision support system (CDSS) integrated into an electronic health record (EHR) on antibiotic prescribing for acute respiratory infections (ARIs) in primary care. MATERIALS AND METHODS: Quasi-experimental design with nine intervention practices and 61 control practices in the Practice Partner Research Network, a network of practices which all use the same EHR (Practice Partner). The nine intervention practices were located in nine US states. The design included a 3-month baseline data collection period (October through December 2009) before the introduction of the intervention and 15 months of follow-up (January 2010 through March 2011). The main outcome measures were the prescribing of antibiotics in ARI episodes for which antibiotics are inappropriate and prescribing of broad-spectrum antibiotics in all ARI episodes. RESULTS: In adult patients, prescribing of antibiotics in ARI episodes where antibiotics are inappropriate declined more (-0.6%) among intervention practices than in control practices (+4.2%) (p=0.03). However, among adults, the CDSS intervention improved prescribing of broad-spectrum antibiotics, with a decline of 16.6% among intervention practices versus an increase of 1.1% in control practices (p&lt;0.0001). A similar effect on broad-spectrum antibiotic prescribing was found in pediatric patients with a decline of 19.7% among intervention practices versus an increase of 0.9% in control practices (p&lt;0.0001). CONCLUSIONS: A CDSS embedded in an EHR had a modest effect in changing prescribing for adults where antibiotics were inappropriate but had a substantial impact on changing the overall prescribing of broad-spectrum antibiotics among pediatric and adult patients.","author":[{"dropping-particle":"","family":"Mainous A. G.","given":"3rd","non-dropping-particle":"","parse-names":false,"suffix":""},{"dropping-particle":"","family":"Lambourne","given":"C A","non-dropping-particle":"","parse-names":false,"suffix":""},{"dropping-particle":"","family":"Nietert","given":"P J","non-dropping-particle":"","parse-names":false,"suffix":""}],"container-title":"Journal of the American Medical Informatics Association","id":"ITEM-1","issue":"2","issued":{"date-parts":[["2013"]]},"page":"317-324","title":"Impact of a clinical decision support system on antibiotic prescribing for acute respiratory infections in primary care: quasi-experimental trial","type":"article-journal","volume":"20"},"uris":["http://www.mendeley.com/documents/?uuid=71ee81e7-f784-4b63-97ab-8e690a7833dd"]}],"mendeley":{"formattedCitation":"(36)","plainTextFormattedCitation":"(36)","previouslyFormattedCitation":"(36)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(36)</w:t>
            </w:r>
            <w:r w:rsidRPr="00EC3E91">
              <w:rPr>
                <w:rFonts w:cstheme="minorHAnsi"/>
                <w:sz w:val="20"/>
                <w:szCs w:val="20"/>
                <w:lang w:val="en-US"/>
              </w:rPr>
              <w:fldChar w:fldCharType="end"/>
            </w:r>
          </w:p>
        </w:tc>
        <w:tc>
          <w:tcPr>
            <w:tcW w:w="992" w:type="dxa"/>
          </w:tcPr>
          <w:p w14:paraId="6EEA6A0B" w14:textId="006A04F8" w:rsidR="00FF4BD9" w:rsidRPr="00EC3E91" w:rsidRDefault="00FF4BD9" w:rsidP="00B205C1">
            <w:pPr>
              <w:rPr>
                <w:rFonts w:cstheme="minorHAnsi"/>
                <w:sz w:val="20"/>
                <w:szCs w:val="20"/>
                <w:lang w:val="en-US"/>
              </w:rPr>
            </w:pPr>
            <w:r w:rsidRPr="00EC3E91">
              <w:rPr>
                <w:rFonts w:cstheme="minorHAnsi"/>
                <w:sz w:val="20"/>
                <w:szCs w:val="20"/>
                <w:lang w:val="en-US"/>
              </w:rPr>
              <w:t xml:space="preserve">US </w:t>
            </w:r>
          </w:p>
        </w:tc>
        <w:tc>
          <w:tcPr>
            <w:tcW w:w="993" w:type="dxa"/>
          </w:tcPr>
          <w:p w14:paraId="31F32355" w14:textId="2BF7AAA0" w:rsidR="00FF4BD9" w:rsidRPr="00EC3E91" w:rsidRDefault="00FF4BD9" w:rsidP="00B205C1">
            <w:pPr>
              <w:rPr>
                <w:rFonts w:cstheme="minorHAnsi"/>
                <w:sz w:val="20"/>
                <w:szCs w:val="20"/>
                <w:lang w:val="en-US"/>
              </w:rPr>
            </w:pPr>
            <w:r w:rsidRPr="00EC3E91">
              <w:rPr>
                <w:rFonts w:cstheme="minorHAnsi"/>
                <w:sz w:val="20"/>
                <w:szCs w:val="20"/>
                <w:lang w:val="en-US"/>
              </w:rPr>
              <w:t>Primary Care</w:t>
            </w:r>
          </w:p>
        </w:tc>
        <w:tc>
          <w:tcPr>
            <w:tcW w:w="850" w:type="dxa"/>
          </w:tcPr>
          <w:p w14:paraId="579F3225" w14:textId="0BF38912" w:rsidR="00FF4BD9" w:rsidRPr="00EC3E91" w:rsidRDefault="00FF4BD9" w:rsidP="00B205C1">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11538D1C" w14:textId="48107190" w:rsidR="00FF4BD9" w:rsidRPr="00EC3E91" w:rsidRDefault="00FF4BD9" w:rsidP="00B205C1">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4D593294" w14:textId="4FD1561E" w:rsidR="00FF4BD9" w:rsidRPr="00EC3E91" w:rsidRDefault="00FF4BD9" w:rsidP="00B205C1">
            <w:pPr>
              <w:rPr>
                <w:rFonts w:cstheme="minorHAnsi"/>
                <w:sz w:val="20"/>
                <w:szCs w:val="20"/>
                <w:lang w:val="en-US"/>
              </w:rPr>
            </w:pPr>
            <w:r w:rsidRPr="00EC3E91">
              <w:rPr>
                <w:rFonts w:cstheme="minorHAnsi"/>
                <w:sz w:val="20"/>
                <w:szCs w:val="20"/>
                <w:lang w:val="en-US"/>
              </w:rPr>
              <w:t xml:space="preserve">Antibiotics </w:t>
            </w:r>
          </w:p>
        </w:tc>
        <w:tc>
          <w:tcPr>
            <w:tcW w:w="2126" w:type="dxa"/>
          </w:tcPr>
          <w:p w14:paraId="71F63593" w14:textId="25D25DE8" w:rsidR="00FF4BD9" w:rsidRPr="00EC3E91" w:rsidRDefault="00FF4BD9" w:rsidP="00B205C1">
            <w:pPr>
              <w:rPr>
                <w:rFonts w:cstheme="minorHAnsi"/>
                <w:sz w:val="20"/>
                <w:szCs w:val="20"/>
                <w:lang w:val="en-US"/>
              </w:rPr>
            </w:pPr>
            <w:r w:rsidRPr="00EC3E91">
              <w:rPr>
                <w:rFonts w:cstheme="minorHAnsi"/>
                <w:sz w:val="20"/>
                <w:szCs w:val="20"/>
                <w:lang w:val="en-US"/>
              </w:rPr>
              <w:t>Inappropriate use of antibiotics for ARI in primary care practices</w:t>
            </w:r>
          </w:p>
        </w:tc>
        <w:tc>
          <w:tcPr>
            <w:tcW w:w="3969" w:type="dxa"/>
          </w:tcPr>
          <w:p w14:paraId="266F7B31" w14:textId="5BF1BD25" w:rsidR="00FF4BD9" w:rsidRPr="00EC3E91" w:rsidRDefault="00FF4BD9" w:rsidP="009B0E2F">
            <w:pPr>
              <w:rPr>
                <w:rFonts w:cstheme="minorHAnsi"/>
                <w:sz w:val="20"/>
                <w:szCs w:val="20"/>
                <w:lang w:val="en-US"/>
              </w:rPr>
            </w:pPr>
            <w:r w:rsidRPr="00EC3E91">
              <w:rPr>
                <w:rFonts w:cstheme="minorHAnsi"/>
                <w:sz w:val="20"/>
                <w:szCs w:val="20"/>
                <w:lang w:val="en-US"/>
              </w:rPr>
              <w:t xml:space="preserve">Prescribing of antibiotics for </w:t>
            </w:r>
            <w:r w:rsidR="00E12E20" w:rsidRPr="00EC3E91">
              <w:rPr>
                <w:rFonts w:cstheme="minorHAnsi"/>
                <w:sz w:val="20"/>
                <w:szCs w:val="20"/>
                <w:lang w:val="en-US"/>
              </w:rPr>
              <w:t>Self-Limiting</w:t>
            </w:r>
            <w:r w:rsidRPr="00EC3E91">
              <w:rPr>
                <w:rFonts w:cstheme="minorHAnsi"/>
                <w:sz w:val="20"/>
                <w:szCs w:val="20"/>
                <w:lang w:val="en-US"/>
              </w:rPr>
              <w:t xml:space="preserve"> Respiratory Tract Infections in Adults and Children in Primary Care. National Institute for Health and Clinical Excellence. </w:t>
            </w:r>
          </w:p>
          <w:p w14:paraId="550DFD94" w14:textId="77777777" w:rsidR="00FF4BD9" w:rsidRPr="00EC3E91" w:rsidRDefault="00FF4BD9" w:rsidP="009B0E2F">
            <w:pPr>
              <w:rPr>
                <w:rFonts w:cstheme="minorHAnsi"/>
                <w:sz w:val="20"/>
                <w:szCs w:val="20"/>
                <w:lang w:val="en-US"/>
              </w:rPr>
            </w:pPr>
          </w:p>
          <w:p w14:paraId="14C5F421" w14:textId="2E17B57A" w:rsidR="00FF4BD9" w:rsidRPr="00EC3E91" w:rsidRDefault="00FF4BD9" w:rsidP="000524C8">
            <w:pPr>
              <w:rPr>
                <w:rFonts w:cstheme="minorHAnsi"/>
                <w:sz w:val="20"/>
                <w:szCs w:val="20"/>
                <w:lang w:val="en-US"/>
              </w:rPr>
            </w:pPr>
            <w:r w:rsidRPr="00EC3E91">
              <w:rPr>
                <w:rFonts w:cstheme="minorHAnsi"/>
                <w:sz w:val="20"/>
                <w:szCs w:val="20"/>
                <w:lang w:val="en-US"/>
              </w:rPr>
              <w:t>Antibiotic prescribing and Use. Centers for Disease Control and Prevention.</w:t>
            </w:r>
          </w:p>
          <w:p w14:paraId="0D723221" w14:textId="234054B5" w:rsidR="00FF4BD9" w:rsidRPr="00EC3E91" w:rsidRDefault="00FF4BD9" w:rsidP="009B0E2F">
            <w:pPr>
              <w:rPr>
                <w:rFonts w:cstheme="minorHAnsi"/>
                <w:sz w:val="20"/>
                <w:szCs w:val="20"/>
                <w:lang w:val="en-US"/>
              </w:rPr>
            </w:pPr>
          </w:p>
        </w:tc>
        <w:tc>
          <w:tcPr>
            <w:tcW w:w="2551" w:type="dxa"/>
          </w:tcPr>
          <w:p w14:paraId="70F9DADA" w14:textId="6B7E912E" w:rsidR="00FF4BD9" w:rsidRPr="00EC3E91" w:rsidRDefault="00FF4BD9" w:rsidP="00B205C1">
            <w:pPr>
              <w:rPr>
                <w:rFonts w:cstheme="minorHAnsi"/>
                <w:sz w:val="20"/>
                <w:szCs w:val="20"/>
                <w:lang w:val="en-US"/>
              </w:rPr>
            </w:pPr>
            <w:r w:rsidRPr="00EC3E91">
              <w:rPr>
                <w:rFonts w:cstheme="minorHAnsi"/>
                <w:sz w:val="20"/>
                <w:szCs w:val="20"/>
                <w:lang w:val="en-US"/>
              </w:rPr>
              <w:t>remind clinicians, audit and provide feedback, conduct educational outreach, make training dynamic</w:t>
            </w:r>
          </w:p>
        </w:tc>
      </w:tr>
      <w:tr w:rsidR="00FF4BD9" w:rsidRPr="00E119DD" w14:paraId="5DA0B621" w14:textId="77777777" w:rsidTr="00FF4BD9">
        <w:trPr>
          <w:tblHeader/>
        </w:trPr>
        <w:tc>
          <w:tcPr>
            <w:tcW w:w="709" w:type="dxa"/>
          </w:tcPr>
          <w:p w14:paraId="0EBB2BD7" w14:textId="7443C1BC" w:rsidR="00FF4BD9" w:rsidRPr="00EC3E91" w:rsidRDefault="00FF4BD9" w:rsidP="00B205C1">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{"citationItems":[{"id":"ITEM-1","itemData":{"ISSN":"0733-4648","abstract":"The effect of an educational program on antipsychotic prescribing was assessed in two Canadian long-term care centers (LTCC). In each center (Center A residents, n = 258 and Center B residents, n = 191, with dementia at program inception), the rate of change in the odds of using antipsychotics in residents was estimated using mixed-effects logistic regression during a 6-month program period and a 4-month postprogram period, with baseline proportions of use estimated during the 6 months prior to the program. Preprogram proportions of antipsychotic use were 41.6% and 46.2%, respectively. Antipsychotic use decreased during the program in both centers: (odds ratio with 95% CI: 0.943 per week [0.921, 0.965] and 0.969 per week [0.944, 0.994], respectively). During the postprogram period, antipsychotic use increased in Center A (1.039 per week [1.007, 1.072]) but decreased progressively in Center B. The study results suggest the need to implement an ongoing educational program in LTCC.","author":[{"dropping-particle":"","family":"Monette","given":"J","non-dropping-particle":"","parse-names":false,"suffix":""},{"dropping-particle":"","family":"Monette","given":"M","non-dropping-particle":"","parse-names":false,"suffix":""},{"dropping-particle":"","family":"Sourial","given":"N","non-dropping-particle":"","parse-names":false,"suffix":""},{"dropping-particle":"","family":"V","given":"","non-dropping-particle":"","parse-names":false,"suffix":""},{"dropping-particle":"","family":"Al","given":"A C","non-dropping-particle":"","parse-names":false,"suffix":""},{"dropping-particle":"","family":"Wolfson","given":"C","non-dropping-particle":"","parse-names":false,"suffix":""},{"dropping-particle":"","family":"Champoux","given":"N","non-dropping-particle":"","parse-names":false,"suffix":""},{"dropping-particle":"","family":"Fletcher","given":"J","non-dropping-particle":"","parse-names":false,"suffix":""},{"dropping-particle":"","family":"Savoie","given":"M L","non-dropping-particle":"","parse-names":false,"suffix":""}],"container-title":"Journal of Applied Gerontology","id":"ITEM-1","issue":"7","issued":{"date-parts":[["2013"]]},"page":"833-854","title":"Effect of an interdisciplinary educational program on antipsychotic prescribing among residents with dementia in two long-term care centers","type":"article-journal","volume":"32"},"uris":["http://www.mendeley.com/documents/?uuid=c5f03498-d65c-49d3-8a1c-eddc8561715c"]}],"mendeley":{"formattedCitation":"(37)","plainTextFormattedCitation":"(37)","previouslyFormattedCitation":"(37)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(37)</w:t>
            </w:r>
            <w:r w:rsidRPr="00EC3E91">
              <w:rPr>
                <w:rFonts w:cstheme="minorHAnsi"/>
                <w:sz w:val="20"/>
                <w:szCs w:val="20"/>
                <w:lang w:val="en-US"/>
              </w:rPr>
              <w:fldChar w:fldCharType="end"/>
            </w:r>
          </w:p>
        </w:tc>
        <w:tc>
          <w:tcPr>
            <w:tcW w:w="992" w:type="dxa"/>
          </w:tcPr>
          <w:p w14:paraId="3D8D9F7D" w14:textId="502989DF" w:rsidR="00FF4BD9" w:rsidRPr="00EC3E91" w:rsidRDefault="00FF4BD9" w:rsidP="00B205C1">
            <w:pPr>
              <w:rPr>
                <w:rFonts w:cstheme="minorHAnsi"/>
                <w:sz w:val="20"/>
                <w:szCs w:val="20"/>
                <w:lang w:val="en-US"/>
              </w:rPr>
            </w:pPr>
            <w:r w:rsidRPr="00EC3E91">
              <w:rPr>
                <w:rFonts w:cstheme="minorHAnsi"/>
                <w:sz w:val="20"/>
                <w:szCs w:val="20"/>
                <w:lang w:val="en-US"/>
              </w:rPr>
              <w:t xml:space="preserve">Canada </w:t>
            </w:r>
          </w:p>
        </w:tc>
        <w:tc>
          <w:tcPr>
            <w:tcW w:w="993" w:type="dxa"/>
          </w:tcPr>
          <w:p w14:paraId="7D2C43B7" w14:textId="70281F7F" w:rsidR="00FF4BD9" w:rsidRPr="00EC3E91" w:rsidRDefault="00FF4BD9" w:rsidP="00B205C1">
            <w:pPr>
              <w:rPr>
                <w:rFonts w:cstheme="minorHAnsi"/>
                <w:sz w:val="20"/>
                <w:szCs w:val="20"/>
                <w:lang w:val="en-US"/>
              </w:rPr>
            </w:pPr>
            <w:r w:rsidRPr="00EC3E91">
              <w:rPr>
                <w:rFonts w:cstheme="minorHAnsi"/>
                <w:sz w:val="20"/>
                <w:szCs w:val="20"/>
                <w:lang w:val="en-US"/>
              </w:rPr>
              <w:t>Aged Care</w:t>
            </w:r>
          </w:p>
        </w:tc>
        <w:tc>
          <w:tcPr>
            <w:tcW w:w="850" w:type="dxa"/>
          </w:tcPr>
          <w:p w14:paraId="262EC45C" w14:textId="790CA166" w:rsidR="00FF4BD9" w:rsidRPr="00EC3E91" w:rsidRDefault="00FF4BD9" w:rsidP="00B205C1">
            <w:pPr>
              <w:rPr>
                <w:rFonts w:cstheme="minorHAnsi"/>
                <w:sz w:val="20"/>
                <w:szCs w:val="20"/>
                <w:lang w:val="en-US"/>
              </w:rPr>
            </w:pPr>
            <w:r w:rsidRPr="00EC3E91">
              <w:rPr>
                <w:rFonts w:cstheme="minorHAnsi"/>
                <w:sz w:val="20"/>
                <w:szCs w:val="20"/>
                <w:lang w:val="en-US"/>
              </w:rPr>
              <w:t xml:space="preserve">Quant longitudinal </w:t>
            </w:r>
          </w:p>
        </w:tc>
        <w:tc>
          <w:tcPr>
            <w:tcW w:w="851" w:type="dxa"/>
          </w:tcPr>
          <w:p w14:paraId="6B2FC114" w14:textId="7D48DA63" w:rsidR="00FF4BD9" w:rsidRPr="00EC3E91" w:rsidRDefault="00FF4BD9" w:rsidP="00B205C1">
            <w:pPr>
              <w:rPr>
                <w:rFonts w:cstheme="minorHAnsi"/>
                <w:sz w:val="20"/>
                <w:szCs w:val="20"/>
                <w:lang w:val="en-US"/>
              </w:rPr>
            </w:pPr>
            <w:r w:rsidRPr="00EC3E91">
              <w:rPr>
                <w:rFonts w:cstheme="minorHAnsi"/>
                <w:sz w:val="20"/>
                <w:szCs w:val="20"/>
                <w:lang w:val="en-US"/>
              </w:rPr>
              <w:t>Efficacy/Effectiveness</w:t>
            </w:r>
          </w:p>
        </w:tc>
        <w:tc>
          <w:tcPr>
            <w:tcW w:w="1134" w:type="dxa"/>
          </w:tcPr>
          <w:p w14:paraId="220F1D4B" w14:textId="1861A1BA" w:rsidR="00FF4BD9" w:rsidRPr="00EC3E91" w:rsidRDefault="00FF4BD9" w:rsidP="00B205C1">
            <w:pPr>
              <w:rPr>
                <w:rFonts w:cstheme="minorHAnsi"/>
                <w:sz w:val="20"/>
                <w:szCs w:val="20"/>
                <w:lang w:val="en-US"/>
              </w:rPr>
            </w:pPr>
            <w:r w:rsidRPr="00EC3E91">
              <w:rPr>
                <w:rFonts w:cstheme="minorHAnsi"/>
                <w:sz w:val="20"/>
                <w:szCs w:val="20"/>
                <w:lang w:val="en-US"/>
              </w:rPr>
              <w:t>Antipsychotics</w:t>
            </w:r>
          </w:p>
        </w:tc>
        <w:tc>
          <w:tcPr>
            <w:tcW w:w="2126" w:type="dxa"/>
          </w:tcPr>
          <w:p w14:paraId="38E397FE" w14:textId="4D3ED897" w:rsidR="00FF4BD9" w:rsidRPr="00EC3E91" w:rsidRDefault="00FF4BD9" w:rsidP="00B205C1">
            <w:pPr>
              <w:rPr>
                <w:rFonts w:cstheme="minorHAnsi"/>
                <w:sz w:val="20"/>
                <w:szCs w:val="20"/>
                <w:lang w:val="en-US"/>
              </w:rPr>
            </w:pPr>
            <w:r w:rsidRPr="00EC3E91">
              <w:rPr>
                <w:rFonts w:cstheme="minorHAnsi"/>
                <w:sz w:val="20"/>
                <w:szCs w:val="20"/>
                <w:lang w:val="en-US"/>
              </w:rPr>
              <w:t>Inappropriate prescribing of antipsychotic medication</w:t>
            </w:r>
          </w:p>
        </w:tc>
        <w:tc>
          <w:tcPr>
            <w:tcW w:w="3969" w:type="dxa"/>
          </w:tcPr>
          <w:p w14:paraId="4DE1088E" w14:textId="6875F7BE" w:rsidR="00FF4BD9" w:rsidRPr="00EC3E91" w:rsidRDefault="00FF4BD9" w:rsidP="009B0E2F">
            <w:pPr>
              <w:rPr>
                <w:rFonts w:cstheme="minorHAnsi"/>
                <w:sz w:val="20"/>
                <w:szCs w:val="20"/>
                <w:lang w:val="en-US"/>
              </w:rPr>
            </w:pPr>
            <w:r w:rsidRPr="00EC3E91">
              <w:rPr>
                <w:rFonts w:cstheme="minorHAnsi"/>
                <w:sz w:val="20"/>
                <w:szCs w:val="20"/>
                <w:lang w:val="en-US"/>
              </w:rPr>
              <w:t xml:space="preserve">Recommendations for the management of behavioral and </w:t>
            </w:r>
            <w:r w:rsidR="00E12E20" w:rsidRPr="00EC3E91">
              <w:rPr>
                <w:rFonts w:cstheme="minorHAnsi"/>
                <w:sz w:val="20"/>
                <w:szCs w:val="20"/>
                <w:lang w:val="en-US"/>
              </w:rPr>
              <w:t>psychosocial</w:t>
            </w:r>
            <w:r w:rsidRPr="00EC3E91">
              <w:rPr>
                <w:rFonts w:cstheme="minorHAnsi"/>
                <w:sz w:val="20"/>
                <w:szCs w:val="20"/>
                <w:lang w:val="en-US"/>
              </w:rPr>
              <w:t xml:space="preserve"> symptoms of dementia.  From the Canadian Journal of </w:t>
            </w:r>
            <w:r w:rsidR="00E12E20" w:rsidRPr="00EC3E91">
              <w:rPr>
                <w:rFonts w:cstheme="minorHAnsi"/>
                <w:sz w:val="20"/>
                <w:szCs w:val="20"/>
                <w:lang w:val="en-US"/>
              </w:rPr>
              <w:t>Neurological Sciences</w:t>
            </w:r>
            <w:r w:rsidRPr="00EC3E91">
              <w:rPr>
                <w:rFonts w:cstheme="minorHAnsi"/>
                <w:sz w:val="20"/>
                <w:szCs w:val="20"/>
                <w:lang w:val="en-US"/>
              </w:rPr>
              <w:t xml:space="preserve">. </w:t>
            </w:r>
          </w:p>
          <w:p w14:paraId="4D12211A" w14:textId="77777777" w:rsidR="00FF4BD9" w:rsidRPr="00EC3E91" w:rsidRDefault="00FF4BD9" w:rsidP="009B0E2F">
            <w:pPr>
              <w:rPr>
                <w:rFonts w:cstheme="minorHAnsi"/>
                <w:sz w:val="20"/>
                <w:szCs w:val="20"/>
                <w:lang w:val="en-US"/>
              </w:rPr>
            </w:pPr>
          </w:p>
          <w:p w14:paraId="4B8CC367" w14:textId="613368E9" w:rsidR="00FF4BD9" w:rsidRPr="00EC3E91" w:rsidRDefault="00FF4BD9" w:rsidP="009B0E2F">
            <w:pPr>
              <w:rPr>
                <w:rFonts w:cstheme="minorHAnsi"/>
                <w:sz w:val="20"/>
                <w:szCs w:val="20"/>
                <w:lang w:val="en-US"/>
              </w:rPr>
            </w:pPr>
            <w:r w:rsidRPr="00EC3E91">
              <w:rPr>
                <w:rFonts w:cstheme="minorHAnsi"/>
                <w:sz w:val="20"/>
                <w:szCs w:val="20"/>
                <w:lang w:val="en-US"/>
              </w:rPr>
              <w:t xml:space="preserve">Guidelines for the management of agitation in dementia. From the International Journal of Geriatric Psychiatry. </w:t>
            </w:r>
          </w:p>
          <w:p w14:paraId="723121E7" w14:textId="77777777" w:rsidR="00FF4BD9" w:rsidRPr="00EC3E91" w:rsidRDefault="00FF4BD9" w:rsidP="009B0E2F">
            <w:pPr>
              <w:rPr>
                <w:rFonts w:cstheme="minorHAnsi"/>
                <w:sz w:val="20"/>
                <w:szCs w:val="20"/>
                <w:lang w:val="en-US"/>
              </w:rPr>
            </w:pPr>
          </w:p>
          <w:p w14:paraId="0E4ACBA2" w14:textId="0E394CFA" w:rsidR="00FF4BD9" w:rsidRPr="00EC3E91" w:rsidRDefault="00E12E20" w:rsidP="00481638">
            <w:pPr>
              <w:rPr>
                <w:rFonts w:cstheme="minorHAnsi"/>
                <w:sz w:val="20"/>
                <w:szCs w:val="20"/>
                <w:lang w:val="en-US"/>
              </w:rPr>
            </w:pPr>
            <w:r w:rsidRPr="00EC3E91">
              <w:rPr>
                <w:rFonts w:cstheme="minorHAnsi"/>
                <w:sz w:val="20"/>
                <w:szCs w:val="20"/>
                <w:lang w:val="en-US"/>
              </w:rPr>
              <w:t xml:space="preserve">Pharmacological </w:t>
            </w:r>
            <w:r w:rsidR="005A7558" w:rsidRPr="00EC3E91">
              <w:rPr>
                <w:rFonts w:cstheme="minorHAnsi"/>
                <w:sz w:val="20"/>
                <w:szCs w:val="20"/>
                <w:lang w:val="en-US"/>
              </w:rPr>
              <w:t xml:space="preserve">treatment </w:t>
            </w:r>
            <w:r w:rsidR="008E3BEF" w:rsidRPr="00EC3E91">
              <w:rPr>
                <w:rFonts w:cstheme="minorHAnsi"/>
                <w:sz w:val="20"/>
                <w:szCs w:val="20"/>
                <w:lang w:val="en-US"/>
              </w:rPr>
              <w:t>of neu</w:t>
            </w:r>
            <w:r w:rsidR="00FF4BD9" w:rsidRPr="00EC3E91">
              <w:rPr>
                <w:rFonts w:cstheme="minorHAnsi"/>
                <w:sz w:val="20"/>
                <w:szCs w:val="20"/>
                <w:lang w:val="en-US"/>
              </w:rPr>
              <w:t>ro</w:t>
            </w:r>
            <w:r w:rsidR="002858BD">
              <w:rPr>
                <w:rFonts w:cstheme="minorHAnsi"/>
                <w:sz w:val="20"/>
                <w:szCs w:val="20"/>
                <w:lang w:val="en-US"/>
              </w:rPr>
              <w:t>-</w:t>
            </w:r>
            <w:r w:rsidR="00FF4BD9" w:rsidRPr="00EC3E91">
              <w:rPr>
                <w:rFonts w:cstheme="minorHAnsi"/>
                <w:sz w:val="20"/>
                <w:szCs w:val="20"/>
                <w:lang w:val="en-US"/>
              </w:rPr>
              <w:t xml:space="preserve">psychiatric symptoms of dementia:  from the Journal of the American Medical Association. </w:t>
            </w:r>
          </w:p>
        </w:tc>
        <w:tc>
          <w:tcPr>
            <w:tcW w:w="2551" w:type="dxa"/>
          </w:tcPr>
          <w:p w14:paraId="6672CFF4" w14:textId="5B366F8A" w:rsidR="00FF4BD9" w:rsidRPr="00EC3E91" w:rsidRDefault="00FF4BD9" w:rsidP="00B205C1">
            <w:pPr>
              <w:rPr>
                <w:rFonts w:cstheme="minorHAnsi"/>
                <w:sz w:val="20"/>
                <w:szCs w:val="20"/>
                <w:lang w:val="en-US"/>
              </w:rPr>
            </w:pPr>
            <w:r w:rsidRPr="00EC3E91">
              <w:rPr>
                <w:rFonts w:cstheme="minorHAnsi"/>
                <w:sz w:val="20"/>
                <w:szCs w:val="20"/>
                <w:lang w:val="en-US"/>
              </w:rPr>
              <w:t>make training dynamic, develop and organize quality monitoring systems</w:t>
            </w:r>
          </w:p>
        </w:tc>
      </w:tr>
      <w:tr w:rsidR="00FF4BD9" w:rsidRPr="00E119DD" w14:paraId="2EF0E5F8" w14:textId="77777777" w:rsidTr="00FF4BD9">
        <w:trPr>
          <w:tblHeader/>
        </w:trPr>
        <w:tc>
          <w:tcPr>
            <w:tcW w:w="709" w:type="dxa"/>
          </w:tcPr>
          <w:p w14:paraId="7977FECE" w14:textId="6B0C7A43"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{"citationItems":[{"id":"ITEM-1","itemData":{"abstract":"OBJECTIVES: Compared to the general population, chronic kidney disease patients are more vulnerable to gastrointestinal haemorrhage and its morbidity and mortality. Due to the fear of gastrointestinal bleeding consequences in these patients on the one hand, and the perception of general safety of acid suppressive medications on the other hand, inappropriate stress ulcer prophylaxis (SUP) seems to be encountered in nephrology wards. The objectives of this study were to evaluate appropriateness of acid suppression therapy in kidney disease patients and to assess the role of clinical pharmacists to decrease inappropriate SUP prescribing and related costs for these patients. METHODS: All inpatients at nephrology wards of a teaching hospital were assessed regarding appropriate SUP prescribing during a 6-month pre-intervention phase of the study without any clinical pharmacists' involvement in patients' management. Thereafter, during a 6-month post-intervention phase clinical pharmacists provided local SUP protocol and educational classes for physicians regarding appropriate SUP prescribing and participated actively in the patient-care team. MAIN FINDINGS: The results showed significant relative reduction in inappropriate SUP prescribing and related cost in patients with renal insufficiency by about 44% and 67% respectively. CONCLUSION: This study showed that implementing institutional guidelines, and active involvement of clinical pharmacists in the nephrology healthcare team, could reduce inappropriate SUP prescribing and related costs for these patients.","author":[{"dropping-particle":"","family":"Mousavi","given":"M","non-dropping-particle":"","parse-names":false,"suffix":""},{"dropping-particle":"","family":"Dashti-Khavidaki","given":"S","non-dropping-particle":"","parse-names":false,"suffix":""},{"dropping-particle":"","family":"Khalili","given":"H","non-dropping-particle":"","parse-names":false,"suffix":""},{"dropping-particle":"","family":"Farshchi","given":"A","non-dropping-particle":"","parse-names":false,"suffix":""},{"dropping-particle":"","family":"Gatmiri","given":"M","non-dropping-particle":"","parse-names":false,"suffix":""}],"container-title":"International Journal of Pharmacy Practice","id":"ITEM-1","issue":"4","issued":{"date-parts":[["2013"]]},"page":"263-269","title":"Impact of clinical pharmacy services on stress ulcer prophylaxis prescribing and related cost in patients with renal insufficiency","type":"article-journal","volume":"21"},"uris":["http://www.mendeley.com/documents/?uuid=27476056-a47b-42d8-8446-9ae3fcf18d8d"]}],"mendeley":{"formattedCitation":"(38)","plainTextFormattedCitation":"(38)","previouslyFormattedCitation":"(38)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(38)</w:t>
            </w:r>
            <w:r w:rsidRPr="00EC3E91">
              <w:rPr>
                <w:rFonts w:cstheme="minorHAnsi"/>
                <w:sz w:val="20"/>
                <w:szCs w:val="20"/>
                <w:lang w:val="en-US"/>
              </w:rPr>
              <w:fldChar w:fldCharType="end"/>
            </w:r>
          </w:p>
        </w:tc>
        <w:tc>
          <w:tcPr>
            <w:tcW w:w="992" w:type="dxa"/>
          </w:tcPr>
          <w:p w14:paraId="0B77177B" w14:textId="68909FFE" w:rsidR="00FF4BD9" w:rsidRPr="00EC3E91" w:rsidRDefault="00FF4BD9" w:rsidP="00060412">
            <w:pPr>
              <w:rPr>
                <w:rFonts w:cstheme="minorHAnsi"/>
                <w:sz w:val="20"/>
                <w:szCs w:val="20"/>
                <w:lang w:val="en-US"/>
              </w:rPr>
            </w:pPr>
            <w:r w:rsidRPr="00EC3E91">
              <w:rPr>
                <w:rFonts w:cstheme="minorHAnsi"/>
                <w:sz w:val="20"/>
                <w:szCs w:val="20"/>
                <w:lang w:val="en-US"/>
              </w:rPr>
              <w:t>Iran</w:t>
            </w:r>
          </w:p>
        </w:tc>
        <w:tc>
          <w:tcPr>
            <w:tcW w:w="993" w:type="dxa"/>
          </w:tcPr>
          <w:p w14:paraId="72CC79DC" w14:textId="7E55FAC2"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296BE542" w14:textId="1B6B767B"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2B46E407" w14:textId="3334D6AE"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9A6AC38" w14:textId="173A00A0" w:rsidR="00FF4BD9" w:rsidRPr="00EC3E91" w:rsidRDefault="00FF4BD9" w:rsidP="00060412">
            <w:pPr>
              <w:rPr>
                <w:rFonts w:cstheme="minorHAnsi"/>
                <w:sz w:val="20"/>
                <w:szCs w:val="20"/>
                <w:lang w:val="en-US"/>
              </w:rPr>
            </w:pPr>
            <w:r w:rsidRPr="00EC3E91">
              <w:rPr>
                <w:rFonts w:cstheme="minorHAnsi"/>
                <w:sz w:val="20"/>
                <w:szCs w:val="20"/>
                <w:lang w:val="en-US"/>
              </w:rPr>
              <w:t>Acid suppression medication</w:t>
            </w:r>
          </w:p>
        </w:tc>
        <w:tc>
          <w:tcPr>
            <w:tcW w:w="2126" w:type="dxa"/>
          </w:tcPr>
          <w:p w14:paraId="6A29CBB7" w14:textId="46AEFAE7" w:rsidR="00FF4BD9" w:rsidRPr="00EC3E91" w:rsidRDefault="00FF4BD9" w:rsidP="00060412">
            <w:pPr>
              <w:rPr>
                <w:rFonts w:cstheme="minorHAnsi"/>
                <w:sz w:val="20"/>
                <w:szCs w:val="20"/>
                <w:lang w:val="en-US"/>
              </w:rPr>
            </w:pPr>
            <w:r w:rsidRPr="00EC3E91">
              <w:rPr>
                <w:rFonts w:cstheme="minorHAnsi"/>
                <w:sz w:val="20"/>
                <w:szCs w:val="20"/>
                <w:lang w:val="en-US"/>
              </w:rPr>
              <w:t>Inappropriate AST prescribing</w:t>
            </w:r>
          </w:p>
        </w:tc>
        <w:tc>
          <w:tcPr>
            <w:tcW w:w="3969" w:type="dxa"/>
          </w:tcPr>
          <w:p w14:paraId="6079107B" w14:textId="61338411" w:rsidR="00FF4BD9" w:rsidRPr="00EC3E91" w:rsidRDefault="00FF4BD9" w:rsidP="00481638">
            <w:pPr>
              <w:rPr>
                <w:rFonts w:cstheme="minorHAnsi"/>
                <w:sz w:val="20"/>
                <w:szCs w:val="20"/>
                <w:lang w:val="en-US"/>
              </w:rPr>
            </w:pPr>
            <w:r w:rsidRPr="00EC3E91">
              <w:rPr>
                <w:rFonts w:cstheme="minorHAnsi"/>
                <w:sz w:val="20"/>
                <w:szCs w:val="20"/>
                <w:lang w:val="en-US"/>
              </w:rPr>
              <w:t>ASHP therapeutic guidelines    on    stress    ulcer    prophylaxis. American   Society   of   Health-System Pharmacists.</w:t>
            </w:r>
          </w:p>
        </w:tc>
        <w:tc>
          <w:tcPr>
            <w:tcW w:w="2551" w:type="dxa"/>
          </w:tcPr>
          <w:p w14:paraId="1F7A3932" w14:textId="2E9F9C4F" w:rsidR="00FF4BD9" w:rsidRPr="00EC3E91" w:rsidRDefault="00FF4BD9" w:rsidP="00060412">
            <w:pPr>
              <w:rPr>
                <w:rFonts w:cstheme="minorHAnsi"/>
                <w:sz w:val="20"/>
                <w:szCs w:val="20"/>
                <w:lang w:val="en-US"/>
              </w:rPr>
            </w:pPr>
            <w:r w:rsidRPr="00EC3E91">
              <w:rPr>
                <w:rFonts w:cstheme="minorHAnsi"/>
                <w:sz w:val="20"/>
                <w:szCs w:val="20"/>
                <w:lang w:val="en-US"/>
              </w:rPr>
              <w:t>conduct educational meeting, distribute educational materials, conduct educational outreach</w:t>
            </w:r>
          </w:p>
        </w:tc>
      </w:tr>
      <w:tr w:rsidR="00FF4BD9" w:rsidRPr="00E119DD" w14:paraId="10063ABE" w14:textId="77777777" w:rsidTr="00FF4BD9">
        <w:trPr>
          <w:tblHeader/>
        </w:trPr>
        <w:tc>
          <w:tcPr>
            <w:tcW w:w="709" w:type="dxa"/>
          </w:tcPr>
          <w:p w14:paraId="6AB31469" w14:textId="0650208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Older patients are at particular risk for adverse drug reactions. In older people, interventions targeting potentially inappropriate prescriptions (PIPs) are considered important measures to minimise drug-related harm, especially in the general practice setting where most prescriptions for older patients are issued. AIM: To study the effects of a multifaceted educational intervention on GPs' PIPs for older patients. DESIGN AND SETTING: This was a cluster randomised, educational intervention study in Norwegian general practice. Pre-study data were captured from January 2005 to December 2005 and post-study data from June 2006 to June 2007. The educational intervention was carried out from January 2006 to June 2006. METHOD: Eighty continuing medical education (CME) groups (465 GPs) were randomised to receive the educational intervention on GPs' PIPs for older patients (41 CME groups; 256 GPs) or another educational intervention (39 CME groups; 209 GPs); these two groups acted as controls for each other. GPs' prescription data from before and after the intervention were assessed against a list of 13 explicit PIP criteria for patients aged &gt;=70 years. In the CME groups, trained GPs carried out an educational programme, including an audit, focusing on the 13 criteria and their rationale. RESULTS: A total of 449 GPs (96.6%) completed the study; 250 in the intervention group and 199 in the control group. After adjusting for baseline differences and clustering effects, a reduction relative to baseline of 10.3% (95% confidence interval = 5.9 to 15.0) PIPs per 100 patients aged &gt;=70 years was obtained. CONCLUSION: Educational outreach visits with feedback and audit, using GPs as academic detailers in GPs' CME groups, reduced PIPs for older patients aged &gt;=70 years in general practice.","author":[{"dropping-particle":"","family":"Rognstad","given":"S","non-dropping-particle":"","parse-names":false,"suffix":""},{"dropping-particle":"","family":"Brekke","given":"M","non-dropping-particle":"","parse-names":false,"suffix":""},{"dropping-particle":"","family":"Fetveit","given":"A","non-dropping-particle":"","parse-names":false,"suffix":""},{"dropping-particle":"","family":"Dalen","given":"I","non-dropping-particle":"","parse-names":false,"suffix":""},{"dropping-particle":"","family":"Stra","given":"","non-dropping-particle":"","parse-names":false,"suffix":""},{"dropping-particle":"","family":"J.","given":"","non-dropping-particle":"","parse-names":false,"suffix":""}],"container-title":"British Journal of General Practice","id":"ITEM-1","issue":"613","issued":{"date-parts":[["2013"]]},"page":"e554-62","title":"Prescription peer academic detailing to reduce inappropriate prescribing for older patients: a cluster randomised controlled trial","type":"article-journal","volume":"63"},"uris":["http://www.mendeley.com/documents/?uuid=435b8fa8-38c9-4a7a-a0c7-2b8f19757209"]}],"mendeley":{"formattedCitation":"(39)","plainTextFormattedCitation":"(39)","previouslyFormattedCitation":"(39)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(39)</w:t>
            </w:r>
            <w:r w:rsidRPr="00EC3E91">
              <w:rPr>
                <w:rFonts w:cstheme="minorHAnsi"/>
                <w:sz w:val="20"/>
                <w:szCs w:val="20"/>
                <w:lang w:val="en-US"/>
              </w:rPr>
              <w:fldChar w:fldCharType="end"/>
            </w:r>
          </w:p>
        </w:tc>
        <w:tc>
          <w:tcPr>
            <w:tcW w:w="992" w:type="dxa"/>
          </w:tcPr>
          <w:p w14:paraId="7322FE9F" w14:textId="02C46FA0" w:rsidR="00FF4BD9" w:rsidRPr="00EC3E91" w:rsidRDefault="00FF4BD9" w:rsidP="00060412">
            <w:pPr>
              <w:rPr>
                <w:rFonts w:cstheme="minorHAnsi"/>
                <w:sz w:val="20"/>
                <w:szCs w:val="20"/>
                <w:lang w:val="en-US"/>
              </w:rPr>
            </w:pPr>
            <w:r w:rsidRPr="00EC3E91">
              <w:rPr>
                <w:rFonts w:cstheme="minorHAnsi"/>
                <w:sz w:val="20"/>
                <w:szCs w:val="20"/>
                <w:lang w:val="en-US"/>
              </w:rPr>
              <w:t>Norway</w:t>
            </w:r>
          </w:p>
        </w:tc>
        <w:tc>
          <w:tcPr>
            <w:tcW w:w="993" w:type="dxa"/>
          </w:tcPr>
          <w:p w14:paraId="208F0AFB" w14:textId="45EF2B6C"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2AA50458" w14:textId="6F6504F6" w:rsidR="00FF4BD9" w:rsidRPr="00EC3E91" w:rsidRDefault="00FF4BD9" w:rsidP="00060412">
            <w:pPr>
              <w:rPr>
                <w:rFonts w:cstheme="minorHAnsi"/>
                <w:sz w:val="20"/>
                <w:szCs w:val="20"/>
                <w:lang w:val="en-US"/>
              </w:rPr>
            </w:pPr>
            <w:r w:rsidRPr="00EC3E91">
              <w:rPr>
                <w:rFonts w:cstheme="minorHAnsi"/>
                <w:sz w:val="20"/>
                <w:szCs w:val="20"/>
                <w:lang w:val="en-US"/>
              </w:rPr>
              <w:t>Quant RCT</w:t>
            </w:r>
          </w:p>
        </w:tc>
        <w:tc>
          <w:tcPr>
            <w:tcW w:w="851" w:type="dxa"/>
          </w:tcPr>
          <w:p w14:paraId="17A4708C" w14:textId="10E79167"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A7E76C4" w14:textId="0E20E221"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009EF0C2" w14:textId="445F9615"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4CAA25D3" w14:textId="77777777" w:rsidR="00FF4BD9" w:rsidRPr="00EC3E91" w:rsidRDefault="00FF4BD9" w:rsidP="00481638">
            <w:pPr>
              <w:rPr>
                <w:rFonts w:cstheme="minorHAnsi"/>
                <w:sz w:val="20"/>
                <w:szCs w:val="20"/>
                <w:lang w:val="en-US"/>
              </w:rPr>
            </w:pPr>
            <w:r w:rsidRPr="00EC3E91">
              <w:rPr>
                <w:rFonts w:cstheme="minorHAnsi"/>
                <w:sz w:val="20"/>
                <w:szCs w:val="20"/>
                <w:lang w:val="en-US"/>
              </w:rPr>
              <w:t xml:space="preserve">Beers Criteria </w:t>
            </w:r>
          </w:p>
          <w:p w14:paraId="009FFA30" w14:textId="77777777" w:rsidR="00FF4BD9" w:rsidRPr="00EC3E91" w:rsidRDefault="00FF4BD9" w:rsidP="00481638">
            <w:pPr>
              <w:rPr>
                <w:rFonts w:cstheme="minorHAnsi"/>
                <w:sz w:val="20"/>
                <w:szCs w:val="20"/>
                <w:lang w:val="en-US"/>
              </w:rPr>
            </w:pPr>
          </w:p>
          <w:p w14:paraId="6C86F4C0" w14:textId="0D6414D1" w:rsidR="00FF4BD9" w:rsidRPr="00EC3E91" w:rsidRDefault="00FF4BD9" w:rsidP="00481638">
            <w:pPr>
              <w:rPr>
                <w:rFonts w:cstheme="minorHAnsi"/>
                <w:sz w:val="20"/>
                <w:szCs w:val="20"/>
                <w:lang w:val="en-US"/>
              </w:rPr>
            </w:pPr>
            <w:r w:rsidRPr="00EC3E91">
              <w:rPr>
                <w:rFonts w:cstheme="minorHAnsi"/>
                <w:sz w:val="20"/>
                <w:szCs w:val="20"/>
                <w:lang w:val="en-US"/>
              </w:rPr>
              <w:t>Indicators for evaluation of the quality of drug therapy in the elderly. Swedish National Board of Health and Welfare [Socialstyrelsen].</w:t>
            </w:r>
          </w:p>
        </w:tc>
        <w:tc>
          <w:tcPr>
            <w:tcW w:w="2551" w:type="dxa"/>
          </w:tcPr>
          <w:p w14:paraId="10686563" w14:textId="719489AB" w:rsidR="00FF4BD9" w:rsidRPr="00EC3E91" w:rsidRDefault="00FF4BD9" w:rsidP="00060412">
            <w:pPr>
              <w:rPr>
                <w:rFonts w:cstheme="minorHAnsi"/>
                <w:sz w:val="20"/>
                <w:szCs w:val="20"/>
                <w:lang w:val="en-US"/>
              </w:rPr>
            </w:pPr>
            <w:r w:rsidRPr="00EC3E91">
              <w:rPr>
                <w:rFonts w:cstheme="minorHAnsi"/>
                <w:sz w:val="20"/>
                <w:szCs w:val="20"/>
                <w:lang w:val="en-US"/>
              </w:rPr>
              <w:t>conduct educational outreach, audit and provide feedback, distribute educational materials, make training dynamic</w:t>
            </w:r>
          </w:p>
        </w:tc>
      </w:tr>
      <w:tr w:rsidR="00FF4BD9" w:rsidRPr="00E119DD" w14:paraId="7CD198F2" w14:textId="77777777" w:rsidTr="00FF4BD9">
        <w:trPr>
          <w:tblHeader/>
        </w:trPr>
        <w:tc>
          <w:tcPr>
            <w:tcW w:w="709" w:type="dxa"/>
          </w:tcPr>
          <w:p w14:paraId="5A085234" w14:textId="38060940"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{"citationItems":[{"id":"ITEM-1","itemData":{"ISSN":"1876-7591","abstract":"Resource-sensitive and quality-centered imaging begins with the selection of the appropriate patient and test. Appropriate use criteria have been developed to aid clinicians but are often not available in an easily accessible format. FOCUS (Formation of Optimal Cardiovascular Utilization Strategies), a Web-based community and quality improvement instrument, was developed to increase the feasibility of measuring and improving practice patterns based on the appropriate use criteria. The FOCUS instrument proposed to reduce inappropriate imaging by 15% in 1 year and by 50% within 3 years. Between April 2010 and December 2011, data were voluntarily collected through the FOCUS radionuclide imaging performance improvement module (PIM). Appropriateness rates were compared between phases of the PIM. For the 55 participating sites that had completed the PIM by December 2011, the proportion of inappropriate cases decreased from 10% to 5% (p &lt; 0.0001). These preliminary data from initial participating sites suggest that through the use of a self-directed, quality improvement software and an interactive community, physicians may be able to significantly decrease the proportion of tests not meeting appropriate use criteria.","author":[{"dropping-particle":"","family":"Saifi","given":"S","non-dropping-particle":"","parse-names":false,"suffix":""},{"dropping-particle":"","family":"Taylor","given":"A J","non-dropping-particle":"","parse-names":false,"suffix":""},{"dropping-particle":"","family":"Allen","given":"J","non-dropping-particle":"","parse-names":false,"suffix":""},{"dropping-particle":"","family":"Hendel","given":"R","non-dropping-particle":"","parse-names":false,"suffix":""}],"container-title":"Jacc: Cardiovascular Imaging","id":"ITEM-1","issue":"7","issued":{"date-parts":[["2013"]]},"page":"823-829","title":"The use of a learning community and online evaluation of utilization for SPECT myocardial perfusion imaging","type":"article-journal","volume":"6"},"uris":["http://www.mendeley.com/documents/?uuid=fddb5b7e-33e9-437e-a15e-7c8832856ecc"]}],"mendeley":{"formattedCitation":"(40)","plainTextFormattedCitation":"(40)","previouslyFormattedCitation":"(40)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(40)</w:t>
            </w:r>
            <w:r w:rsidRPr="00EC3E91">
              <w:rPr>
                <w:rFonts w:cstheme="minorHAnsi"/>
                <w:sz w:val="20"/>
                <w:szCs w:val="20"/>
                <w:lang w:val="en-US"/>
              </w:rPr>
              <w:fldChar w:fldCharType="end"/>
            </w:r>
          </w:p>
        </w:tc>
        <w:tc>
          <w:tcPr>
            <w:tcW w:w="992" w:type="dxa"/>
          </w:tcPr>
          <w:p w14:paraId="0C46842A" w14:textId="2DB0DBA5"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0848E89F" w14:textId="614DEE6A" w:rsidR="00FF4BD9" w:rsidRPr="00EC3E91" w:rsidRDefault="00FF4BD9" w:rsidP="00060412">
            <w:pPr>
              <w:rPr>
                <w:rFonts w:cstheme="minorHAnsi"/>
                <w:sz w:val="20"/>
                <w:szCs w:val="20"/>
                <w:lang w:val="en-US"/>
              </w:rPr>
            </w:pPr>
            <w:r w:rsidRPr="00EC3E91">
              <w:rPr>
                <w:rFonts w:cstheme="minorHAnsi"/>
                <w:sz w:val="20"/>
                <w:szCs w:val="20"/>
                <w:lang w:val="en-US"/>
              </w:rPr>
              <w:t xml:space="preserve">Multiple setting </w:t>
            </w:r>
          </w:p>
        </w:tc>
        <w:tc>
          <w:tcPr>
            <w:tcW w:w="850" w:type="dxa"/>
          </w:tcPr>
          <w:p w14:paraId="7010D96D" w14:textId="31A9A576" w:rsidR="00FF4BD9" w:rsidRPr="00EC3E91" w:rsidRDefault="00FF4BD9" w:rsidP="00060412">
            <w:pPr>
              <w:rPr>
                <w:rFonts w:cstheme="minorHAnsi"/>
                <w:sz w:val="20"/>
                <w:szCs w:val="20"/>
                <w:lang w:val="en-US"/>
              </w:rPr>
            </w:pPr>
            <w:r w:rsidRPr="00EC3E91">
              <w:rPr>
                <w:rFonts w:cstheme="minorHAnsi"/>
                <w:sz w:val="20"/>
                <w:szCs w:val="20"/>
                <w:lang w:val="en-US"/>
              </w:rPr>
              <w:t>Mixed Pre-post</w:t>
            </w:r>
          </w:p>
        </w:tc>
        <w:tc>
          <w:tcPr>
            <w:tcW w:w="851" w:type="dxa"/>
          </w:tcPr>
          <w:p w14:paraId="5172173E" w14:textId="2F40C340"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20F28E0D" w14:textId="189D8BFD" w:rsidR="00FF4BD9" w:rsidRPr="00EC3E91" w:rsidRDefault="00226199" w:rsidP="00060412">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14404B1D" w14:textId="7C4542BC" w:rsidR="00FF4BD9" w:rsidRPr="00EC3E91" w:rsidRDefault="00FF4BD9" w:rsidP="00060412">
            <w:pPr>
              <w:rPr>
                <w:rFonts w:cstheme="minorHAnsi"/>
                <w:sz w:val="20"/>
                <w:szCs w:val="20"/>
                <w:lang w:val="en-US"/>
              </w:rPr>
            </w:pPr>
            <w:r w:rsidRPr="00EC3E91">
              <w:rPr>
                <w:rFonts w:cstheme="minorHAnsi"/>
                <w:sz w:val="20"/>
                <w:szCs w:val="20"/>
                <w:lang w:val="en-US"/>
              </w:rPr>
              <w:t>Inappropriate radionuclide imaging (RNI) studies</w:t>
            </w:r>
          </w:p>
        </w:tc>
        <w:tc>
          <w:tcPr>
            <w:tcW w:w="3969" w:type="dxa"/>
          </w:tcPr>
          <w:p w14:paraId="018E4878" w14:textId="26E3029A" w:rsidR="00FF4BD9" w:rsidRPr="00EC3E91" w:rsidRDefault="00FF4BD9" w:rsidP="00481638">
            <w:pPr>
              <w:rPr>
                <w:rFonts w:cstheme="minorHAnsi"/>
                <w:sz w:val="20"/>
                <w:szCs w:val="20"/>
                <w:lang w:val="en-US"/>
              </w:rPr>
            </w:pPr>
            <w:r w:rsidRPr="00EC3E91">
              <w:rPr>
                <w:rFonts w:cstheme="minorHAnsi"/>
                <w:sz w:val="20"/>
                <w:szCs w:val="20"/>
                <w:lang w:val="en-US"/>
              </w:rPr>
              <w:t>Appropriate use criteria for Imaging. The American College of Cardiology.</w:t>
            </w:r>
          </w:p>
        </w:tc>
        <w:tc>
          <w:tcPr>
            <w:tcW w:w="2551" w:type="dxa"/>
          </w:tcPr>
          <w:p w14:paraId="4A7EC829" w14:textId="6A725DFA" w:rsidR="00FF4BD9" w:rsidRPr="00EC3E91" w:rsidRDefault="00FF4BD9" w:rsidP="00060412">
            <w:pPr>
              <w:rPr>
                <w:rFonts w:cstheme="minorHAnsi"/>
                <w:sz w:val="20"/>
                <w:szCs w:val="20"/>
                <w:lang w:val="en-US"/>
              </w:rPr>
            </w:pPr>
            <w:r w:rsidRPr="00EC3E91">
              <w:rPr>
                <w:rFonts w:cstheme="minorHAnsi"/>
                <w:sz w:val="20"/>
                <w:szCs w:val="20"/>
                <w:lang w:val="en-US"/>
              </w:rPr>
              <w:t>create learning collaborative, make training dynamic, audit and provide feedback</w:t>
            </w:r>
          </w:p>
        </w:tc>
      </w:tr>
      <w:tr w:rsidR="00FF4BD9" w:rsidRPr="00E119DD" w14:paraId="4380C3CF" w14:textId="77777777" w:rsidTr="00FF4BD9">
        <w:trPr>
          <w:tblHeader/>
        </w:trPr>
        <w:tc>
          <w:tcPr>
            <w:tcW w:w="709" w:type="dxa"/>
          </w:tcPr>
          <w:p w14:paraId="0FE56F3B" w14:textId="14E59A48"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During this study, we instituted a phased quality improvement initiative designed to educate referring clinicians and departmental radiologists about the recommendations of the American College of Radiology (ACR) Appropriateness Criteria for dual-phase (without and with contrast material) head CT examinations. The primary aims of the study were to evaluate whether the quality improvement initiative was associated with an improvement in ACR Appropriateness Criteria appropriateness ratings and a reduction in the number of unindicated dual-phase head CT examinations performed. A secondary aim was to assess the impact of the quality improvement initiative on health care costs. MATERIALS AND METHODS: This study included-with the exception of the examinations performed during a 3-month training period-all single- and dual-phase head CT examinations performed of adult patients at a tertiary care medical center from January 2009 through October 2011. Both inpatients and outpatient examinations were included. There were no exclusion criteria. RESULTS: Implementation of the initiative enhanced patient safety and reduced health care costs by achieving a significant reduction (p = 0.006) in the number of unindicated dual-phase head CT examinations performed from a median number of 40 per month to 17 per month. CONCLUSION: Although there are potential benefits for dual-phase head CT examinations, the medical and economic risks should be measured against these potential benefits. Incorporating the ACR Appropriateness Criteria applies evidence-based medicine to this algorithm. In this outcomes-driven study, the number of unindicated dual-phase head CT examinations was reduced and imaging efficacy improved primarily through physician education and monitoring.","author":[{"dropping-particle":"","family":"Strother","given":"M K","non-dropping-particle":"","parse-names":false,"suffix":""},{"dropping-particle":"","family":"Robert","given":"E C","non-dropping-particle":"","parse-names":false,"suffix":""},{"dropping-particle":"","family":"Cobb","given":"J G","non-dropping-particle":"","parse-names":false,"suffix":""},{"dropping-particle":"","family":"Pruthi","given":"S","non-dropping-particle":"","parse-names":false,"suffix":""},{"dropping-particle":"","family":"Feurer","given":"I D","non-dropping-particle":"","parse-names":false,"suffix":""}],"container-title":"AJR. American Journal of Roentgenology","id":"ITEM-1","issue":"5","issued":{"date-parts":[["2013"]]},"page":"1049-1056","title":"Reduction in the number and associated costs of unindicated dual-phase head CT examinations after a quality improvement initiative","type":"article-journal","volume":"201"},"uris":["http://www.mendeley.com/documents/?uuid=c5a78ca2-421e-4a4a-a51a-53d27ee0829b"]}],"mendeley":{"formattedCitation":"(41)","plainTextFormattedCitation":"(41)","previouslyFormattedCitation":"(41)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(41)</w:t>
            </w:r>
            <w:r w:rsidRPr="00EC3E91">
              <w:rPr>
                <w:rFonts w:cstheme="minorHAnsi"/>
                <w:sz w:val="20"/>
                <w:szCs w:val="20"/>
                <w:lang w:val="en-US"/>
              </w:rPr>
              <w:fldChar w:fldCharType="end"/>
            </w:r>
          </w:p>
        </w:tc>
        <w:tc>
          <w:tcPr>
            <w:tcW w:w="992" w:type="dxa"/>
          </w:tcPr>
          <w:p w14:paraId="6FE8F2E3" w14:textId="4C851B2F"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56BAE11B" w14:textId="6692C892"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5A5A9F59" w14:textId="066111EB"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61A011AA" w14:textId="0125E379"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4D29C05" w14:textId="58DB8B1A" w:rsidR="00FF4BD9" w:rsidRPr="00EC3E91" w:rsidRDefault="00226199" w:rsidP="00060412">
            <w:pPr>
              <w:rPr>
                <w:rFonts w:cstheme="minorHAnsi"/>
                <w:sz w:val="20"/>
                <w:szCs w:val="20"/>
                <w:lang w:val="en-US"/>
              </w:rPr>
            </w:pPr>
            <w:r>
              <w:rPr>
                <w:rFonts w:cstheme="minorHAnsi"/>
                <w:sz w:val="20"/>
                <w:szCs w:val="20"/>
                <w:lang w:val="en-US"/>
              </w:rPr>
              <w:t>Imaging</w:t>
            </w:r>
          </w:p>
        </w:tc>
        <w:tc>
          <w:tcPr>
            <w:tcW w:w="2126" w:type="dxa"/>
          </w:tcPr>
          <w:p w14:paraId="2EB84FEC" w14:textId="08069EE6" w:rsidR="00FF4BD9" w:rsidRPr="00EC3E91" w:rsidRDefault="00FF4BD9" w:rsidP="00060412">
            <w:pPr>
              <w:rPr>
                <w:rFonts w:cstheme="minorHAnsi"/>
                <w:sz w:val="20"/>
                <w:szCs w:val="20"/>
                <w:lang w:val="en-US"/>
              </w:rPr>
            </w:pPr>
            <w:r w:rsidRPr="00EC3E91">
              <w:rPr>
                <w:rFonts w:cstheme="minorHAnsi"/>
                <w:sz w:val="20"/>
                <w:szCs w:val="20"/>
                <w:lang w:val="en-US"/>
              </w:rPr>
              <w:t xml:space="preserve">Unindicated Dual-Phase </w:t>
            </w:r>
            <w:r w:rsidR="00A8539C" w:rsidRPr="00EC3E91">
              <w:rPr>
                <w:rFonts w:cstheme="minorHAnsi"/>
                <w:sz w:val="20"/>
                <w:szCs w:val="20"/>
                <w:lang w:val="en-US"/>
              </w:rPr>
              <w:t>Head CT</w:t>
            </w:r>
            <w:r w:rsidRPr="00EC3E91">
              <w:rPr>
                <w:rFonts w:cstheme="minorHAnsi"/>
                <w:sz w:val="20"/>
                <w:szCs w:val="20"/>
                <w:lang w:val="en-US"/>
              </w:rPr>
              <w:t xml:space="preserve"> Examinations</w:t>
            </w:r>
          </w:p>
        </w:tc>
        <w:tc>
          <w:tcPr>
            <w:tcW w:w="3969" w:type="dxa"/>
          </w:tcPr>
          <w:p w14:paraId="6FDEDDFC" w14:textId="61DB4094" w:rsidR="00FF4BD9" w:rsidRPr="00EC3E91" w:rsidRDefault="00FF4BD9" w:rsidP="00D11821">
            <w:pPr>
              <w:rPr>
                <w:rFonts w:cstheme="minorHAnsi"/>
                <w:sz w:val="20"/>
                <w:szCs w:val="20"/>
                <w:lang w:val="en-US"/>
              </w:rPr>
            </w:pPr>
            <w:r w:rsidRPr="00EC3E91">
              <w:rPr>
                <w:rFonts w:cstheme="minorHAnsi"/>
                <w:sz w:val="20"/>
                <w:szCs w:val="20"/>
                <w:lang w:val="en-US"/>
              </w:rPr>
              <w:t>Appropriateness Criteria. From the American College of Radiology</w:t>
            </w:r>
          </w:p>
        </w:tc>
        <w:tc>
          <w:tcPr>
            <w:tcW w:w="2551" w:type="dxa"/>
          </w:tcPr>
          <w:p w14:paraId="53F6F0CD" w14:textId="5F6FB8A0" w:rsidR="00FF4BD9" w:rsidRPr="00EC3E91" w:rsidRDefault="00FF4BD9" w:rsidP="00060412">
            <w:pPr>
              <w:rPr>
                <w:rFonts w:cstheme="minorHAnsi"/>
                <w:sz w:val="20"/>
                <w:szCs w:val="20"/>
                <w:lang w:val="en-US"/>
              </w:rPr>
            </w:pPr>
            <w:r w:rsidRPr="00EC3E91">
              <w:rPr>
                <w:rFonts w:cstheme="minorHAnsi"/>
                <w:sz w:val="20"/>
                <w:szCs w:val="20"/>
                <w:lang w:val="en-US"/>
              </w:rPr>
              <w:t>distribute educational materials, develop educational materials, provide clinical supervision, audit and provide feedback, [ACCOUNTABILITY TOOL]</w:t>
            </w:r>
          </w:p>
        </w:tc>
      </w:tr>
      <w:tr w:rsidR="00FF4BD9" w:rsidRPr="00E119DD" w14:paraId="63A230F1" w14:textId="77777777" w:rsidTr="00FF4BD9">
        <w:trPr>
          <w:tblHeader/>
        </w:trPr>
        <w:tc>
          <w:tcPr>
            <w:tcW w:w="709" w:type="dxa"/>
          </w:tcPr>
          <w:p w14:paraId="3DE4C626" w14:textId="791DC669"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{"citationItems":[{"id":"ITEM-1","itemData":{"ISSN":"1876-7591","abstract":"OBJECTIVES: This study evaluated utilization of stress echocardiography (SE) at our institution, the impact of the updated 2011 appropriate use criteria (AUC) on appropriateness ratings, correlation of AUC to radiology benefits managers' (RBM) pre-certification guidelines and the effect of temporal trends and an AUC-based educational project on appropriateness. BACKGROUND: The AUC for SE have been developed to improve efficiency of utilization and promote optimal patient care. METHODS: We classified the appropriateness of 209 SEs from 2008 using the original and updated AUC. We also performed pre-authorization determinations on these SEs using the guidelines of 2 RBMs. We then classified and compared the appropriateness of 209 SEs from 2011 using the updated criteria to that of the 2008 cohort. Finally, we rated and compared 111 SEs requested by cardiologists after an educational project to 111 SEs referred before the intervention. RESULTS: Overall, nearly one-third of SEs were requested for inappropriate indications. Using 2011 AUC, the original ratings of 52 (25%) studies by AUC 2008 were changed and the number of unclassified SE decreased from 20 (9.6%) to 2 (1%). Correlation between RBM pre-authorization determination and AUC ratings was substantial for the first RBM (kappa = 0.625) and fair for the second (kappa = 0.358). However, 12.9% and 41.9% of studies classified as appropriate or uncertain by the AUC would not have received pre-authorization according to the guidelines of the first and second RBMs, respectively. Referrals of inappropriate SE did not decrease over time or with an educational intervention. CONCLUSIONS: The revisions in the updated AUC improve their clinical application by encompassing nearly all indications for SE. The limited correlation between AUC ratings and RBM determinations suggests a need for greater consistency. The large number of SE requested for inappropriate indications at our institution did not decrease with time or education.","author":[{"dropping-particle":"","family":"Willens","given":"H J","non-dropping-particle":"","parse-names":false,"suffix":""},{"dropping-particle":"","family":"Nelson","given":"K","non-dropping-particle":"","parse-names":false,"suffix":""},{"dropping-particle":"","family":"Hendel","given":"R C","non-dropping-particle":"","parse-names":false,"suffix":""}],"container-title":"Jacc: Cardiovascular Imaging","id":"ITEM-1","issue":"3","issued":{"date-parts":[["2013"]]},"page":"297-309","title":"Appropriate use criteria for stress echocardiography: impact of updated criteria on appropriateness ratings, correlation with pre-authorization guidelines, and effect of temporal trends and an educational initiative on utilization","type":"article-journal","volume":"6"},"uris":["http://www.mendeley.com/documents/?uuid=3dced995-9608-4628-b9ee-b9c62b702006"]}],"mendeley":{"formattedCitation":"(42)","plainTextFormattedCitation":"(42)","previouslyFormattedCitation":"(42)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(42)</w:t>
            </w:r>
            <w:r w:rsidRPr="00EC3E91">
              <w:rPr>
                <w:rFonts w:cstheme="minorHAnsi"/>
                <w:sz w:val="20"/>
                <w:szCs w:val="20"/>
                <w:lang w:val="en-US"/>
              </w:rPr>
              <w:fldChar w:fldCharType="end"/>
            </w:r>
          </w:p>
        </w:tc>
        <w:tc>
          <w:tcPr>
            <w:tcW w:w="992" w:type="dxa"/>
          </w:tcPr>
          <w:p w14:paraId="0C927381" w14:textId="745D7504"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6965CB37" w14:textId="1C4C283F" w:rsidR="00FF4BD9" w:rsidRPr="00EC3E91" w:rsidRDefault="00FF4BD9" w:rsidP="00060412">
            <w:pPr>
              <w:rPr>
                <w:rFonts w:cstheme="minorHAnsi"/>
                <w:sz w:val="20"/>
                <w:szCs w:val="20"/>
                <w:lang w:val="en-US"/>
              </w:rPr>
            </w:pPr>
            <w:r w:rsidRPr="00EC3E91">
              <w:rPr>
                <w:rFonts w:cstheme="minorHAnsi"/>
                <w:sz w:val="20"/>
                <w:szCs w:val="20"/>
                <w:lang w:val="en-US"/>
              </w:rPr>
              <w:t>Multiple settings</w:t>
            </w:r>
          </w:p>
        </w:tc>
        <w:tc>
          <w:tcPr>
            <w:tcW w:w="850" w:type="dxa"/>
          </w:tcPr>
          <w:p w14:paraId="0131F565" w14:textId="0C168A45" w:rsidR="00FF4BD9" w:rsidRPr="00EC3E91" w:rsidRDefault="00FF4BD9" w:rsidP="00060412">
            <w:pPr>
              <w:rPr>
                <w:rFonts w:cstheme="minorHAnsi"/>
                <w:sz w:val="20"/>
                <w:szCs w:val="20"/>
                <w:lang w:val="en-US"/>
              </w:rPr>
            </w:pPr>
            <w:r w:rsidRPr="00EC3E91">
              <w:rPr>
                <w:rFonts w:cstheme="minorHAnsi"/>
                <w:sz w:val="20"/>
                <w:szCs w:val="20"/>
                <w:lang w:val="en-US"/>
              </w:rPr>
              <w:t>Quant Cohort</w:t>
            </w:r>
          </w:p>
        </w:tc>
        <w:tc>
          <w:tcPr>
            <w:tcW w:w="851" w:type="dxa"/>
          </w:tcPr>
          <w:p w14:paraId="749FD331" w14:textId="7EF8C5DA"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32760526" w14:textId="09EE7F58" w:rsidR="00FF4BD9" w:rsidRPr="00EC3E91" w:rsidRDefault="00FF4BD9" w:rsidP="00060412">
            <w:pPr>
              <w:rPr>
                <w:rFonts w:cstheme="minorHAnsi"/>
                <w:sz w:val="20"/>
                <w:szCs w:val="20"/>
                <w:lang w:val="en-US"/>
              </w:rPr>
            </w:pPr>
            <w:r w:rsidRPr="00EC3E91">
              <w:rPr>
                <w:rFonts w:cstheme="minorHAnsi"/>
                <w:sz w:val="20"/>
                <w:szCs w:val="20"/>
                <w:lang w:val="en-US"/>
              </w:rPr>
              <w:t>Echocardiography</w:t>
            </w:r>
          </w:p>
        </w:tc>
        <w:tc>
          <w:tcPr>
            <w:tcW w:w="2126" w:type="dxa"/>
          </w:tcPr>
          <w:p w14:paraId="74B05C0B" w14:textId="3FDEB3F9" w:rsidR="00FF4BD9" w:rsidRPr="00EC3E91" w:rsidRDefault="00FF4BD9" w:rsidP="00060412">
            <w:pPr>
              <w:rPr>
                <w:rFonts w:cstheme="minorHAnsi"/>
                <w:sz w:val="20"/>
                <w:szCs w:val="20"/>
                <w:lang w:val="en-US"/>
              </w:rPr>
            </w:pPr>
            <w:r w:rsidRPr="00EC3E91">
              <w:rPr>
                <w:rFonts w:cstheme="minorHAnsi"/>
                <w:sz w:val="20"/>
                <w:szCs w:val="20"/>
                <w:lang w:val="en-US"/>
              </w:rPr>
              <w:t>Inappropriate stress echocardiography</w:t>
            </w:r>
          </w:p>
        </w:tc>
        <w:tc>
          <w:tcPr>
            <w:tcW w:w="3969" w:type="dxa"/>
          </w:tcPr>
          <w:p w14:paraId="05179A93" w14:textId="26C71ACD" w:rsidR="00FF4BD9" w:rsidRPr="00EC3E91" w:rsidRDefault="00FF4BD9" w:rsidP="00D11821">
            <w:pPr>
              <w:rPr>
                <w:rFonts w:cstheme="minorHAnsi"/>
                <w:sz w:val="20"/>
                <w:szCs w:val="20"/>
                <w:lang w:val="en-US"/>
              </w:rPr>
            </w:pPr>
            <w:r w:rsidRPr="00EC3E91">
              <w:rPr>
                <w:rFonts w:cstheme="minorHAnsi"/>
                <w:sz w:val="20"/>
                <w:szCs w:val="20"/>
                <w:lang w:val="en-US"/>
              </w:rPr>
              <w:t xml:space="preserve">Appropriateness criteria for trans-thoracic and transesophageal echocardiography: a report of the American College of Cardiology Foundation Quality Strategic Directions Committee Appropriateness Criteria Working Group. </w:t>
            </w:r>
          </w:p>
          <w:p w14:paraId="7591BB7C" w14:textId="77777777" w:rsidR="00FF4BD9" w:rsidRPr="00EC3E91" w:rsidRDefault="00FF4BD9" w:rsidP="00D11821">
            <w:pPr>
              <w:rPr>
                <w:rFonts w:cstheme="minorHAnsi"/>
                <w:sz w:val="20"/>
                <w:szCs w:val="20"/>
                <w:lang w:val="en-US"/>
              </w:rPr>
            </w:pPr>
          </w:p>
          <w:p w14:paraId="72D28C30" w14:textId="718193D0" w:rsidR="00FF4BD9" w:rsidRPr="00EC3E91" w:rsidRDefault="00FF4BD9" w:rsidP="00D11821">
            <w:pPr>
              <w:rPr>
                <w:rFonts w:cstheme="minorHAnsi"/>
                <w:sz w:val="20"/>
                <w:szCs w:val="20"/>
                <w:lang w:val="en-US"/>
              </w:rPr>
            </w:pPr>
            <w:r w:rsidRPr="00EC3E91">
              <w:rPr>
                <w:rFonts w:cstheme="minorHAnsi"/>
                <w:sz w:val="20"/>
                <w:szCs w:val="20"/>
                <w:lang w:val="en-US"/>
              </w:rPr>
              <w:t xml:space="preserve">Appropriateness   criteria   for   </w:t>
            </w:r>
            <w:r w:rsidR="00A8539C" w:rsidRPr="00EC3E91">
              <w:rPr>
                <w:rFonts w:cstheme="minorHAnsi"/>
                <w:sz w:val="20"/>
                <w:szCs w:val="20"/>
                <w:lang w:val="en-US"/>
              </w:rPr>
              <w:t>stress echo</w:t>
            </w:r>
            <w:r w:rsidRPr="00EC3E91">
              <w:rPr>
                <w:rFonts w:cstheme="minorHAnsi"/>
                <w:sz w:val="20"/>
                <w:szCs w:val="20"/>
                <w:lang w:val="en-US"/>
              </w:rPr>
              <w:t xml:space="preserve">: a report of the American </w:t>
            </w:r>
            <w:r w:rsidR="00A8539C" w:rsidRPr="00EC3E91">
              <w:rPr>
                <w:rFonts w:cstheme="minorHAnsi"/>
                <w:sz w:val="20"/>
                <w:szCs w:val="20"/>
                <w:lang w:val="en-US"/>
              </w:rPr>
              <w:t xml:space="preserve">College </w:t>
            </w:r>
            <w:r w:rsidR="005A7558" w:rsidRPr="00EC3E91">
              <w:rPr>
                <w:rFonts w:cstheme="minorHAnsi"/>
                <w:sz w:val="20"/>
                <w:szCs w:val="20"/>
                <w:lang w:val="en-US"/>
              </w:rPr>
              <w:t xml:space="preserve">of </w:t>
            </w:r>
            <w:r w:rsidR="008E3BEF" w:rsidRPr="00EC3E91">
              <w:rPr>
                <w:rFonts w:cstheme="minorHAnsi"/>
                <w:sz w:val="20"/>
                <w:szCs w:val="20"/>
                <w:lang w:val="en-US"/>
              </w:rPr>
              <w:t xml:space="preserve">Cardiology </w:t>
            </w:r>
            <w:r w:rsidR="002858BD" w:rsidRPr="00EC3E91">
              <w:rPr>
                <w:rFonts w:cstheme="minorHAnsi"/>
                <w:sz w:val="20"/>
                <w:szCs w:val="20"/>
                <w:lang w:val="en-US"/>
              </w:rPr>
              <w:t xml:space="preserve">Foundation </w:t>
            </w:r>
            <w:r w:rsidR="001026C6" w:rsidRPr="00EC3E91">
              <w:rPr>
                <w:rFonts w:cstheme="minorHAnsi"/>
                <w:sz w:val="20"/>
                <w:szCs w:val="20"/>
                <w:lang w:val="en-US"/>
              </w:rPr>
              <w:t xml:space="preserve">Appropriateness </w:t>
            </w:r>
            <w:r w:rsidR="009C6C1F" w:rsidRPr="00EC3E91">
              <w:rPr>
                <w:rFonts w:cstheme="minorHAnsi"/>
                <w:sz w:val="20"/>
                <w:szCs w:val="20"/>
                <w:lang w:val="en-US"/>
              </w:rPr>
              <w:t>Criteria Task Force</w:t>
            </w:r>
          </w:p>
          <w:p w14:paraId="12590F4B" w14:textId="77777777" w:rsidR="00FF4BD9" w:rsidRPr="00EC3E91" w:rsidRDefault="00FF4BD9" w:rsidP="00D11821">
            <w:pPr>
              <w:rPr>
                <w:rFonts w:cstheme="minorHAnsi"/>
                <w:sz w:val="20"/>
                <w:szCs w:val="20"/>
                <w:lang w:val="en-US"/>
              </w:rPr>
            </w:pPr>
          </w:p>
          <w:p w14:paraId="2CC7F8A6" w14:textId="58DC581B" w:rsidR="00FF4BD9" w:rsidRPr="00EC3E91" w:rsidRDefault="00A8539C" w:rsidP="00481638">
            <w:pPr>
              <w:rPr>
                <w:rFonts w:cstheme="minorHAnsi"/>
                <w:sz w:val="20"/>
                <w:szCs w:val="20"/>
                <w:lang w:val="en-US"/>
              </w:rPr>
            </w:pPr>
            <w:r w:rsidRPr="00EC3E91">
              <w:rPr>
                <w:rFonts w:cstheme="minorHAnsi"/>
                <w:sz w:val="20"/>
                <w:szCs w:val="20"/>
                <w:lang w:val="en-US"/>
              </w:rPr>
              <w:t xml:space="preserve">Appropriate </w:t>
            </w:r>
            <w:r w:rsidR="005A7558" w:rsidRPr="00EC3E91">
              <w:rPr>
                <w:rFonts w:cstheme="minorHAnsi"/>
                <w:sz w:val="20"/>
                <w:szCs w:val="20"/>
                <w:lang w:val="en-US"/>
              </w:rPr>
              <w:t>use criteria</w:t>
            </w:r>
            <w:r w:rsidR="00FF4BD9" w:rsidRPr="00EC3E91">
              <w:rPr>
                <w:rFonts w:cstheme="minorHAnsi"/>
                <w:sz w:val="20"/>
                <w:szCs w:val="20"/>
                <w:lang w:val="en-US"/>
              </w:rPr>
              <w:t xml:space="preserve"> </w:t>
            </w:r>
            <w:r w:rsidR="008E3BEF" w:rsidRPr="00EC3E91">
              <w:rPr>
                <w:rFonts w:cstheme="minorHAnsi"/>
                <w:sz w:val="20"/>
                <w:szCs w:val="20"/>
                <w:lang w:val="en-US"/>
              </w:rPr>
              <w:t>for echocardiography</w:t>
            </w:r>
            <w:r w:rsidR="00FF4BD9" w:rsidRPr="00EC3E91">
              <w:rPr>
                <w:rFonts w:cstheme="minorHAnsi"/>
                <w:sz w:val="20"/>
                <w:szCs w:val="20"/>
                <w:lang w:val="en-US"/>
              </w:rPr>
              <w:t xml:space="preserve">:  </w:t>
            </w:r>
            <w:r w:rsidR="002858BD" w:rsidRPr="00EC3E91">
              <w:rPr>
                <w:rFonts w:cstheme="minorHAnsi"/>
                <w:sz w:val="20"/>
                <w:szCs w:val="20"/>
                <w:lang w:val="en-US"/>
              </w:rPr>
              <w:t xml:space="preserve">a </w:t>
            </w:r>
            <w:r w:rsidR="001026C6" w:rsidRPr="00EC3E91">
              <w:rPr>
                <w:rFonts w:cstheme="minorHAnsi"/>
                <w:sz w:val="20"/>
                <w:szCs w:val="20"/>
                <w:lang w:val="en-US"/>
              </w:rPr>
              <w:t xml:space="preserve">report </w:t>
            </w:r>
            <w:r w:rsidR="009C6C1F" w:rsidRPr="00EC3E91">
              <w:rPr>
                <w:rFonts w:cstheme="minorHAnsi"/>
                <w:sz w:val="20"/>
                <w:szCs w:val="20"/>
                <w:lang w:val="en-US"/>
              </w:rPr>
              <w:t>of the</w:t>
            </w:r>
            <w:r w:rsidR="00FF4BD9" w:rsidRPr="00EC3E91">
              <w:rPr>
                <w:rFonts w:cstheme="minorHAnsi"/>
                <w:sz w:val="20"/>
                <w:szCs w:val="20"/>
                <w:lang w:val="en-US"/>
              </w:rPr>
              <w:t xml:space="preserve"> American   College   of   Cardiology Foundation Appropriate Use Criteria Task   Force.</w:t>
            </w:r>
          </w:p>
        </w:tc>
        <w:tc>
          <w:tcPr>
            <w:tcW w:w="2551" w:type="dxa"/>
          </w:tcPr>
          <w:p w14:paraId="0E9ACC74" w14:textId="3A1B95AF" w:rsidR="00FF4BD9" w:rsidRPr="00EC3E91" w:rsidRDefault="00FF4BD9" w:rsidP="00060412">
            <w:pPr>
              <w:rPr>
                <w:rFonts w:cstheme="minorHAnsi"/>
                <w:sz w:val="20"/>
                <w:szCs w:val="20"/>
                <w:lang w:val="en-US"/>
              </w:rPr>
            </w:pPr>
            <w:r w:rsidRPr="00EC3E91">
              <w:rPr>
                <w:rFonts w:cstheme="minorHAnsi"/>
                <w:sz w:val="20"/>
                <w:szCs w:val="20"/>
                <w:lang w:val="en-US"/>
              </w:rPr>
              <w:t>conduct educational meetings, develop educational materials</w:t>
            </w:r>
          </w:p>
        </w:tc>
      </w:tr>
      <w:tr w:rsidR="00FF4BD9" w:rsidRPr="00E119DD" w14:paraId="66ECACDE" w14:textId="77777777" w:rsidTr="00FF4BD9">
        <w:trPr>
          <w:tblHeader/>
        </w:trPr>
        <w:tc>
          <w:tcPr>
            <w:tcW w:w="709" w:type="dxa"/>
          </w:tcPr>
          <w:p w14:paraId="603C6D3C" w14:textId="7B25B688"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{"citationItems":[{"id":"ITEM-1","itemData":{"ISSN":"1475-2875","abstract":"BACKGROUND: Effective case management of uncomplicated malaria is a fundamental pillar of malaria control. Little is known about the various steps in designing interventions to accompany the roll out of rapid diagnostic tests (RDTs) and artemisinin-based combination therapy (ACT). This study documents the process of designing and implementing interventions to change clinicians' practice in the management of uncomplicated malaria. METHODS: A literature review combined with formative quantitative and qualitative research were carried out to determine patterns of malaria diagnosis and treatment and to understand how malaria and its treatment are enacted by clinicians. These findings were used, alongside a comprehensive review of previous interventions, to identify possible strategies for changing the behaviour of clinicians when diagnosing and treating uncomplicated malaria. These strategies were discussed with ministry of health representatives and other stakeholders. Two intervention packages - a basic and an enhanced training were outlined, together with logic model to show how each was hypothesized to increase testing for malaria, improve adherence to test results and increase appropriate use of ACT. The basic training targeted clinicians' knowledge of malaria diagnosis, rapid diagnostic testing and malaria treatment. The enhanced training included additional modules on adapting to change, professionalism and communicating effectively. Modules were delivered using small-group work, card games, drama and role play. Interventions were piloted, adapted and trainers were trained before final implementation. RESULTS: Ninety-six clinicians from 37 health facilities in Bamenda and Yaounde sites attended either 1-day basic or 3-day enhanced training. The trained clinicians then trained 632 of their peers at their health facilities. Evaluation of the training revealed that 68% of participants receiving the basic and 92% of those receiving the enhanced training strongly agreed that it is not appropriate to prescribe anti-malarials to a patient if they have a negative RDT result. CONCLUSION: Formative research was an important first step, and it was valuable to engage stakeholders early in the process. A logic model and literature reviews were useful to identify key elements and mechanisms for behaviour change intervention. An iterative process with feedback loops allowed appropriate development and implementation of the intervention. TRIAL REGISTRATION: Clinical…","author":[{"dropping-particle":"","family":"Achonduh","given":"O A","non-dropping-particle":"","parse-names":false,"suffix":""},{"dropping-particle":"","family":"Mbacham","given":"W F","non-dropping-particle":"","parse-names":false,"suffix":""},{"dropping-particle":"","family":"Mangham-Jefferies","given":"L","non-dropping-particle":"","parse-names":false,"suffix":""},{"dropping-particle":"","family":"Cundill","given":"B","non-dropping-particle":"","parse-names":false,"suffix":""},{"dropping-particle":"","family":"Ch","given":"","non-dropping-particle":"","parse-names":false,"suffix":""},{"dropping-particle":"","family":"Ler","given":"C","non-dropping-particle":"","parse-names":false,"suffix":""},{"dropping-particle":"","family":"Pamen-Ngako","given":"J","non-dropping-particle":"","parse-names":false,"suffix":""},{"dropping-particle":"","family":"Lele","given":"A K","non-dropping-particle":"","parse-names":false,"suffix":""},{"dropping-particle":"","family":"Ndong","given":"I C","non-dropping-particle":"","parse-names":false,"suffix":""},{"dropping-particle":"","family":"Ndive","given":"S N","non-dropping-particle":"","parse-names":false,"suffix":""},{"dropping-particle":"","family":"Ambebila","given":"J N","non-dropping-particle":"","parse-names":false,"suffix":""},{"dropping-particle":"","family":"Orang-Ojong","given":"B B","non-dropping-particle":"","parse-names":false,"suffix":""},{"dropping-particle":"","family":"Metoh","given":"T N","non-dropping-particle":"","parse-names":false,"suffix":""},{"dropping-particle":"","family":"Akindeh-Nji","given":"M","non-dropping-particle":"","parse-names":false,"suffix":""},{"dropping-particle":"","family":"Wiseman","given":"V","non-dropping-particle":"","parse-names":false,"suffix":""}],"container-title":"Malaria Journal","id":"ITEM-1","issued":{"date-parts":[["2014"]]},"page":"204","title":"Designing and implementing interventions to change clinicians' practice in the management of uncomplicated malaria: lessons from Cameroon","type":"article-journal","volume":"13"},"uris":["http://www.mendeley.com/documents/?uuid=33651978-a147-4c97-97be-910fb30c7877"]}],"mendeley":{"formattedCitation":"(43)","plainTextFormattedCitation":"(43)","previouslyFormattedCitation":"(43)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(43)</w:t>
            </w:r>
            <w:r w:rsidRPr="00EC3E91">
              <w:rPr>
                <w:rFonts w:cstheme="minorHAnsi"/>
                <w:sz w:val="20"/>
                <w:szCs w:val="20"/>
                <w:lang w:val="en-US"/>
              </w:rPr>
              <w:fldChar w:fldCharType="end"/>
            </w:r>
          </w:p>
        </w:tc>
        <w:tc>
          <w:tcPr>
            <w:tcW w:w="992" w:type="dxa"/>
          </w:tcPr>
          <w:p w14:paraId="09376EEB" w14:textId="2D92AF4B" w:rsidR="00FF4BD9" w:rsidRPr="00EC3E91" w:rsidRDefault="00FF4BD9" w:rsidP="00060412">
            <w:pPr>
              <w:rPr>
                <w:rFonts w:cstheme="minorHAnsi"/>
                <w:sz w:val="20"/>
                <w:szCs w:val="20"/>
                <w:lang w:val="en-US"/>
              </w:rPr>
            </w:pPr>
            <w:r w:rsidRPr="00EC3E91">
              <w:rPr>
                <w:rFonts w:cstheme="minorHAnsi"/>
                <w:sz w:val="20"/>
                <w:szCs w:val="20"/>
                <w:lang w:val="en-US"/>
              </w:rPr>
              <w:t>Cameroon</w:t>
            </w:r>
          </w:p>
        </w:tc>
        <w:tc>
          <w:tcPr>
            <w:tcW w:w="993" w:type="dxa"/>
          </w:tcPr>
          <w:p w14:paraId="2EA6D1DD" w14:textId="2A3CE3CE" w:rsidR="00FF4BD9" w:rsidRPr="00EC3E91" w:rsidRDefault="00FF4BD9" w:rsidP="00060412">
            <w:pPr>
              <w:rPr>
                <w:rFonts w:cstheme="minorHAnsi"/>
                <w:sz w:val="20"/>
                <w:szCs w:val="20"/>
                <w:lang w:val="en-US"/>
              </w:rPr>
            </w:pPr>
            <w:r w:rsidRPr="00EC3E91">
              <w:rPr>
                <w:rFonts w:cstheme="minorHAnsi"/>
                <w:sz w:val="20"/>
                <w:szCs w:val="20"/>
                <w:lang w:val="en-US"/>
              </w:rPr>
              <w:t>Multiple settings</w:t>
            </w:r>
          </w:p>
        </w:tc>
        <w:tc>
          <w:tcPr>
            <w:tcW w:w="850" w:type="dxa"/>
          </w:tcPr>
          <w:p w14:paraId="50CDD05E" w14:textId="70EA9696" w:rsidR="00FF4BD9" w:rsidRPr="00EC3E91" w:rsidRDefault="00FF4BD9" w:rsidP="00060412">
            <w:pPr>
              <w:rPr>
                <w:rFonts w:cstheme="minorHAnsi"/>
                <w:sz w:val="20"/>
                <w:szCs w:val="20"/>
                <w:lang w:val="en-US"/>
              </w:rPr>
            </w:pPr>
            <w:r w:rsidRPr="00EC3E91">
              <w:rPr>
                <w:rFonts w:cstheme="minorHAnsi"/>
                <w:sz w:val="20"/>
                <w:szCs w:val="20"/>
                <w:lang w:val="en-US"/>
              </w:rPr>
              <w:t xml:space="preserve">Mixed Case study </w:t>
            </w:r>
          </w:p>
        </w:tc>
        <w:tc>
          <w:tcPr>
            <w:tcW w:w="851" w:type="dxa"/>
          </w:tcPr>
          <w:p w14:paraId="02BF9220" w14:textId="7AA7DDED" w:rsidR="00FF4BD9" w:rsidRPr="00EC3E91" w:rsidRDefault="00FF4BD9" w:rsidP="00060412">
            <w:pPr>
              <w:rPr>
                <w:rFonts w:cstheme="minorHAnsi"/>
                <w:sz w:val="20"/>
                <w:szCs w:val="20"/>
                <w:lang w:val="en-US"/>
              </w:rPr>
            </w:pPr>
            <w:r w:rsidRPr="00EC3E91">
              <w:rPr>
                <w:rFonts w:cstheme="minorHAnsi"/>
                <w:sz w:val="20"/>
                <w:szCs w:val="20"/>
                <w:lang w:val="en-US"/>
              </w:rPr>
              <w:t>Process evaluation</w:t>
            </w:r>
          </w:p>
        </w:tc>
        <w:tc>
          <w:tcPr>
            <w:tcW w:w="1134" w:type="dxa"/>
          </w:tcPr>
          <w:p w14:paraId="0A557F4A" w14:textId="554AF0F0" w:rsidR="00FF4BD9" w:rsidRPr="00EC3E91" w:rsidRDefault="00FF4BD9" w:rsidP="00060412">
            <w:pPr>
              <w:rPr>
                <w:rFonts w:cstheme="minorHAnsi"/>
                <w:sz w:val="20"/>
                <w:szCs w:val="20"/>
                <w:lang w:val="en-US"/>
              </w:rPr>
            </w:pPr>
            <w:r w:rsidRPr="00EC3E91">
              <w:rPr>
                <w:rFonts w:cstheme="minorHAnsi"/>
                <w:sz w:val="20"/>
                <w:szCs w:val="20"/>
                <w:lang w:val="en-US"/>
              </w:rPr>
              <w:t xml:space="preserve">Anti-malarials </w:t>
            </w:r>
          </w:p>
        </w:tc>
        <w:tc>
          <w:tcPr>
            <w:tcW w:w="2126" w:type="dxa"/>
          </w:tcPr>
          <w:p w14:paraId="0D00ED11" w14:textId="20BE0796" w:rsidR="00FF4BD9" w:rsidRPr="00EC3E91" w:rsidRDefault="00FF4BD9" w:rsidP="00060412">
            <w:pPr>
              <w:rPr>
                <w:rFonts w:cstheme="minorHAnsi"/>
                <w:sz w:val="20"/>
                <w:szCs w:val="20"/>
                <w:lang w:val="en-US"/>
              </w:rPr>
            </w:pPr>
            <w:r w:rsidRPr="00EC3E91">
              <w:rPr>
                <w:rFonts w:cstheme="minorHAnsi"/>
                <w:sz w:val="20"/>
                <w:szCs w:val="20"/>
                <w:lang w:val="en-US"/>
              </w:rPr>
              <w:t>Over-</w:t>
            </w:r>
            <w:r w:rsidR="00A8539C" w:rsidRPr="00EC3E91">
              <w:rPr>
                <w:rFonts w:cstheme="minorHAnsi"/>
                <w:sz w:val="20"/>
                <w:szCs w:val="20"/>
                <w:lang w:val="en-US"/>
              </w:rPr>
              <w:t>diagnosis, over</w:t>
            </w:r>
            <w:r w:rsidRPr="00EC3E91">
              <w:rPr>
                <w:rFonts w:cstheme="minorHAnsi"/>
                <w:sz w:val="20"/>
                <w:szCs w:val="20"/>
                <w:lang w:val="en-US"/>
              </w:rPr>
              <w:t>-</w:t>
            </w:r>
            <w:r w:rsidR="005A7558" w:rsidRPr="00EC3E91">
              <w:rPr>
                <w:rFonts w:cstheme="minorHAnsi"/>
                <w:sz w:val="20"/>
                <w:szCs w:val="20"/>
                <w:lang w:val="en-US"/>
              </w:rPr>
              <w:t xml:space="preserve">prescription </w:t>
            </w:r>
            <w:r w:rsidR="008E3BEF" w:rsidRPr="00EC3E91">
              <w:rPr>
                <w:rFonts w:cstheme="minorHAnsi"/>
                <w:sz w:val="20"/>
                <w:szCs w:val="20"/>
                <w:lang w:val="en-US"/>
              </w:rPr>
              <w:t>of anti</w:t>
            </w:r>
            <w:r w:rsidRPr="00EC3E91">
              <w:rPr>
                <w:rFonts w:cstheme="minorHAnsi"/>
                <w:sz w:val="20"/>
                <w:szCs w:val="20"/>
                <w:lang w:val="en-US"/>
              </w:rPr>
              <w:t>-</w:t>
            </w:r>
            <w:r w:rsidR="002858BD" w:rsidRPr="00EC3E91">
              <w:rPr>
                <w:rFonts w:cstheme="minorHAnsi"/>
                <w:sz w:val="20"/>
                <w:szCs w:val="20"/>
                <w:lang w:val="en-US"/>
              </w:rPr>
              <w:t>malarials and</w:t>
            </w:r>
            <w:r w:rsidRPr="00EC3E91">
              <w:rPr>
                <w:rFonts w:cstheme="minorHAnsi"/>
                <w:sz w:val="20"/>
                <w:szCs w:val="20"/>
                <w:lang w:val="en-US"/>
              </w:rPr>
              <w:t xml:space="preserve"> under-prescription of ACT</w:t>
            </w:r>
          </w:p>
        </w:tc>
        <w:tc>
          <w:tcPr>
            <w:tcW w:w="3969" w:type="dxa"/>
          </w:tcPr>
          <w:p w14:paraId="77934B9A" w14:textId="44360003" w:rsidR="00FF4BD9" w:rsidRPr="00EC3E91" w:rsidRDefault="00FF4BD9" w:rsidP="00481638">
            <w:pPr>
              <w:rPr>
                <w:rFonts w:cstheme="minorHAnsi"/>
                <w:sz w:val="20"/>
                <w:szCs w:val="20"/>
                <w:lang w:val="en-US"/>
              </w:rPr>
            </w:pPr>
            <w:r w:rsidRPr="00EC3E91">
              <w:rPr>
                <w:rFonts w:cstheme="minorHAnsi"/>
                <w:sz w:val="20"/>
                <w:szCs w:val="20"/>
                <w:lang w:val="en-US"/>
              </w:rPr>
              <w:t>Guidelines for the Treatment of Malaria. WHO</w:t>
            </w:r>
          </w:p>
        </w:tc>
        <w:tc>
          <w:tcPr>
            <w:tcW w:w="2551" w:type="dxa"/>
          </w:tcPr>
          <w:p w14:paraId="68C84ADB" w14:textId="6E60F990" w:rsidR="00FF4BD9" w:rsidRPr="00EC3E91" w:rsidRDefault="00FF4BD9" w:rsidP="00060412">
            <w:pPr>
              <w:rPr>
                <w:rFonts w:cstheme="minorHAnsi"/>
                <w:sz w:val="20"/>
                <w:szCs w:val="20"/>
                <w:lang w:val="en-US"/>
              </w:rPr>
            </w:pPr>
            <w:r w:rsidRPr="00EC3E91">
              <w:rPr>
                <w:rFonts w:cstheme="minorHAnsi"/>
                <w:sz w:val="20"/>
                <w:szCs w:val="20"/>
                <w:lang w:val="en-US"/>
              </w:rPr>
              <w:t>use train the trainer techniques</w:t>
            </w:r>
          </w:p>
        </w:tc>
      </w:tr>
      <w:tr w:rsidR="00FF4BD9" w:rsidRPr="00E119DD" w14:paraId="4CB2021F" w14:textId="77777777" w:rsidTr="00FF4BD9">
        <w:trPr>
          <w:tblHeader/>
        </w:trPr>
        <w:tc>
          <w:tcPr>
            <w:tcW w:w="709" w:type="dxa"/>
          </w:tcPr>
          <w:p w14:paraId="20B09D69" w14:textId="09B38932"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Bronchiolitis is a major cause of infant morbidity and contributes to millions of dollars in health care costs. Care guidelines may cut costs by reducing unnecessary resource utilization. Through the implementation of a guideline, we sought to reduce unnecessary resource utilization and improve the value of care provided to infants with bronchiolitis in a pediatric emergency department (ED). METHODS: We conducted an interrupted time series that examined ED visits of 2929 patients with bronchiolitis, aged 1 to 12 months old, seen between November 2007 and April 2013. Outcomes were proportion having a chest radiograph (CXR), respiratory syncytial virus (RSV) testing, albuterol or antibiotic administration, and the total cost of care. Balancing measures included admission rate, returns to the ED resulting in admission within 72 hours of discharge, and ED length of stay (LOS). RESULTS: There were no significant preexisting trends in the outcomes. After guideline implementation, there was an absolute reduction of 23% in CXR (95% confidence interval [CI]: 11% to 34%), 11% in RSV testing (95% CI: 6% to 17%), 7% in albuterol use (95% CI: 0.2% to 13%), and 41 minutes in ED LOS (95% CI: 16 to 65 minutes). Mean cost per patient was reduced by $197 (95% CI: $136 to $259). Total cost savings was $196,409 (95% CI: $135,592 to $258,223) over the 2 bronchiolitis seasons after guideline implementation. There were no significant differences in antibiotic use, admission rates, or returns resulting in admission within 72 hours of discharge. CONCLUSIONS: A bronchiolitis guideline was associated with reductions in CXR, RSV testing, albuterol use, ED LOS, and total costs in a pediatric ED.","author":[{"dropping-particle":"","family":"Akenroye","given":"A T","non-dropping-particle":"","parse-names":false,"suffix":""},{"dropping-particle":"","family":"Baskin","given":"M N","non-dropping-particle":"","parse-names":false,"suffix":""},{"dropping-particle":"","family":"Samnaliev","given":"M","non-dropping-particle":"","parse-names":false,"suffix":""},{"dropping-particle":"","family":"Stack","given":"A M","non-dropping-particle":"","parse-names":false,"suffix":""}],"container-title":"Pediatrics","id":"ITEM-1","issue":"1","issued":{"date-parts":[["2014"]]},"page":"e227-34","title":"Impact of a bronchiolitis guideline on ED resource use and cost: a segmented time-series analysis","type":"article-journal","volume":"133"},"uris":["http://www.mendeley.com/documents/?uuid=abb29080-9c98-44ac-b0f2-1648222c0ff7"]}],"mendeley":{"formattedCitation":"(44)","plainTextFormattedCitation":"(44)","previouslyFormattedCitation":"(44)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(44)</w:t>
            </w:r>
            <w:r w:rsidRPr="00EC3E91">
              <w:rPr>
                <w:rFonts w:cstheme="minorHAnsi"/>
                <w:sz w:val="20"/>
                <w:szCs w:val="20"/>
                <w:lang w:val="en-US"/>
              </w:rPr>
              <w:fldChar w:fldCharType="end"/>
            </w:r>
          </w:p>
        </w:tc>
        <w:tc>
          <w:tcPr>
            <w:tcW w:w="992" w:type="dxa"/>
          </w:tcPr>
          <w:p w14:paraId="32939A0A" w14:textId="4007DAF1"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638943C1" w14:textId="14F02E64"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23F91FF4" w14:textId="034C4E9F" w:rsidR="00FF4BD9" w:rsidRPr="00EC3E91" w:rsidRDefault="00FF4BD9" w:rsidP="00060412">
            <w:pPr>
              <w:rPr>
                <w:rFonts w:cstheme="minorHAnsi"/>
                <w:sz w:val="20"/>
                <w:szCs w:val="20"/>
                <w:lang w:val="en-US"/>
              </w:rPr>
            </w:pPr>
            <w:r w:rsidRPr="00EC3E91">
              <w:rPr>
                <w:rFonts w:cstheme="minorHAnsi"/>
                <w:sz w:val="20"/>
                <w:szCs w:val="20"/>
                <w:lang w:val="en-US"/>
              </w:rPr>
              <w:t xml:space="preserve">Quant interrupted time series analysis </w:t>
            </w:r>
          </w:p>
        </w:tc>
        <w:tc>
          <w:tcPr>
            <w:tcW w:w="851" w:type="dxa"/>
          </w:tcPr>
          <w:p w14:paraId="274B8924" w14:textId="234EF30A"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7D8F815" w14:textId="6D1A60C9"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79B1F479" w14:textId="061E9596"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use of viral testing, </w:t>
            </w:r>
            <w:r w:rsidR="0010028E" w:rsidRPr="00EC3E91">
              <w:rPr>
                <w:rFonts w:cstheme="minorHAnsi"/>
                <w:sz w:val="20"/>
                <w:szCs w:val="20"/>
                <w:lang w:val="en-US"/>
              </w:rPr>
              <w:t>chest radiograph</w:t>
            </w:r>
            <w:r w:rsidRPr="00EC3E91">
              <w:rPr>
                <w:rFonts w:cstheme="minorHAnsi"/>
                <w:sz w:val="20"/>
                <w:szCs w:val="20"/>
                <w:lang w:val="en-US"/>
              </w:rPr>
              <w:t xml:space="preserve"> (CXR), and albuterol or antibiotics</w:t>
            </w:r>
          </w:p>
        </w:tc>
        <w:tc>
          <w:tcPr>
            <w:tcW w:w="3969" w:type="dxa"/>
          </w:tcPr>
          <w:p w14:paraId="3AFCC4A9" w14:textId="11285049" w:rsidR="00FF4BD9" w:rsidRPr="00EC3E91" w:rsidRDefault="00FF4BD9" w:rsidP="00481638">
            <w:pPr>
              <w:rPr>
                <w:rFonts w:cstheme="minorHAnsi"/>
                <w:sz w:val="20"/>
                <w:szCs w:val="20"/>
                <w:lang w:val="en-US"/>
              </w:rPr>
            </w:pPr>
            <w:r w:rsidRPr="00EC3E91">
              <w:rPr>
                <w:rFonts w:cstheme="minorHAnsi"/>
                <w:sz w:val="20"/>
                <w:szCs w:val="20"/>
                <w:lang w:val="en-US"/>
              </w:rPr>
              <w:t xml:space="preserve">Diagnosis and Management of Bronchiolitis. </w:t>
            </w:r>
            <w:r w:rsidR="0010028E" w:rsidRPr="00EC3E91">
              <w:rPr>
                <w:rFonts w:cstheme="minorHAnsi"/>
                <w:sz w:val="20"/>
                <w:szCs w:val="20"/>
                <w:lang w:val="en-US"/>
              </w:rPr>
              <w:t xml:space="preserve">American </w:t>
            </w:r>
            <w:r w:rsidR="005A7558" w:rsidRPr="00EC3E91">
              <w:rPr>
                <w:rFonts w:cstheme="minorHAnsi"/>
                <w:sz w:val="20"/>
                <w:szCs w:val="20"/>
                <w:lang w:val="en-US"/>
              </w:rPr>
              <w:t xml:space="preserve">Academy </w:t>
            </w:r>
            <w:r w:rsidR="008E3BEF" w:rsidRPr="00EC3E91">
              <w:rPr>
                <w:rFonts w:cstheme="minorHAnsi"/>
                <w:sz w:val="20"/>
                <w:szCs w:val="20"/>
                <w:lang w:val="en-US"/>
              </w:rPr>
              <w:t>of Pediatrics</w:t>
            </w:r>
            <w:r w:rsidRPr="00EC3E91">
              <w:rPr>
                <w:rFonts w:cstheme="minorHAnsi"/>
                <w:sz w:val="20"/>
                <w:szCs w:val="20"/>
                <w:lang w:val="en-US"/>
              </w:rPr>
              <w:t xml:space="preserve"> Sub-committee </w:t>
            </w:r>
          </w:p>
        </w:tc>
        <w:tc>
          <w:tcPr>
            <w:tcW w:w="2551" w:type="dxa"/>
          </w:tcPr>
          <w:p w14:paraId="0E11673B" w14:textId="139E9080" w:rsidR="00FF4BD9" w:rsidRPr="00EC3E91" w:rsidRDefault="00FF4BD9" w:rsidP="002F2A7E">
            <w:pPr>
              <w:rPr>
                <w:rFonts w:cstheme="minorHAnsi"/>
                <w:sz w:val="20"/>
                <w:szCs w:val="20"/>
                <w:lang w:val="en-US"/>
              </w:rPr>
            </w:pPr>
            <w:r w:rsidRPr="00EC3E91">
              <w:rPr>
                <w:rFonts w:cstheme="minorHAnsi"/>
                <w:sz w:val="20"/>
                <w:szCs w:val="20"/>
                <w:lang w:val="en-US"/>
              </w:rPr>
              <w:t xml:space="preserve">Distribute educational materials, remind clinicians, make training dynamic, develop educational materials, audit and provide feedback, provide clinical supervision. </w:t>
            </w:r>
          </w:p>
        </w:tc>
      </w:tr>
      <w:tr w:rsidR="00FF4BD9" w:rsidRPr="00E119DD" w14:paraId="4516FE67" w14:textId="77777777" w:rsidTr="00FF4BD9">
        <w:trPr>
          <w:tblHeader/>
        </w:trPr>
        <w:tc>
          <w:tcPr>
            <w:tcW w:w="709" w:type="dxa"/>
          </w:tcPr>
          <w:p w14:paraId="6408483C" w14:textId="54616A4E"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{"citationItems":[{"id":"ITEM-1","itemData":{"ISSN":"0742-2822","abstract":"BACKGROUND: We previously demonstrated that an Appropriate Use Criteria (AUC)-based educational intervention reduced inappropriate transthoracic echocardiograms (TTE) on an inpatient medical service. Whether improved TTE ordering is sustained after discontinuation of the intervention is unknown. METHODS: We conducted a prospective, time series analysis of an educational intervention designed to reduce inappropriate TTE. Ordering patterns during the intervention were compared with a preintervention control period and a postintervention period. The goal of the present analysis was to determine the TTE ordering patterns after discontinuation of the educational intervention. The primary outcome was the proportion of inappropriate TTEs. RESULTS: Using the 2011 AUC 99.2% of all TTEs were classifiable. Compared to the control, there was a 26% reduction in the number of TTEs ordered per day during the intervention (3.9 vs. 2.9 TTEs, P &lt; 0.001), but no significant difference between the intervention and postintervention periods (2.9 vs. 3.1, P = 0.23). The intervention produced a decrease in the inappropriate TTE rate and an increase in the appropriate TTE rate. Compared to the intervention, in the postintervention period the rate of inappropriate TTEs increased (5% vs. 11%, P = 0.01) and appropriate TTEs decreased (93% vs. 86%, P = 0.008). The postintervention rate of inappropriate TTEs was similar to the preintervention control period (11% vs. 13%, P = 0.23). CONCLUSIONS: Following completion of an AUC-based educational intervention the proportion of inappropriate TTEs increased to the preintervention level. The long-term success of an intervention designed to improve appropriate utilization of TTE requires a sustained effort of education and feedback.","author":[{"dropping-particle":"","family":"Bhatia","given":"R S","non-dropping-particle":"","parse-names":false,"suffix":""},{"dropping-particle":"","family":"Dudzinski","given":"D M","non-dropping-particle":"","parse-names":false,"suffix":""},{"dropping-particle":"","family":"Milford","given":"C E","non-dropping-particle":"","parse-names":false,"suffix":""},{"dropping-particle":"","family":"Picard","given":"M H","non-dropping-particle":"","parse-names":false,"suffix":""},{"dropping-particle":"","family":"Weiner","given":"R B","non-dropping-particle":"","parse-names":false,"suffix":""}],"container-title":"Echocardiography","id":"ITEM-1","issue":"8","issued":{"date-parts":[["2014"]]},"page":"916-923","title":"Educational intervention to reduce inappropriate transthoracic echocardiograms: the need for sustained intervention","type":"article-journal","volume":"31"},"uris":["http://www.mendeley.com/documents/?uuid=990a321f-fb0a-49d8-ad54-63f80e5b20e5"]}],"mendeley":{"formattedCitation":"(45)","plainTextFormattedCitation":"(45)","previouslyFormattedCitation":"(45)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(45)</w:t>
            </w:r>
            <w:r w:rsidRPr="00EC3E91">
              <w:rPr>
                <w:rFonts w:cstheme="minorHAnsi"/>
                <w:sz w:val="20"/>
                <w:szCs w:val="20"/>
                <w:lang w:val="en-US"/>
              </w:rPr>
              <w:fldChar w:fldCharType="end"/>
            </w:r>
          </w:p>
        </w:tc>
        <w:tc>
          <w:tcPr>
            <w:tcW w:w="992" w:type="dxa"/>
          </w:tcPr>
          <w:p w14:paraId="2CC811FF" w14:textId="0608A8D9"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12672234" w14:textId="58A31E82"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1997F212" w14:textId="051F9F79" w:rsidR="00FF4BD9" w:rsidRPr="00EC3E91" w:rsidRDefault="00FF4BD9" w:rsidP="00060412">
            <w:pPr>
              <w:rPr>
                <w:rFonts w:cstheme="minorHAnsi"/>
                <w:sz w:val="20"/>
                <w:szCs w:val="20"/>
                <w:lang w:val="en-US"/>
              </w:rPr>
            </w:pPr>
            <w:r w:rsidRPr="00EC3E91">
              <w:rPr>
                <w:rFonts w:cstheme="minorHAnsi"/>
                <w:sz w:val="20"/>
                <w:szCs w:val="20"/>
                <w:lang w:val="en-US"/>
              </w:rPr>
              <w:t>Quant interrupted time series analysis</w:t>
            </w:r>
          </w:p>
        </w:tc>
        <w:tc>
          <w:tcPr>
            <w:tcW w:w="851" w:type="dxa"/>
          </w:tcPr>
          <w:p w14:paraId="752E5375" w14:textId="0A4CD87F"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0D44B52E" w14:textId="62BC5497" w:rsidR="00FF4BD9" w:rsidRPr="00EC3E91" w:rsidRDefault="00FF4BD9" w:rsidP="00060412">
            <w:pPr>
              <w:rPr>
                <w:rFonts w:cstheme="minorHAnsi"/>
                <w:sz w:val="20"/>
                <w:szCs w:val="20"/>
                <w:lang w:val="en-US"/>
              </w:rPr>
            </w:pPr>
            <w:r w:rsidRPr="00EC3E91">
              <w:rPr>
                <w:rFonts w:cstheme="minorHAnsi"/>
                <w:sz w:val="20"/>
                <w:szCs w:val="20"/>
                <w:lang w:val="en-US"/>
              </w:rPr>
              <w:t>Echocardiography</w:t>
            </w:r>
          </w:p>
        </w:tc>
        <w:tc>
          <w:tcPr>
            <w:tcW w:w="2126" w:type="dxa"/>
          </w:tcPr>
          <w:p w14:paraId="1FE75AFD" w14:textId="3C6986B5"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w:t>
            </w:r>
            <w:r w:rsidR="0010028E" w:rsidRPr="00EC3E91">
              <w:rPr>
                <w:rFonts w:cstheme="minorHAnsi"/>
                <w:sz w:val="20"/>
                <w:szCs w:val="20"/>
                <w:lang w:val="en-US"/>
              </w:rPr>
              <w:t xml:space="preserve">Transthoracic </w:t>
            </w:r>
            <w:r w:rsidR="005A7558" w:rsidRPr="00EC3E91">
              <w:rPr>
                <w:rFonts w:cstheme="minorHAnsi"/>
                <w:sz w:val="20"/>
                <w:szCs w:val="20"/>
                <w:lang w:val="en-US"/>
              </w:rPr>
              <w:t>echocardiography (</w:t>
            </w:r>
            <w:r w:rsidRPr="00EC3E91">
              <w:rPr>
                <w:rFonts w:cstheme="minorHAnsi"/>
                <w:sz w:val="20"/>
                <w:szCs w:val="20"/>
                <w:lang w:val="en-US"/>
              </w:rPr>
              <w:t>TTE)</w:t>
            </w:r>
          </w:p>
        </w:tc>
        <w:tc>
          <w:tcPr>
            <w:tcW w:w="3969" w:type="dxa"/>
          </w:tcPr>
          <w:p w14:paraId="7A02E1B9" w14:textId="0660F57B" w:rsidR="00FF4BD9" w:rsidRPr="00EC3E91" w:rsidRDefault="00FF4BD9" w:rsidP="006E1793">
            <w:pPr>
              <w:rPr>
                <w:rFonts w:cstheme="minorHAnsi"/>
                <w:sz w:val="20"/>
                <w:szCs w:val="20"/>
                <w:lang w:val="en-US"/>
              </w:rPr>
            </w:pPr>
            <w:r w:rsidRPr="00EC3E91">
              <w:rPr>
                <w:rFonts w:cstheme="minorHAnsi"/>
                <w:sz w:val="20"/>
                <w:szCs w:val="20"/>
                <w:lang w:val="en-US"/>
              </w:rPr>
              <w:t>Appropriateness criteria for transthoracic and transesophageal echo-cardiography: A report of the American College of Cardiology Foundation Quality Strategic Directions Committee Appropriateness Criteria Working Group.</w:t>
            </w:r>
          </w:p>
          <w:p w14:paraId="5B9A652D" w14:textId="77777777" w:rsidR="00FF4BD9" w:rsidRPr="00EC3E91" w:rsidRDefault="00FF4BD9" w:rsidP="006E1793">
            <w:pPr>
              <w:rPr>
                <w:rFonts w:cstheme="minorHAnsi"/>
                <w:sz w:val="20"/>
                <w:szCs w:val="20"/>
                <w:lang w:val="en-US"/>
              </w:rPr>
            </w:pPr>
          </w:p>
          <w:p w14:paraId="099A5502" w14:textId="7C64F8C7" w:rsidR="00FF4BD9" w:rsidRPr="00EC3E91" w:rsidRDefault="00FF4BD9" w:rsidP="00E73CDF">
            <w:pPr>
              <w:rPr>
                <w:rFonts w:cstheme="minorHAnsi"/>
                <w:sz w:val="20"/>
                <w:szCs w:val="20"/>
                <w:lang w:val="en-US"/>
              </w:rPr>
            </w:pPr>
            <w:r w:rsidRPr="00EC3E91">
              <w:rPr>
                <w:rFonts w:cstheme="minorHAnsi"/>
                <w:sz w:val="20"/>
                <w:szCs w:val="20"/>
                <w:lang w:val="en-US"/>
              </w:rPr>
              <w:t>Appropriate Use Criteria for Echocardiography. A Report of the American College of Cardiology Foundation Appropriate Use Criteria Task Force.</w:t>
            </w:r>
          </w:p>
        </w:tc>
        <w:tc>
          <w:tcPr>
            <w:tcW w:w="2551" w:type="dxa"/>
          </w:tcPr>
          <w:p w14:paraId="00BBF0F1" w14:textId="0BC7A725" w:rsidR="00FF4BD9" w:rsidRPr="00EC3E91" w:rsidRDefault="00FF4BD9" w:rsidP="00060412">
            <w:pPr>
              <w:rPr>
                <w:rFonts w:cstheme="minorHAnsi"/>
                <w:sz w:val="20"/>
                <w:szCs w:val="20"/>
                <w:lang w:val="en-US"/>
              </w:rPr>
            </w:pPr>
            <w:r w:rsidRPr="00EC3E91">
              <w:rPr>
                <w:rFonts w:cstheme="minorHAnsi"/>
                <w:sz w:val="20"/>
                <w:szCs w:val="20"/>
                <w:lang w:val="en-US"/>
              </w:rPr>
              <w:t xml:space="preserve">conduct educational meetings, distribute educational materials, audit and </w:t>
            </w:r>
            <w:r w:rsidR="0010028E" w:rsidRPr="00EC3E91">
              <w:rPr>
                <w:rFonts w:cstheme="minorHAnsi"/>
                <w:sz w:val="20"/>
                <w:szCs w:val="20"/>
                <w:lang w:val="en-US"/>
              </w:rPr>
              <w:t>provide feedback</w:t>
            </w:r>
          </w:p>
        </w:tc>
      </w:tr>
      <w:tr w:rsidR="00FF4BD9" w:rsidRPr="00E119DD" w14:paraId="59B4878F" w14:textId="77777777" w:rsidTr="00FF4BD9">
        <w:trPr>
          <w:tblHeader/>
        </w:trPr>
        <w:tc>
          <w:tcPr>
            <w:tcW w:w="709" w:type="dxa"/>
          </w:tcPr>
          <w:p w14:paraId="1E2A9FBF" w14:textId="3FDB6274"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{"citationItems":[{"id":"ITEM-1","itemData":{"ISSN":"0125-2208 (Print)","abstract":"OBJECTIVE: To implement multifaceted interventions to promote rational use of antibiotics for out-patients with upper respiratory tract infection (URI) and acute diarrhea. MATERIAL AND METHOD: The present study was conducted at ambulatory care facility for patients under Social Security Healthcare Benefit Scheme and Universal Health Coverage Scheme of Siriraj Hospital from January to April 2012. Multifaceted interventions were: Training responsible healthcare personnel on rational use of antibiotics, Clinical practice guidelines, Preprinted medical record forms for patients, Throat swab or stool culture to be taken from the patients (if responsible physicians needed these); and provision of brochures containing causes, necessity and harm of antibiotics for URI and acute diarrhea to patients as well as their relatives while waiting for receiving care. Pre-printed medical records were collected every day. Each patient was called on day 3 after receiving care by an investigator to determine clinical responses. RESULTS: There were 1,241 episodes of URI and 210 episodes of acute diarrhea during the study period. Rates of antibiotic prescriptions were 13.0% for URI and 19.1% for acute diarrhea. Throat swab cultures recovered group A beta-hemolytic streptococci in 3.8% of URI patients and non-typhoidal Salmonella spp. in 14.6% of acute diarrhea patients. Clinical responses of the patients on day 3 after receiving care revealed that more than 97% of the patients who received antibiotics and who did not receive antibiotics were cured or improved. CONCLUSION: Multifaceted interventions are very effective for promoting rational use of antibiotics for out-patients with URI and acute diarrhea at Siriraj Hospital.","author":[{"dropping-particle":"","family":"Boonyasiri","given":"A","non-dropping-particle":"","parse-names":false,"suffix":""},{"dropping-particle":"","family":"Thamlikitkul","given":"V","non-dropping-particle":"","parse-names":false,"suffix":""}],"container-title":"Journal of the Medical Association of Thailand","id":"ITEM-1","issued":{"date-parts":[["2014"]]},"page":"S13-9","title":"Effectiveness of multifaceted interventions on rational use of antibiotics for patients with upper respiratory tract infections and acute diarrhea","type":"article-journal","volume":"97"},"uris":["http://www.mendeley.com/documents/?uuid=cac80ce7-c502-4bae-bbf3-c7cd956149d3"]}],"mendeley":{"formattedCitation":"(46)","plainTextFormattedCitation":"(46)","previouslyFormattedCitation":"(46)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(46)</w:t>
            </w:r>
            <w:r w:rsidRPr="00EC3E91">
              <w:rPr>
                <w:rFonts w:cstheme="minorHAnsi"/>
                <w:sz w:val="20"/>
                <w:szCs w:val="20"/>
                <w:lang w:val="en-US"/>
              </w:rPr>
              <w:fldChar w:fldCharType="end"/>
            </w:r>
          </w:p>
        </w:tc>
        <w:tc>
          <w:tcPr>
            <w:tcW w:w="992" w:type="dxa"/>
          </w:tcPr>
          <w:p w14:paraId="643F17A9" w14:textId="692BBFA8" w:rsidR="00FF4BD9" w:rsidRPr="00EC3E91" w:rsidRDefault="00FF4BD9" w:rsidP="00060412">
            <w:pPr>
              <w:rPr>
                <w:rFonts w:cstheme="minorHAnsi"/>
                <w:sz w:val="20"/>
                <w:szCs w:val="20"/>
                <w:lang w:val="en-US"/>
              </w:rPr>
            </w:pPr>
            <w:r w:rsidRPr="00EC3E91">
              <w:rPr>
                <w:rFonts w:cstheme="minorHAnsi"/>
                <w:sz w:val="20"/>
                <w:szCs w:val="20"/>
                <w:lang w:val="en-US"/>
              </w:rPr>
              <w:t>Thailand</w:t>
            </w:r>
          </w:p>
        </w:tc>
        <w:tc>
          <w:tcPr>
            <w:tcW w:w="993" w:type="dxa"/>
          </w:tcPr>
          <w:p w14:paraId="637B8DDA" w14:textId="57E340F9"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15FDCDC6" w14:textId="2E148E1D"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44CBD5C8" w14:textId="451FBA4B"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AD543FA" w14:textId="5F2B31DD"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429DC45B" w14:textId="1ABB4820"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618DF46D" w14:textId="5CBF176E" w:rsidR="00FF4BD9" w:rsidRPr="00EC3E91" w:rsidRDefault="00FF4BD9" w:rsidP="00E73CDF">
            <w:pPr>
              <w:rPr>
                <w:rFonts w:cstheme="minorHAnsi"/>
                <w:sz w:val="20"/>
                <w:szCs w:val="20"/>
                <w:lang w:val="en-US"/>
              </w:rPr>
            </w:pPr>
            <w:r w:rsidRPr="00EC3E91">
              <w:rPr>
                <w:rFonts w:cstheme="minorHAnsi"/>
                <w:sz w:val="20"/>
                <w:szCs w:val="20"/>
                <w:lang w:val="en-US"/>
              </w:rPr>
              <w:t>Guideline for the management of acute diarrhea in adults. From the Journal of Gastroenterol Hepatology</w:t>
            </w:r>
          </w:p>
          <w:p w14:paraId="3C6F742B" w14:textId="77777777" w:rsidR="00FF4BD9" w:rsidRPr="00EC3E91" w:rsidRDefault="00FF4BD9" w:rsidP="006E1793">
            <w:pPr>
              <w:rPr>
                <w:rFonts w:cstheme="minorHAnsi"/>
                <w:sz w:val="20"/>
                <w:szCs w:val="20"/>
                <w:lang w:val="en-US"/>
              </w:rPr>
            </w:pPr>
          </w:p>
          <w:p w14:paraId="32EECCC6" w14:textId="75E0F7F6" w:rsidR="00FF4BD9" w:rsidRPr="00EC3E91" w:rsidRDefault="00FF4BD9" w:rsidP="006E1793">
            <w:pPr>
              <w:rPr>
                <w:rFonts w:cstheme="minorHAnsi"/>
                <w:sz w:val="20"/>
                <w:szCs w:val="20"/>
                <w:lang w:val="en-US"/>
              </w:rPr>
            </w:pPr>
            <w:r w:rsidRPr="00EC3E91">
              <w:rPr>
                <w:rFonts w:cstheme="minorHAnsi"/>
                <w:sz w:val="20"/>
                <w:szCs w:val="20"/>
                <w:lang w:val="en-US"/>
              </w:rPr>
              <w:t>Practice guidelines for the management of infectious diarrhea. From the Journal of Clinical</w:t>
            </w:r>
          </w:p>
          <w:p w14:paraId="0E329C27" w14:textId="55D40915" w:rsidR="00FF4BD9" w:rsidRPr="00EC3E91" w:rsidRDefault="00FF4BD9" w:rsidP="006E1793">
            <w:pPr>
              <w:rPr>
                <w:rFonts w:cstheme="minorHAnsi"/>
                <w:sz w:val="20"/>
                <w:szCs w:val="20"/>
                <w:lang w:val="en-US"/>
              </w:rPr>
            </w:pPr>
            <w:r w:rsidRPr="00EC3E91">
              <w:rPr>
                <w:rFonts w:cstheme="minorHAnsi"/>
                <w:sz w:val="20"/>
                <w:szCs w:val="20"/>
                <w:lang w:val="en-US"/>
              </w:rPr>
              <w:t xml:space="preserve">Infectious Diseases </w:t>
            </w:r>
          </w:p>
          <w:p w14:paraId="469D3DF0" w14:textId="77777777" w:rsidR="00FF4BD9" w:rsidRPr="00EC3E91" w:rsidRDefault="00FF4BD9" w:rsidP="006E1793">
            <w:pPr>
              <w:rPr>
                <w:rFonts w:cstheme="minorHAnsi"/>
                <w:sz w:val="20"/>
                <w:szCs w:val="20"/>
                <w:lang w:val="en-US"/>
              </w:rPr>
            </w:pPr>
          </w:p>
          <w:p w14:paraId="458FCD3E" w14:textId="0CD45207" w:rsidR="00FF4BD9" w:rsidRPr="00EC3E91" w:rsidRDefault="00FF4BD9" w:rsidP="006E1793">
            <w:pPr>
              <w:rPr>
                <w:rFonts w:cstheme="minorHAnsi"/>
                <w:sz w:val="20"/>
                <w:szCs w:val="20"/>
                <w:lang w:val="en-US"/>
              </w:rPr>
            </w:pPr>
            <w:r w:rsidRPr="00EC3E91">
              <w:rPr>
                <w:rFonts w:cstheme="minorHAnsi"/>
                <w:sz w:val="20"/>
                <w:szCs w:val="20"/>
                <w:lang w:val="en-US"/>
              </w:rPr>
              <w:t xml:space="preserve">Clinical practice. Bacterial diarrhea. From the New English Journal of Medicine. </w:t>
            </w:r>
          </w:p>
          <w:p w14:paraId="38C18ADB" w14:textId="77777777" w:rsidR="00FF4BD9" w:rsidRPr="00EC3E91" w:rsidRDefault="00FF4BD9" w:rsidP="006E1793">
            <w:pPr>
              <w:rPr>
                <w:rFonts w:cstheme="minorHAnsi"/>
                <w:sz w:val="20"/>
                <w:szCs w:val="20"/>
                <w:lang w:val="en-US"/>
              </w:rPr>
            </w:pPr>
          </w:p>
          <w:p w14:paraId="3982BE89" w14:textId="15F208A7" w:rsidR="00FF4BD9" w:rsidRPr="00EC3E91" w:rsidRDefault="00FF4BD9" w:rsidP="00E73CDF">
            <w:pPr>
              <w:rPr>
                <w:rFonts w:cstheme="minorHAnsi"/>
                <w:sz w:val="20"/>
                <w:szCs w:val="20"/>
                <w:lang w:val="en-US"/>
              </w:rPr>
            </w:pPr>
            <w:r w:rsidRPr="00EC3E91">
              <w:rPr>
                <w:rFonts w:cstheme="minorHAnsi"/>
                <w:sz w:val="20"/>
                <w:szCs w:val="20"/>
                <w:lang w:val="en-US"/>
              </w:rPr>
              <w:t>Clinical practice. Acute infectious diarrhea. From the New England Journal of Medicine.</w:t>
            </w:r>
          </w:p>
        </w:tc>
        <w:tc>
          <w:tcPr>
            <w:tcW w:w="2551" w:type="dxa"/>
          </w:tcPr>
          <w:p w14:paraId="67D461B0" w14:textId="7BF3879B" w:rsidR="00FF4BD9" w:rsidRPr="00EC3E91" w:rsidRDefault="00FF4BD9" w:rsidP="00060412">
            <w:pPr>
              <w:rPr>
                <w:rFonts w:cstheme="minorHAnsi"/>
                <w:sz w:val="20"/>
                <w:szCs w:val="20"/>
                <w:lang w:val="en-US"/>
              </w:rPr>
            </w:pPr>
            <w:r w:rsidRPr="00EC3E91">
              <w:rPr>
                <w:rFonts w:cstheme="minorHAnsi"/>
                <w:sz w:val="20"/>
                <w:szCs w:val="20"/>
                <w:lang w:val="en-US"/>
              </w:rPr>
              <w:t>Distribute educational materials, develop educational materials, make training dynamic, develop and organize quality monitoring systems, alter patient/consumer fees, audit and provide feedback.</w:t>
            </w:r>
          </w:p>
        </w:tc>
      </w:tr>
      <w:tr w:rsidR="00FF4BD9" w:rsidRPr="00E119DD" w14:paraId="4033F001" w14:textId="77777777" w:rsidTr="00FF4BD9">
        <w:trPr>
          <w:tblHeader/>
        </w:trPr>
        <w:tc>
          <w:tcPr>
            <w:tcW w:w="709" w:type="dxa"/>
          </w:tcPr>
          <w:p w14:paraId="7DC164FE" w14:textId="19D37447"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In Australia, antimicrobial stewardship programmes are a compulsory component of hospital accreditation. Good documentation around anti-microbial prescribing aids communication and can improve prescribing practice in environments with multiple decision makers. AIM: This study aims to develop and implement an intervention to improve antimicrobial prescribing practice in a 24-bed intensive care unit in a tertiary referral adult hospital. METHODS: We conducted a four-phase (observation, reflection, implementation, evaluation) prospective collaborative before-after quality improvement study. Baseline audits and surveys of antimicrobial prescribing practices identified barriers to and enablers of good prescribing practice. A customised intervention was then implemented over 6 weeks and included a yellow medication record sticker, quarterly education sessions and intensive care unit-specific empiric antimicrobial prescribing guidelines. Post-implementation, the effects were monitored by serial antimicrobial prescribing audits for 1 year. The primary outcomes were clear documentation of the start date, the planned stop date or review date and the indication for an antibiotic. These were all considered the 'minimum standards' for an antimicrobial prescription on the medication record. RESULTS: Documentation of minimum standards specifically addressed by the sticker improved (start date (72% to 90%, P &lt; 0.001), stop date (16% to 63%, P &lt; 0.001), antimicrobial indication documented on medication chart (58% to 83%, P &lt; 0.01)). Overall, adherence to all three minimum standards (start date, stop date and indication) improved from 41/306 (13%) to 306/492 (63%) (P &lt; 0.001). One-year post-implementation, the yellow sticker had become embedded into daily practice. CONCLUSION: A systematic approach to quality improvement combined with the implementation of a tailored, multi-faceted intervention can improve antimicrobial prescribing practices.","author":[{"dropping-particle":"","family":"Chaves","given":"N J","non-dropping-particle":"","parse-names":false,"suffix":""},{"dropping-particle":"","family":"Ingram","given":"R J","non-dropping-particle":"","parse-names":false,"suffix":""},{"dropping-particle":"","family":"MacIsaac","given":"C M","non-dropping-particle":"","parse-names":false,"suffix":""},{"dropping-particle":"","family":"Buising","given":"K L","non-dropping-particle":"","parse-names":false,"suffix":""}],"container-title":"Internal Medicine Journal","id":"ITEM-1","issue":"12","issued":{"date-parts":[["2014"]]},"page":"1180-1187","title":"Sticking to minimum standards: implementing antibiotic stewardship in intensive care","type":"article-journal","volume":"44"},"uris":["http://www.mendeley.com/documents/?uuid=ed73e8c4-0af5-4641-ab4f-fc51b1356f43"]}],"mendeley":{"formattedCitation":"(47)","plainTextFormattedCitation":"(47)","previouslyFormattedCitation":"(47)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(47)</w:t>
            </w:r>
            <w:r w:rsidRPr="00EC3E91">
              <w:rPr>
                <w:rFonts w:cstheme="minorHAnsi"/>
                <w:sz w:val="20"/>
                <w:szCs w:val="20"/>
                <w:lang w:val="en-US"/>
              </w:rPr>
              <w:fldChar w:fldCharType="end"/>
            </w:r>
          </w:p>
        </w:tc>
        <w:tc>
          <w:tcPr>
            <w:tcW w:w="992" w:type="dxa"/>
          </w:tcPr>
          <w:p w14:paraId="7F4C61A0" w14:textId="51B21F40" w:rsidR="00FF4BD9" w:rsidRPr="00EC3E91" w:rsidRDefault="00FF4BD9" w:rsidP="00060412">
            <w:pPr>
              <w:rPr>
                <w:rFonts w:cstheme="minorHAnsi"/>
                <w:sz w:val="20"/>
                <w:szCs w:val="20"/>
                <w:lang w:val="en-US"/>
              </w:rPr>
            </w:pPr>
            <w:r w:rsidRPr="00EC3E91">
              <w:rPr>
                <w:rFonts w:cstheme="minorHAnsi"/>
                <w:sz w:val="20"/>
                <w:szCs w:val="20"/>
                <w:lang w:val="en-US"/>
              </w:rPr>
              <w:t xml:space="preserve">Australia </w:t>
            </w:r>
          </w:p>
        </w:tc>
        <w:tc>
          <w:tcPr>
            <w:tcW w:w="993" w:type="dxa"/>
          </w:tcPr>
          <w:p w14:paraId="304A32FC" w14:textId="660AA99E"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2992AAC4" w14:textId="4F87D537"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7AADE409" w14:textId="02AAEC64"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7C122E5E" w14:textId="44C88C10"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6089CB26" w14:textId="2BBD3E24"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21436C83" w14:textId="4914A02B" w:rsidR="00FF4BD9" w:rsidRPr="00EC3E91" w:rsidRDefault="00FF4BD9" w:rsidP="00E73CDF">
            <w:pPr>
              <w:rPr>
                <w:rFonts w:cstheme="minorHAnsi"/>
                <w:sz w:val="20"/>
                <w:szCs w:val="20"/>
                <w:lang w:val="en-US"/>
              </w:rPr>
            </w:pPr>
            <w:r w:rsidRPr="00EC3E91">
              <w:rPr>
                <w:rFonts w:cstheme="minorHAnsi"/>
                <w:sz w:val="20"/>
                <w:szCs w:val="20"/>
                <w:lang w:val="en-US"/>
              </w:rPr>
              <w:t xml:space="preserve">Therapeutic guidelines: antibiotic. From the Antibiotic Expert Group. </w:t>
            </w:r>
          </w:p>
        </w:tc>
        <w:tc>
          <w:tcPr>
            <w:tcW w:w="2551" w:type="dxa"/>
          </w:tcPr>
          <w:p w14:paraId="32A6B329" w14:textId="2B80DE76" w:rsidR="00FF4BD9" w:rsidRPr="00EC3E91" w:rsidRDefault="00FF4BD9" w:rsidP="00060412">
            <w:pPr>
              <w:rPr>
                <w:rFonts w:cstheme="minorHAnsi"/>
                <w:sz w:val="20"/>
                <w:szCs w:val="20"/>
                <w:lang w:val="en-US"/>
              </w:rPr>
            </w:pPr>
            <w:r w:rsidRPr="00EC3E91">
              <w:rPr>
                <w:rFonts w:cstheme="minorHAnsi"/>
                <w:sz w:val="20"/>
                <w:szCs w:val="20"/>
                <w:lang w:val="en-US"/>
              </w:rPr>
              <w:t>audit and provide feedback, remind clinicians</w:t>
            </w:r>
          </w:p>
        </w:tc>
      </w:tr>
      <w:tr w:rsidR="00FF4BD9" w:rsidRPr="00E119DD" w14:paraId="76E04529" w14:textId="77777777" w:rsidTr="00FF4BD9">
        <w:trPr>
          <w:tblHeader/>
        </w:trPr>
        <w:tc>
          <w:tcPr>
            <w:tcW w:w="709" w:type="dxa"/>
          </w:tcPr>
          <w:p w14:paraId="238B347A" w14:textId="3B3B7B9E"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{"citationItems":[{"id":"ITEM-1","itemData":{"ISSN":"0036-5548","abstract":"BACKGROUND: According to Norwegian guidelines for antibiotic use in primary care, ciprofloxacin is reserved for complicated urinary tract infections (UTI). Despite these recommendations, ciprofloxacin use has increased in Norway in recent years. We aimed to reduce inappropriate ciprofloxacin prescribing in the emergency department. METHODS: An intervention study was performed by removing ciprofloxacin from the local antibiotic formulary and including a suggestion list for antibiotic use with all point of care urine dipstick testing in an emergency department. An emergency department in the neighbouring county served as the control. Prescriptions for UTI were registered 1 y prior to and 1 y after the intervention. RESULTS: In the targeted emergency department, there was a significant (p &lt; 0.0001) reduction in ciprofloxacin prescribing for cystitis, while the use of mecillinam increased (p = 0.042). In the control department, prescribing of ciprofloxacin doubled (p &lt; 0.0001). CONCLUSIONS: An intervention based on a therapy suggestion list and on limiting the availability of ciprofloxacin in the local formulary, resulted in treatment more in line with national guidelines by reducing ciprofloxacin and increasing mecillinam prescribing.","author":[{"dropping-particle":"","family":"Fagan","given":"M","non-dropping-particle":"","parse-names":false,"suffix":""},{"dropping-particle":"","family":"Lindbaek","given":"M","non-dropping-particle":"","parse-names":false,"suffix":""},{"dropping-particle":"","family":"Reiso","given":"H","non-dropping-particle":"","parse-names":false,"suffix":""},{"dropping-particle":"","family":"Berild","given":"D","non-dropping-particle":"","parse-names":false,"suffix":""}],"container-title":"Scandinavian Journal of Infectious Diseases","id":"ITEM-1","issue":"7","issued":{"date-parts":[["2014"]]},"page":"481-485","title":"A simple intervention to reduce inappropriate ciprofloxacin prescribing in the emergency department","type":"article-journal","volume":"46"},"uris":["http://www.mendeley.com/documents/?uuid=e64e739e-1c99-442c-90a2-e7476d757efd"]}],"mendeley":{"formattedCitation":"(48)","plainTextFormattedCitation":"(48)","previouslyFormattedCitation":"(48)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(48)</w:t>
            </w:r>
            <w:r w:rsidRPr="00EC3E91">
              <w:rPr>
                <w:rFonts w:cstheme="minorHAnsi"/>
                <w:sz w:val="20"/>
                <w:szCs w:val="20"/>
                <w:lang w:val="en-US"/>
              </w:rPr>
              <w:fldChar w:fldCharType="end"/>
            </w:r>
          </w:p>
        </w:tc>
        <w:tc>
          <w:tcPr>
            <w:tcW w:w="992" w:type="dxa"/>
          </w:tcPr>
          <w:p w14:paraId="2E68E531" w14:textId="12605531" w:rsidR="00FF4BD9" w:rsidRPr="00EC3E91" w:rsidRDefault="00FF4BD9" w:rsidP="00060412">
            <w:pPr>
              <w:rPr>
                <w:rFonts w:cstheme="minorHAnsi"/>
                <w:sz w:val="20"/>
                <w:szCs w:val="20"/>
                <w:lang w:val="en-US"/>
              </w:rPr>
            </w:pPr>
            <w:r w:rsidRPr="00EC3E91">
              <w:rPr>
                <w:rFonts w:cstheme="minorHAnsi"/>
                <w:sz w:val="20"/>
                <w:szCs w:val="20"/>
                <w:lang w:val="en-US"/>
              </w:rPr>
              <w:t>Norway</w:t>
            </w:r>
          </w:p>
        </w:tc>
        <w:tc>
          <w:tcPr>
            <w:tcW w:w="993" w:type="dxa"/>
          </w:tcPr>
          <w:p w14:paraId="092D5D79" w14:textId="043190F9"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2C67A82D" w14:textId="7E09FB2C" w:rsidR="00FF4BD9" w:rsidRPr="00EC3E91" w:rsidRDefault="00FF4BD9" w:rsidP="00060412">
            <w:pPr>
              <w:rPr>
                <w:rFonts w:cstheme="minorHAnsi"/>
                <w:sz w:val="20"/>
                <w:szCs w:val="20"/>
                <w:lang w:val="en-US"/>
              </w:rPr>
            </w:pPr>
            <w:r w:rsidRPr="00EC3E91">
              <w:rPr>
                <w:rFonts w:cstheme="minorHAnsi"/>
                <w:sz w:val="20"/>
                <w:szCs w:val="20"/>
                <w:lang w:val="en-US"/>
              </w:rPr>
              <w:t>Quant quasi-experimental</w:t>
            </w:r>
          </w:p>
        </w:tc>
        <w:tc>
          <w:tcPr>
            <w:tcW w:w="851" w:type="dxa"/>
          </w:tcPr>
          <w:p w14:paraId="1FAB8930" w14:textId="4F719C9E"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2BAAAD1" w14:textId="062CF0FD"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1E37C621" w14:textId="31FB1390" w:rsidR="00FF4BD9" w:rsidRPr="00EC3E91" w:rsidRDefault="00FF4BD9" w:rsidP="00060412">
            <w:pPr>
              <w:rPr>
                <w:rFonts w:cstheme="minorHAnsi"/>
                <w:sz w:val="20"/>
                <w:szCs w:val="20"/>
                <w:lang w:val="en-US"/>
              </w:rPr>
            </w:pPr>
            <w:r w:rsidRPr="00EC3E91">
              <w:rPr>
                <w:rFonts w:cstheme="minorHAnsi"/>
                <w:sz w:val="20"/>
                <w:szCs w:val="20"/>
                <w:lang w:val="en-US"/>
              </w:rPr>
              <w:t>Inappropriate use of fluoroquinolone for cystitis</w:t>
            </w:r>
          </w:p>
        </w:tc>
        <w:tc>
          <w:tcPr>
            <w:tcW w:w="3969" w:type="dxa"/>
          </w:tcPr>
          <w:p w14:paraId="551EB752" w14:textId="242FED1A" w:rsidR="00FF4BD9" w:rsidRPr="00EC3E91" w:rsidRDefault="00FF4BD9" w:rsidP="006E1793">
            <w:pPr>
              <w:rPr>
                <w:rFonts w:cstheme="minorHAnsi"/>
                <w:sz w:val="20"/>
                <w:szCs w:val="20"/>
                <w:lang w:val="en-US"/>
              </w:rPr>
            </w:pPr>
            <w:r w:rsidRPr="00412952">
              <w:rPr>
                <w:rFonts w:cstheme="minorHAnsi"/>
                <w:sz w:val="20"/>
                <w:szCs w:val="20"/>
              </w:rPr>
              <w:t xml:space="preserve">Bruk av antibiotika i sykehus Smittevernloven — håndbok.    </w:t>
            </w:r>
            <w:r w:rsidRPr="00EC3E91">
              <w:rPr>
                <w:rFonts w:cstheme="minorHAnsi"/>
                <w:sz w:val="20"/>
                <w:szCs w:val="20"/>
                <w:lang w:val="en-US"/>
              </w:rPr>
              <w:t xml:space="preserve">(Infection control handbook.    Inpatient use of antibiotics).  </w:t>
            </w:r>
          </w:p>
          <w:p w14:paraId="166BB317" w14:textId="77777777" w:rsidR="00FF4BD9" w:rsidRPr="00EC3E91" w:rsidRDefault="00FF4BD9" w:rsidP="006E1793">
            <w:pPr>
              <w:rPr>
                <w:rFonts w:cstheme="minorHAnsi"/>
                <w:sz w:val="20"/>
                <w:szCs w:val="20"/>
                <w:lang w:val="en-US"/>
              </w:rPr>
            </w:pPr>
          </w:p>
          <w:p w14:paraId="5CB8AE49" w14:textId="0A965DC4" w:rsidR="00FF4BD9" w:rsidRPr="00EC3E91" w:rsidRDefault="00FF4BD9" w:rsidP="00060412">
            <w:pPr>
              <w:rPr>
                <w:rFonts w:cstheme="minorHAnsi"/>
                <w:sz w:val="20"/>
                <w:szCs w:val="20"/>
                <w:lang w:val="en-US"/>
              </w:rPr>
            </w:pPr>
            <w:r w:rsidRPr="00EC3E91">
              <w:rPr>
                <w:rFonts w:cstheme="minorHAnsi"/>
                <w:sz w:val="20"/>
                <w:szCs w:val="20"/>
                <w:lang w:val="en-US"/>
              </w:rPr>
              <w:t xml:space="preserve">Nasjonale faglige retningslinjer for antibiotikabruk i primærhelsetjenesten (National guidelines for antibiotic prescribing in primary care). </w:t>
            </w:r>
          </w:p>
        </w:tc>
        <w:tc>
          <w:tcPr>
            <w:tcW w:w="2551" w:type="dxa"/>
          </w:tcPr>
          <w:p w14:paraId="34031F9B" w14:textId="22508F8D" w:rsidR="00FF4BD9" w:rsidRPr="00EC3E91" w:rsidRDefault="00FF4BD9" w:rsidP="00060412">
            <w:pPr>
              <w:rPr>
                <w:rFonts w:cstheme="minorHAnsi"/>
                <w:sz w:val="20"/>
                <w:szCs w:val="20"/>
                <w:lang w:val="en-US"/>
              </w:rPr>
            </w:pPr>
            <w:r w:rsidRPr="00EC3E91">
              <w:rPr>
                <w:rFonts w:cstheme="minorHAnsi"/>
                <w:sz w:val="20"/>
                <w:szCs w:val="20"/>
                <w:lang w:val="en-US"/>
              </w:rPr>
              <w:t>Remind clinicians, change physical structure and equipment</w:t>
            </w:r>
          </w:p>
        </w:tc>
      </w:tr>
      <w:tr w:rsidR="00FF4BD9" w:rsidRPr="00E119DD" w14:paraId="32ECB874" w14:textId="77777777" w:rsidTr="00FF4BD9">
        <w:trPr>
          <w:tblHeader/>
        </w:trPr>
        <w:tc>
          <w:tcPr>
            <w:tcW w:w="709" w:type="dxa"/>
          </w:tcPr>
          <w:p w14:paraId="14CA3D85" w14:textId="5BAE39F1"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{"citationItems":[{"id":"ITEM-1","itemData":{"ISSN":"0305-7453","abstract":"OBJECTIVES: To evaluate the impact of 'Resident Antimicrobial Management Plan' (RAMP), a novel antimicrobial stewardship tool on systemic antibiotic use for treatment of infection in nursing homes (NHs). METHODS: A pilot cluster randomized control study was conducted in 30 NHs in London. Pre-intervention, we collected point prevalence data on antimicrobial use on three occasions and total antimicrobial consumption for a 12 week period. Post-intervention data were collected in the same manner and included assessment of compliance with RAMP in the intervention group (IG). RESULTS: The number of residents included was 1628 pre-intervention [825 IG/803 control group (CG)] and 1610 post-intervention (838 IG/772 CG). The corresponding pre- and post-intervention point prevalence of systemic antibiotic prescribing for treatment of infection was 6.46% and 6.52% in the IG [estimated prevalence ratio: 1.01 (95% CI: 0.81-1.25), P = 0.94] compared with 5.27% and 5.83%, respectively, in the CG [estimated prevalence ratio: 1.11 (95% CI: 0.87-1.41), P = 0.4]. Total antibiotic consumption was 69.78 defined daily doses/1000 residents/day (DRD) pre-intervention and 66.53 DRD post-intervention in the IG compared with 49.68 and 51.92 DRD, respectively, in the CG. There was a significant decrease of 4.9% (3.25 DRD) in the IG (95% CI: 1.0%-8.6%) (P = 0.02) compared with a significant increase of 5.1% (2.24 DRD) in the CG (95% CI: 0.2%-10.2%) (P = 0.04). Main indications for antibiotics were lower respiratory tract infections (34.1%), urinary tract infections (28.5%) and skin/soft tissue infections (25.1%). CONCLUSIONS: This pilot study demonstrated that use of RAMP was associated with a statistically significant decrease in total antibiotic consumption and has the potential to be an important antimicrobial stewardship tool for NHs.","author":[{"dropping-particle":"","family":"Fleet","given":"E","non-dropping-particle":"","parse-names":false,"suffix":""},{"dropping-particle":"","family":"Gopal Rao","given":"G","non-dropping-particle":"","parse-names":false,"suffix":""},{"dropping-particle":"","family":"Patel","given":"B","non-dropping-particle":"","parse-names":false,"suffix":""},{"dropping-particle":"","family":"Cookson","given":"B","non-dropping-particle":"","parse-names":false,"suffix":""},{"dropping-particle":"","family":"Charlett","given":"A","non-dropping-particle":"","parse-names":false,"suffix":""},{"dropping-particle":"","family":"Bowman","given":"C","non-dropping-particle":"","parse-names":false,"suffix":""},{"dropping-particle":"","family":"Davey","given":"P","non-dropping-particle":"","parse-names":false,"suffix":""}],"container-title":"Journal of Antimicrobial Chemotherapy","id":"ITEM-1","issue":"8","issued":{"date-parts":[["2014"]]},"page":"2265-2273","title":"Impact of implementation of a novel antimicrobial stewardship tool on antibiotic use in nursing homes: a prospective cluster randomized control pilot study","type":"article-journal","volume":"69"},"uris":["http://www.mendeley.com/documents/?uuid=1c420faf-4e15-45b8-b372-c49fab46ece9"]}],"mendeley":{"formattedCitation":"(49)","plainTextFormattedCitation":"(49)","previouslyFormattedCitation":"(49)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(49)</w:t>
            </w:r>
            <w:r w:rsidRPr="00EC3E91">
              <w:rPr>
                <w:rFonts w:cstheme="minorHAnsi"/>
                <w:sz w:val="20"/>
                <w:szCs w:val="20"/>
                <w:lang w:val="en-US"/>
              </w:rPr>
              <w:fldChar w:fldCharType="end"/>
            </w:r>
          </w:p>
        </w:tc>
        <w:tc>
          <w:tcPr>
            <w:tcW w:w="992" w:type="dxa"/>
          </w:tcPr>
          <w:p w14:paraId="2DA6C21A" w14:textId="654DC34A" w:rsidR="00FF4BD9" w:rsidRPr="00EC3E91" w:rsidRDefault="00FF4BD9" w:rsidP="00060412">
            <w:pPr>
              <w:rPr>
                <w:rFonts w:cstheme="minorHAnsi"/>
                <w:sz w:val="20"/>
                <w:szCs w:val="20"/>
                <w:lang w:val="en-US"/>
              </w:rPr>
            </w:pPr>
            <w:r w:rsidRPr="00EC3E91">
              <w:rPr>
                <w:rFonts w:cstheme="minorHAnsi"/>
                <w:sz w:val="20"/>
                <w:szCs w:val="20"/>
                <w:lang w:val="en-US"/>
              </w:rPr>
              <w:t>UK</w:t>
            </w:r>
          </w:p>
        </w:tc>
        <w:tc>
          <w:tcPr>
            <w:tcW w:w="993" w:type="dxa"/>
          </w:tcPr>
          <w:p w14:paraId="71712E6B" w14:textId="06BEE251"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1E0EA9F2" w14:textId="618ACDE6" w:rsidR="00FF4BD9" w:rsidRPr="00EC3E91" w:rsidRDefault="00FF4BD9" w:rsidP="00060412">
            <w:pPr>
              <w:rPr>
                <w:rFonts w:cstheme="minorHAnsi"/>
                <w:sz w:val="20"/>
                <w:szCs w:val="20"/>
                <w:lang w:val="en-US"/>
              </w:rPr>
            </w:pPr>
            <w:r w:rsidRPr="00EC3E91">
              <w:rPr>
                <w:rFonts w:cstheme="minorHAnsi"/>
                <w:sz w:val="20"/>
                <w:szCs w:val="20"/>
                <w:lang w:val="en-US"/>
              </w:rPr>
              <w:t>Quant prospective randomized controlled trial</w:t>
            </w:r>
          </w:p>
        </w:tc>
        <w:tc>
          <w:tcPr>
            <w:tcW w:w="851" w:type="dxa"/>
          </w:tcPr>
          <w:p w14:paraId="339A721F" w14:textId="4205F762"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4718D47F" w14:textId="4024D247"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1E9CDFAF" w14:textId="4AFFBF68"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033E045C" w14:textId="763B8C8D" w:rsidR="00FF4BD9" w:rsidRPr="00EC3E91" w:rsidRDefault="00FF4BD9" w:rsidP="00E73CDF">
            <w:pPr>
              <w:rPr>
                <w:rFonts w:cstheme="minorHAnsi"/>
                <w:sz w:val="20"/>
                <w:szCs w:val="20"/>
                <w:lang w:val="en-US"/>
              </w:rPr>
            </w:pPr>
            <w:r w:rsidRPr="00EC3E91">
              <w:rPr>
                <w:rFonts w:cstheme="minorHAnsi"/>
                <w:sz w:val="20"/>
                <w:szCs w:val="20"/>
                <w:lang w:val="en-US"/>
              </w:rPr>
              <w:t xml:space="preserve">Loeb Criteria </w:t>
            </w:r>
          </w:p>
        </w:tc>
        <w:tc>
          <w:tcPr>
            <w:tcW w:w="2551" w:type="dxa"/>
          </w:tcPr>
          <w:p w14:paraId="7D39F158" w14:textId="44BFBD80" w:rsidR="00FF4BD9" w:rsidRPr="00EC3E91" w:rsidRDefault="00FF4BD9" w:rsidP="00060412">
            <w:pPr>
              <w:rPr>
                <w:rFonts w:cstheme="minorHAnsi"/>
                <w:sz w:val="20"/>
                <w:szCs w:val="20"/>
                <w:lang w:val="en-US"/>
              </w:rPr>
            </w:pPr>
            <w:r w:rsidRPr="00EC3E91">
              <w:rPr>
                <w:rFonts w:cstheme="minorHAnsi"/>
                <w:sz w:val="20"/>
                <w:szCs w:val="20"/>
                <w:lang w:val="en-US"/>
              </w:rPr>
              <w:t>remind clinicians</w:t>
            </w:r>
          </w:p>
        </w:tc>
      </w:tr>
      <w:tr w:rsidR="00FF4BD9" w:rsidRPr="00E119DD" w14:paraId="37518114" w14:textId="77777777" w:rsidTr="00FF4BD9">
        <w:trPr>
          <w:tblHeader/>
        </w:trPr>
        <w:tc>
          <w:tcPr>
            <w:tcW w:w="709" w:type="dxa"/>
          </w:tcPr>
          <w:p w14:paraId="3E6D11E2" w14:textId="0EB973F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{"citationItems":[{"id":"ITEM-1","itemData":{"abstract":"An antimicrobial stewardship educational initiative provided to physicians and pharmacists was evaluated at an academic medical center to minimize inappropriate treatment of asymptomatic bacteriuria (ASB). A significant decrease in empirical antimicrobial use for ASB was observed after education. Multifaceted educational initiatives can reduce inappropriate antimicrobial treatment of ASB.","author":[{"dropping-particle":"","family":"Kelley","given":"D","non-dropping-particle":"","parse-names":false,"suffix":""},{"dropping-particle":"","family":"Aaronson","given":"P","non-dropping-particle":"","parse-names":false,"suffix":""},{"dropping-particle":"","family":"Poon","given":"E","non-dropping-particle":"","parse-names":false,"suffix":""},{"dropping-particle":"","family":"McCarter","given":"Y S","non-dropping-particle":"","parse-names":false,"suffix":""},{"dropping-particle":"","family":"Bato","given":"B","non-dropping-particle":"","parse-names":false,"suffix":""},{"dropping-particle":"","family":"Jankowski","given":"C A","non-dropping-particle":"","parse-names":false,"suffix":""}],"container-title":"Infection Control &amp; Hospital Epidemiology","id":"ITEM-1","issue":"2","issued":{"date-parts":[["2014"]]},"page":"193-195","title":"Evaluation of an antimicrobial stewardship approach to minimize overuse of antibiotics in patients with asymptomatic bacteriuria","type":"article-journal","volume":"35"},"uris":["http://www.mendeley.com/documents/?uuid=8aab10a5-f58f-4d4d-90ca-e3d4e15fdfbc"]}],"mendeley":{"formattedCitation":"(50)","plainTextFormattedCitation":"(50)","previouslyFormattedCitation":"(50)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(50)</w:t>
            </w:r>
            <w:r w:rsidRPr="00EC3E91">
              <w:rPr>
                <w:rFonts w:cstheme="minorHAnsi"/>
                <w:sz w:val="20"/>
                <w:szCs w:val="20"/>
                <w:lang w:val="en-US"/>
              </w:rPr>
              <w:fldChar w:fldCharType="end"/>
            </w:r>
          </w:p>
        </w:tc>
        <w:tc>
          <w:tcPr>
            <w:tcW w:w="992" w:type="dxa"/>
          </w:tcPr>
          <w:p w14:paraId="7953D979" w14:textId="70F0706D"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20CAF703" w14:textId="4CF8828F"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2572F1E7" w14:textId="04A8362C"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45B6ED28" w14:textId="6C7BC1DC"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5B4E0E4" w14:textId="1572C0B8"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572437A2" w14:textId="7673D524"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use of antibiotics for </w:t>
            </w:r>
            <w:r w:rsidR="00C74D1E" w:rsidRPr="00EC3E91">
              <w:rPr>
                <w:rFonts w:cstheme="minorHAnsi"/>
                <w:sz w:val="20"/>
                <w:szCs w:val="20"/>
                <w:lang w:val="en-US"/>
              </w:rPr>
              <w:t>asymptomatic bacteriuria</w:t>
            </w:r>
          </w:p>
        </w:tc>
        <w:tc>
          <w:tcPr>
            <w:tcW w:w="3969" w:type="dxa"/>
          </w:tcPr>
          <w:p w14:paraId="23773385" w14:textId="04A5AD50" w:rsidR="00FF4BD9" w:rsidRPr="00EC3E91" w:rsidRDefault="00FF4BD9" w:rsidP="00E73CDF">
            <w:pPr>
              <w:rPr>
                <w:rFonts w:cstheme="minorHAnsi"/>
                <w:sz w:val="20"/>
                <w:szCs w:val="20"/>
                <w:lang w:val="en-US"/>
              </w:rPr>
            </w:pPr>
            <w:r w:rsidRPr="00EC3E91">
              <w:rPr>
                <w:rFonts w:cstheme="minorHAnsi"/>
                <w:sz w:val="20"/>
                <w:szCs w:val="20"/>
                <w:lang w:val="en-US"/>
              </w:rPr>
              <w:t>Guidelines for the diagnosis and treatment of asymptomatic bacteriuria in adults.  From Journal of Clinical Infectious Diseases.</w:t>
            </w:r>
          </w:p>
        </w:tc>
        <w:tc>
          <w:tcPr>
            <w:tcW w:w="2551" w:type="dxa"/>
          </w:tcPr>
          <w:p w14:paraId="2F003DD9" w14:textId="4595D774" w:rsidR="00FF4BD9" w:rsidRPr="00EC3E91" w:rsidRDefault="00FF4BD9" w:rsidP="00782C8D">
            <w:pPr>
              <w:rPr>
                <w:rFonts w:cstheme="minorHAnsi"/>
                <w:sz w:val="20"/>
                <w:szCs w:val="20"/>
                <w:lang w:val="en-US"/>
              </w:rPr>
            </w:pPr>
            <w:r w:rsidRPr="00EC3E91">
              <w:rPr>
                <w:rFonts w:cstheme="minorHAnsi"/>
                <w:sz w:val="20"/>
                <w:szCs w:val="20"/>
                <w:lang w:val="en-US"/>
              </w:rPr>
              <w:t>Develop educational materials, remind clinicians, conduct educational outreach, develop and organize quality monitoring system.</w:t>
            </w:r>
          </w:p>
        </w:tc>
      </w:tr>
      <w:tr w:rsidR="00FF4BD9" w:rsidRPr="00E119DD" w14:paraId="7CA1EC0B" w14:textId="77777777" w:rsidTr="00FF4BD9">
        <w:trPr>
          <w:tblHeader/>
        </w:trPr>
        <w:tc>
          <w:tcPr>
            <w:tcW w:w="709" w:type="dxa"/>
          </w:tcPr>
          <w:p w14:paraId="4CD1AE89" w14:textId="608E4923"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{"citationItems":[{"id":"ITEM-1","itemData":{"ISSN":"0269-4727","abstract":"WHAT IS KNOWN AND OBJECTIVES: Although quality improvement initiatives targeting physician practice patterns have been effective, evidence is lacking on their long-term sustainability. We previously demonstrated the success of a population-wide, physician-focused quality improvement intervention targeting potentially inappropriate prescribing (PIP) in an aged population of the Local Health Authority (LHA) of Parma, Italy. We sought to assess whether the decrease in PIP incidence rates achieved during the intervention was sustained after discontinuation of the intervention, and which factors modified the effectiveness of the intervention. METHODS: Using a regional administrative claims database, we assessed changes in quarterly PIP exposure incidence rates for each phase [pre-intervention (2005 Q1-2007 Q3), intervention (2007 Q4-2009 Q4) and post-intervention (2010 Q1-Q4)] of the study for both all and newly PIP-exposed patients. Piecewise-linear longitudinal logistic regression was used to model the odds of PIP exposure. RESULTS: 299 GPs (98.7%) serving 111,282 older patients were included. PIP incidence rates declined from 7.1% (pre-intervention) to 4.9% (intervention), and to 4.3% (post-intervention). There was no significant change in odds of PIP exposure following the intervention period (P = 0.52), and the rates of change in PIP exposure odds during pre-intervention and post-intervention periods were not significantly different (P = 0.39). The intervention was attributed to an 18% long-term reduction in the odds of PIP exposure. No assessed patient or GP characteristics modified this effect. Results among patients newly exposed to PIP were similar to results among all patients exposed to PIP. WHAT IS NEW AND CONCLUSION: The significant reduction in the odds of PIP exposure achieved during the intervention was sustained after its discontinuation. Because the intervention showed success across the spectrum of patients and providers, it shows promise for generalizability to other healthcare settings.","author":[{"dropping-particle":"","family":"Lopatto","given":"J","non-dropping-particle":"","parse-names":false,"suffix":""},{"dropping-particle":"","family":"Keith","given":"S W","non-dropping-particle":"","parse-names":false,"suffix":""},{"dropping-particle":"","family":"Canale","given":"S","non-dropping-particle":"Del","parse-names":false,"suffix":""},{"dropping-particle":"","family":"Templin","given":"M","non-dropping-particle":"","parse-names":false,"suffix":""},{"dropping-particle":"","family":"Maio","given":"V","non-dropping-particle":"","parse-names":false,"suffix":""}],"container-title":"Journal of Clinical Pharmacy &amp; Therapeutics","id":"ITEM-1","issue":"3","issued":{"date-parts":[["2014"]]},"page":"266-271","title":"Evaluating sustained quality improvements: long-term effectiveness of a physician-focused intervention to reduce potentially inappropriate medication prescribing in an older population","type":"article-journal","volume":"39"},"uris":["http://www.mendeley.com/documents/?uuid=e1ac8aec-20a0-4334-9bd2-01233dd20713"]}],"mendeley":{"formattedCitation":"(51)","plainTextFormattedCitation":"(51)","previouslyFormattedCitation":"(51)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(51)</w:t>
            </w:r>
            <w:r w:rsidRPr="00EC3E91">
              <w:rPr>
                <w:rFonts w:cstheme="minorHAnsi"/>
                <w:sz w:val="20"/>
                <w:szCs w:val="20"/>
                <w:lang w:val="en-US"/>
              </w:rPr>
              <w:fldChar w:fldCharType="end"/>
            </w:r>
          </w:p>
        </w:tc>
        <w:tc>
          <w:tcPr>
            <w:tcW w:w="992" w:type="dxa"/>
          </w:tcPr>
          <w:p w14:paraId="2321A88B" w14:textId="57C981CF" w:rsidR="00FF4BD9" w:rsidRPr="00EC3E91" w:rsidRDefault="00FF4BD9" w:rsidP="00060412">
            <w:pPr>
              <w:rPr>
                <w:rFonts w:cstheme="minorHAnsi"/>
                <w:sz w:val="20"/>
                <w:szCs w:val="20"/>
                <w:lang w:val="en-US"/>
              </w:rPr>
            </w:pPr>
            <w:r w:rsidRPr="00EC3E91">
              <w:rPr>
                <w:rFonts w:cstheme="minorHAnsi"/>
                <w:sz w:val="20"/>
                <w:szCs w:val="20"/>
                <w:lang w:val="en-US"/>
              </w:rPr>
              <w:t>Italy</w:t>
            </w:r>
          </w:p>
        </w:tc>
        <w:tc>
          <w:tcPr>
            <w:tcW w:w="993" w:type="dxa"/>
          </w:tcPr>
          <w:p w14:paraId="5D4BB01D" w14:textId="70AF4641"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3BB03DA6" w14:textId="53805B52" w:rsidR="00FF4BD9" w:rsidRPr="00EC3E91" w:rsidRDefault="00FF4BD9" w:rsidP="00060412">
            <w:pPr>
              <w:rPr>
                <w:rFonts w:cstheme="minorHAnsi"/>
                <w:sz w:val="20"/>
                <w:szCs w:val="20"/>
                <w:lang w:val="en-US"/>
              </w:rPr>
            </w:pPr>
            <w:r w:rsidRPr="00EC3E91">
              <w:rPr>
                <w:rFonts w:cstheme="minorHAnsi"/>
                <w:sz w:val="20"/>
                <w:szCs w:val="20"/>
                <w:lang w:val="en-US"/>
              </w:rPr>
              <w:t>Quant Quasi experimental</w:t>
            </w:r>
          </w:p>
        </w:tc>
        <w:tc>
          <w:tcPr>
            <w:tcW w:w="851" w:type="dxa"/>
          </w:tcPr>
          <w:p w14:paraId="7339DF78" w14:textId="0F368D5C"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0E3EFA74" w14:textId="789DC703"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211AF15C" w14:textId="18EF19DA"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21AA1943" w14:textId="12F25E70" w:rsidR="00FF4BD9" w:rsidRPr="00EC3E91" w:rsidRDefault="00FF4BD9" w:rsidP="00E73CDF">
            <w:pPr>
              <w:rPr>
                <w:rFonts w:cstheme="minorHAnsi"/>
                <w:sz w:val="20"/>
                <w:szCs w:val="20"/>
                <w:lang w:val="en-US"/>
              </w:rPr>
            </w:pPr>
            <w:r w:rsidRPr="00EC3E91">
              <w:rPr>
                <w:rFonts w:cstheme="minorHAnsi"/>
                <w:sz w:val="20"/>
                <w:szCs w:val="20"/>
                <w:lang w:val="en-US"/>
              </w:rPr>
              <w:t>Beer’s criteria</w:t>
            </w:r>
          </w:p>
        </w:tc>
        <w:tc>
          <w:tcPr>
            <w:tcW w:w="2551" w:type="dxa"/>
          </w:tcPr>
          <w:p w14:paraId="1597D3B8" w14:textId="1FC070CB" w:rsidR="00FF4BD9" w:rsidRPr="00EC3E91" w:rsidRDefault="00FF4BD9" w:rsidP="00060412">
            <w:pPr>
              <w:rPr>
                <w:rFonts w:cstheme="minorHAnsi"/>
                <w:sz w:val="20"/>
                <w:szCs w:val="20"/>
                <w:lang w:val="en-US"/>
              </w:rPr>
            </w:pPr>
            <w:r w:rsidRPr="00EC3E91">
              <w:rPr>
                <w:rFonts w:cstheme="minorHAnsi"/>
                <w:sz w:val="20"/>
                <w:szCs w:val="20"/>
                <w:lang w:val="en-US"/>
              </w:rPr>
              <w:t>distribute educational materials, make training dynamic, conduct educational outreach.</w:t>
            </w:r>
          </w:p>
        </w:tc>
      </w:tr>
      <w:tr w:rsidR="00FF4BD9" w:rsidRPr="00EC3E91" w14:paraId="3A1D6C54" w14:textId="77777777" w:rsidTr="00FF4BD9">
        <w:trPr>
          <w:tblHeader/>
        </w:trPr>
        <w:tc>
          <w:tcPr>
            <w:tcW w:w="709" w:type="dxa"/>
          </w:tcPr>
          <w:p w14:paraId="6AE956A8" w14:textId="50B460E9"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Antibiotics are commonly recognized as non-indicated for acute bronchitis and upper respiratory tract infection (URI), yet their widespread use persists. Clinical decision support in the form of electronic warnings is hypothesized to prevent non-indicated prescriptions. The purpose of this study was to identify the effect of clinical decision support on a common type of non-indicated prescription. MATERIALS AND METHODS: Using National Ambulatory Medical Care Survey data from 2006 to 2010, ambulatory visits with a primary diagnosis of acute bronchitis or URI and orders for antibiotic prescriptions were identified. Visits were classified on the basis of clinician report of decision-support use. Generalized estimating equations were used to assess the effect of decision support on likelihood of antibiotic prescription receipt, controlling for patient, provider, and practice characteristics. RESULTS: Clinician use of decision support increased sharply between 2006 (16% of visits) and 2010 (55%). Antibiotic prescribing for acute bronchitis and URI increased from ~35% of visits in 2006 to ~45% by 2010. Use of decision support was associated with a 19% lower likelihood of receiving an antibiotic prescription, controlling for patient, provider, and practice characteristics. DISCUSSION: In spite of the increased use of decision-support systems and the relatively fewer non-indicated antibiotic prescriptions resulting from the use of decision support, a secular upward trend in non-indicated antibiotic prescribing offset these improvements. CONCLUSIONS: The overall effect of decision support suggests an important role for technology in reducing non-indicated prescriptions. Decision support alone may not be sufficient to eliminate non-indicated prescriptions given secular trends.","author":[{"dropping-particle":"","family":"McCullough","given":"J M","non-dropping-particle":"","parse-names":false,"suffix":""},{"dropping-particle":"","family":"Zimmerman","given":"F J","non-dropping-particle":"","parse-names":false,"suffix":""},{"dropping-particle":"","family":"Rodriguez","given":"H P","non-dropping-particle":"","parse-names":false,"suffix":""}],"container-title":"Journal of the American Medical Informatics Association","id":"ITEM-1","issue":"6","issued":{"date-parts":[["2014"]]},"page":"1091-1097","title":"Impact of clinical decision support on receipt of antibiotic prescriptions for acute bronchitis and upper respiratory tract infection","type":"article-journal","volume":"21"},"uris":["http://www.mendeley.com/documents/?uuid=5e111367-d1ba-4326-a193-66cdaa9ec35f"]}],"mendeley":{"formattedCitation":"(52)","plainTextFormattedCitation":"(52)","previouslyFormattedCitation":"(52)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(52)</w:t>
            </w:r>
            <w:r w:rsidRPr="00EC3E91">
              <w:rPr>
                <w:rFonts w:cstheme="minorHAnsi"/>
                <w:sz w:val="20"/>
                <w:szCs w:val="20"/>
                <w:lang w:val="en-US"/>
              </w:rPr>
              <w:fldChar w:fldCharType="end"/>
            </w:r>
          </w:p>
        </w:tc>
        <w:tc>
          <w:tcPr>
            <w:tcW w:w="992" w:type="dxa"/>
          </w:tcPr>
          <w:p w14:paraId="14AE6431" w14:textId="0730F884"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01467AB4" w14:textId="3B9F1968"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07DE0923" w14:textId="38E840D9" w:rsidR="00FF4BD9" w:rsidRPr="00EC3E91" w:rsidRDefault="00FF4BD9" w:rsidP="00060412">
            <w:pPr>
              <w:rPr>
                <w:rFonts w:cstheme="minorHAnsi"/>
                <w:sz w:val="20"/>
                <w:szCs w:val="20"/>
                <w:lang w:val="en-US"/>
              </w:rPr>
            </w:pPr>
            <w:r w:rsidRPr="00EC3E91">
              <w:rPr>
                <w:rFonts w:cstheme="minorHAnsi"/>
                <w:sz w:val="20"/>
                <w:szCs w:val="20"/>
                <w:lang w:val="en-US"/>
              </w:rPr>
              <w:t>Quant Longitudinal</w:t>
            </w:r>
          </w:p>
        </w:tc>
        <w:tc>
          <w:tcPr>
            <w:tcW w:w="851" w:type="dxa"/>
          </w:tcPr>
          <w:p w14:paraId="6C112A9A" w14:textId="3E0C7C8D"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699C45B3" w14:textId="61207FC3"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2B2ACDE7" w14:textId="2903A0F6"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 for outpatient cases of acute bronchitis and URI.</w:t>
            </w:r>
          </w:p>
        </w:tc>
        <w:tc>
          <w:tcPr>
            <w:tcW w:w="3969" w:type="dxa"/>
          </w:tcPr>
          <w:p w14:paraId="4DBA505F" w14:textId="7622683B" w:rsidR="00FF4BD9" w:rsidRPr="00EC3E91" w:rsidRDefault="00FF4BD9" w:rsidP="00B538B8">
            <w:pPr>
              <w:rPr>
                <w:rFonts w:cstheme="minorHAnsi"/>
                <w:sz w:val="20"/>
                <w:szCs w:val="20"/>
                <w:lang w:val="en-US"/>
              </w:rPr>
            </w:pPr>
            <w:r w:rsidRPr="00EC3E91">
              <w:rPr>
                <w:rFonts w:cstheme="minorHAnsi"/>
                <w:sz w:val="20"/>
                <w:szCs w:val="20"/>
                <w:lang w:val="en-US"/>
              </w:rPr>
              <w:t xml:space="preserve">Principles of judicious use of </w:t>
            </w:r>
            <w:r w:rsidR="00C74D1E" w:rsidRPr="00EC3E91">
              <w:rPr>
                <w:rFonts w:cstheme="minorHAnsi"/>
                <w:sz w:val="20"/>
                <w:szCs w:val="20"/>
                <w:lang w:val="en-US"/>
              </w:rPr>
              <w:t>antimicrobial agents</w:t>
            </w:r>
            <w:r w:rsidRPr="00EC3E91">
              <w:rPr>
                <w:rFonts w:cstheme="minorHAnsi"/>
                <w:sz w:val="20"/>
                <w:szCs w:val="20"/>
                <w:lang w:val="en-US"/>
              </w:rPr>
              <w:t xml:space="preserve"> for pediatric upper respiratory tract </w:t>
            </w:r>
            <w:r w:rsidR="00C74D1E" w:rsidRPr="00EC3E91">
              <w:rPr>
                <w:rFonts w:cstheme="minorHAnsi"/>
                <w:sz w:val="20"/>
                <w:szCs w:val="20"/>
                <w:lang w:val="en-US"/>
              </w:rPr>
              <w:t>infections. From</w:t>
            </w:r>
            <w:r w:rsidRPr="00EC3E91">
              <w:rPr>
                <w:rFonts w:cstheme="minorHAnsi"/>
                <w:sz w:val="20"/>
                <w:szCs w:val="20"/>
                <w:lang w:val="en-US"/>
              </w:rPr>
              <w:t xml:space="preserve"> Pediatrics (Journal).</w:t>
            </w:r>
          </w:p>
          <w:p w14:paraId="7FAA34F5" w14:textId="77777777" w:rsidR="00FF4BD9" w:rsidRPr="00EC3E91" w:rsidRDefault="00FF4BD9" w:rsidP="00B538B8">
            <w:pPr>
              <w:rPr>
                <w:rFonts w:cstheme="minorHAnsi"/>
                <w:sz w:val="20"/>
                <w:szCs w:val="20"/>
                <w:lang w:val="en-US"/>
              </w:rPr>
            </w:pPr>
          </w:p>
          <w:p w14:paraId="2429E3A6" w14:textId="440606A7" w:rsidR="00FF4BD9" w:rsidRPr="00EC3E91" w:rsidRDefault="00FF4BD9" w:rsidP="00FA2205">
            <w:pPr>
              <w:rPr>
                <w:rFonts w:cstheme="minorHAnsi"/>
                <w:sz w:val="20"/>
                <w:szCs w:val="20"/>
                <w:lang w:val="en-US"/>
              </w:rPr>
            </w:pPr>
            <w:r w:rsidRPr="00EC3E91">
              <w:rPr>
                <w:rFonts w:cstheme="minorHAnsi"/>
                <w:sz w:val="20"/>
                <w:szCs w:val="20"/>
                <w:lang w:val="en-US"/>
              </w:rPr>
              <w:t>Principles of appropriate antibiotic use for treatment of acute bronchitis in adults. From Annals of Internal   Medicine (Journal).</w:t>
            </w:r>
          </w:p>
        </w:tc>
        <w:tc>
          <w:tcPr>
            <w:tcW w:w="2551" w:type="dxa"/>
          </w:tcPr>
          <w:p w14:paraId="760F0AC7" w14:textId="634F7108" w:rsidR="00FF4BD9" w:rsidRPr="00EC3E91" w:rsidRDefault="00FF4BD9" w:rsidP="00060412">
            <w:pPr>
              <w:rPr>
                <w:rFonts w:cstheme="minorHAnsi"/>
                <w:sz w:val="20"/>
                <w:szCs w:val="20"/>
                <w:lang w:val="en-US"/>
              </w:rPr>
            </w:pPr>
            <w:r w:rsidRPr="00EC3E91">
              <w:rPr>
                <w:rFonts w:cstheme="minorHAnsi"/>
                <w:sz w:val="20"/>
                <w:szCs w:val="20"/>
                <w:lang w:val="en-US"/>
              </w:rPr>
              <w:t>remind clinicians</w:t>
            </w:r>
          </w:p>
        </w:tc>
      </w:tr>
      <w:tr w:rsidR="00FF4BD9" w:rsidRPr="00E119DD" w14:paraId="3A27F3B0" w14:textId="77777777" w:rsidTr="00FF4BD9">
        <w:trPr>
          <w:tblHeader/>
        </w:trPr>
        <w:tc>
          <w:tcPr>
            <w:tcW w:w="709" w:type="dxa"/>
          </w:tcPr>
          <w:p w14:paraId="15D1AC0F" w14:textId="0012AE14"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{"citationItems":[{"id":"ITEM-1","itemData":{"ISSN":"2168-6106","abstract":"IMPORTANCE: \"Nudges\" that influence decision making through subtle cognitive mechanisms have been shown to be highly effective in a wide range of applications, but there have been few experiments to improve clinical practice. OBJECTIVE: To investigate the use of a behavioral \"nudge\" based on the principle of public commitment in encouraging the judicious use of antibiotics for acute respiratory infections (ARIs). DESIGN, SETTING, AND PARTICIPANTS: Randomized clinical trial in 5 outpatient primary care clinics. A total of 954 adults had ARI visits during the study timeframe: 449 patients were treated by clinicians randomized to the posted commitment letter (335 in the baseline period, 114 in the intervention period); 505 patients were treated by clinicians randomized to standard practice control (384 baseline, 121 intervention). INTERVENTIONS: The intervention consisted of displaying poster-sized commitment letters in examination rooms for 12 weeks. These letters, featuring clinician photographs and signatures, stated their commitment to avoid inappropriate antibiotic prescribing for ARIs. MAIN OUTCOMES AND MEASURES: Antibiotic prescribing rates for antibiotic-inappropriate ARI diagnoses in baseline and intervention periods, adjusted for patient age, sex, and insurance status. RESULTS: Baseline rates were 43.5% and 42.8% for control and poster, respectively. During the intervention period, inappropriate prescribing rates increased to 52.7% for controls but decreased to 33.7% in the posted commitment letter condition. Controlling for baseline prescribing rates, we found that the posted commitment letter resulted in a 19.7 absolute percentage reduction in inappropriate antibiotic prescribing rate relative to control (P=.02). There was no evidence of diagnostic coding shift, and rates of appropriate antibiotic prescriptions did not diminish over time. CONCLUSIONS AND RELEVANCE: Displaying poster-sized commitment letters in examination rooms decreased inappropriate antibiotic prescribing for ARIs. The effect of this simple, low-cost intervention is comparable in magnitude to costlier, more intensive quality-improvement efforts. TRIAL REGISTRATION: clinicaltrials.gov identifier: NCT01767064.","author":[{"dropping-particle":"","family":"Meeker","given":"D","non-dropping-particle":"","parse-names":false,"suffix":""},{"dropping-particle":"","family":"Knight","given":"T K","non-dropping-particle":"","parse-names":false,"suffix":""},{"dropping-particle":"","family":"Friedberg","given":"M W","non-dropping-particle":"","parse-names":false,"suffix":""},{"dropping-particle":"","family":"Linder","given":"J A","non-dropping-particle":"","parse-names":false,"suffix":""},{"dropping-particle":"","family":"Goldstein","given":"N J","non-dropping-particle":"","parse-names":false,"suffix":""},{"dropping-particle":"","family":"Fox","given":"C R","non-dropping-particle":"","parse-names":false,"suffix":""},{"dropping-particle":"","family":"Rothfeld","given":"A","non-dropping-particle":"","parse-names":false,"suffix":""},{"dropping-particle":"","family":"Diaz","given":"G","non-dropping-particle":"","parse-names":false,"suffix":""},{"dropping-particle":"","family":"Doctor","given":"J N","non-dropping-particle":"","parse-names":false,"suffix":""}],"container-title":"JAMA Internal Medicine","id":"ITEM-1","issue":"3","issued":{"date-parts":[["2014"]]},"page":"425-431","title":"Nudging guideline-concordant antibiotic prescribing: a randomized clinical trial","type":"article-journal","volume":"174"},"uris":["http://www.mendeley.com/documents/?uuid=4bd3ffb0-e4e6-4fe1-b375-f5e2c4414bbc"]}],"mendeley":{"formattedCitation":"(53)","plainTextFormattedCitation":"(53)","previouslyFormattedCitation":"(53)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(53)</w:t>
            </w:r>
            <w:r w:rsidRPr="00EC3E91">
              <w:rPr>
                <w:rFonts w:cstheme="minorHAnsi"/>
                <w:sz w:val="20"/>
                <w:szCs w:val="20"/>
                <w:lang w:val="en-US"/>
              </w:rPr>
              <w:fldChar w:fldCharType="end"/>
            </w:r>
          </w:p>
        </w:tc>
        <w:tc>
          <w:tcPr>
            <w:tcW w:w="992" w:type="dxa"/>
          </w:tcPr>
          <w:p w14:paraId="27C27140" w14:textId="61C6DA81"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697F67C2" w14:textId="798CAA61"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57BC7091" w14:textId="6B028516" w:rsidR="00FF4BD9" w:rsidRPr="00EC3E91" w:rsidRDefault="00FF4BD9" w:rsidP="00060412">
            <w:pPr>
              <w:rPr>
                <w:rFonts w:cstheme="minorHAnsi"/>
                <w:sz w:val="20"/>
                <w:szCs w:val="20"/>
                <w:lang w:val="en-US"/>
              </w:rPr>
            </w:pPr>
            <w:r w:rsidRPr="00EC3E91">
              <w:rPr>
                <w:rFonts w:cstheme="minorHAnsi"/>
                <w:sz w:val="20"/>
                <w:szCs w:val="20"/>
                <w:lang w:val="en-US"/>
              </w:rPr>
              <w:t>Quant RCT</w:t>
            </w:r>
          </w:p>
        </w:tc>
        <w:tc>
          <w:tcPr>
            <w:tcW w:w="851" w:type="dxa"/>
          </w:tcPr>
          <w:p w14:paraId="73374483" w14:textId="5C84028E"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2A4C4DA0" w14:textId="29FD3893"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4C4ACCAA" w14:textId="22BCE95D"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1073A7E2" w14:textId="74EBC6F8" w:rsidR="00FF4BD9" w:rsidRPr="00EC3E91" w:rsidRDefault="00FF4BD9" w:rsidP="00B538B8">
            <w:pPr>
              <w:rPr>
                <w:rFonts w:cstheme="minorHAnsi"/>
                <w:sz w:val="20"/>
                <w:szCs w:val="20"/>
                <w:lang w:val="en-US"/>
              </w:rPr>
            </w:pPr>
            <w:r w:rsidRPr="00EC3E91">
              <w:rPr>
                <w:rFonts w:cstheme="minorHAnsi"/>
                <w:sz w:val="20"/>
                <w:szCs w:val="20"/>
                <w:lang w:val="en-US"/>
              </w:rPr>
              <w:t xml:space="preserve">Principles of appropriate antibiotic use for treatment of acute respiratory tract infections in adults. From Annals of Internal </w:t>
            </w:r>
            <w:r w:rsidR="00C74D1E" w:rsidRPr="00EC3E91">
              <w:rPr>
                <w:rFonts w:cstheme="minorHAnsi"/>
                <w:sz w:val="20"/>
                <w:szCs w:val="20"/>
                <w:lang w:val="en-US"/>
              </w:rPr>
              <w:t>Medicine</w:t>
            </w:r>
            <w:r w:rsidRPr="00EC3E91">
              <w:rPr>
                <w:rFonts w:cstheme="minorHAnsi"/>
                <w:sz w:val="20"/>
                <w:szCs w:val="20"/>
                <w:lang w:val="en-US"/>
              </w:rPr>
              <w:t xml:space="preserve"> (Journal).</w:t>
            </w:r>
          </w:p>
          <w:p w14:paraId="3FFC3EE7" w14:textId="77777777" w:rsidR="00FF4BD9" w:rsidRPr="00EC3E91" w:rsidRDefault="00FF4BD9" w:rsidP="00B538B8">
            <w:pPr>
              <w:rPr>
                <w:rFonts w:cstheme="minorHAnsi"/>
                <w:sz w:val="20"/>
                <w:szCs w:val="20"/>
                <w:lang w:val="en-US"/>
              </w:rPr>
            </w:pPr>
          </w:p>
          <w:p w14:paraId="6C9A71EB" w14:textId="60D2D6E5" w:rsidR="00FF4BD9" w:rsidRPr="00EC3E91" w:rsidRDefault="00FF4BD9" w:rsidP="00FA2205">
            <w:pPr>
              <w:rPr>
                <w:rFonts w:cstheme="minorHAnsi"/>
                <w:sz w:val="20"/>
                <w:szCs w:val="20"/>
                <w:lang w:val="en-US"/>
              </w:rPr>
            </w:pPr>
            <w:r w:rsidRPr="00EC3E91">
              <w:rPr>
                <w:rFonts w:cstheme="minorHAnsi"/>
                <w:sz w:val="20"/>
                <w:szCs w:val="20"/>
                <w:lang w:val="en-US"/>
              </w:rPr>
              <w:t xml:space="preserve">Chronic cough due to acute bronchitis: ACCP evidence-based clinical practice guidelines. </w:t>
            </w:r>
          </w:p>
        </w:tc>
        <w:tc>
          <w:tcPr>
            <w:tcW w:w="2551" w:type="dxa"/>
          </w:tcPr>
          <w:p w14:paraId="7C112E3E" w14:textId="6307A1DC" w:rsidR="00FF4BD9" w:rsidRPr="00EC3E91" w:rsidRDefault="00FF4BD9" w:rsidP="00060412">
            <w:pPr>
              <w:rPr>
                <w:rFonts w:cstheme="minorHAnsi"/>
                <w:sz w:val="20"/>
                <w:szCs w:val="20"/>
                <w:lang w:val="en-US"/>
              </w:rPr>
            </w:pPr>
            <w:r w:rsidRPr="00EC3E91">
              <w:rPr>
                <w:rFonts w:cstheme="minorHAnsi"/>
                <w:sz w:val="20"/>
                <w:szCs w:val="20"/>
                <w:lang w:val="en-US"/>
              </w:rPr>
              <w:t>obtain formal commitment</w:t>
            </w:r>
          </w:p>
        </w:tc>
      </w:tr>
      <w:tr w:rsidR="00FF4BD9" w:rsidRPr="00E119DD" w14:paraId="13217289" w14:textId="77777777" w:rsidTr="00FF4BD9">
        <w:trPr>
          <w:tblHeader/>
        </w:trPr>
        <w:tc>
          <w:tcPr>
            <w:tcW w:w="709" w:type="dxa"/>
          </w:tcPr>
          <w:p w14:paraId="29BC87D2" w14:textId="0CFC083A"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{"citationItems":[{"id":"ITEM-1","itemData":{"abstract":"BACKGROUND: Atrial fibrillation (AF) is a cause of stroke, and undertreatment with anticoagulants is a persistent issue despite their effectiveness. AIM: To increase the proportion of people with AF treated appropriately using anticoagulants, and reduce inappropriate antiplatelet therapy. DESIGN OF STUDY: Cross-sectional analysis. SETTING: Electronic patient health records on 4604 patients with AF obtained from general practices in three inner London primary care trusts between April 2011 and 2013. METHOD: The Anticoagulant Programme East London (APEL) sought to achieve its aims through an intervention with three components: altering professional beliefs using new clinical guidance and related education; facilitating change using computer software to support clinical decisions and patient review optimising anticoagulation; motivating change through evaluative feedback showing individual practice performance relative to peers. RESULTS: From April 2011 to April 2013, the proportion of people with CHA2DS2-VASc &gt;=1 on anticoagulants increased from 52.6% to 59.8% (trend difference P&lt;0.001). The proportion of people with CHA2DS2-VASc &gt;=1 on aspirin declined from 37.7% to 30.3% (trend difference P&lt;0.001). Comparing the 2 years before the intervention with the 2 years after, numbers of new people on the AF register almost doubled from 108 to 204. CONCLUSIONS: The APEL programme supports improvement in clinical managing AF by a combined programme of education around agreed guidance, computer aids to facilitate decision-making and patient review and feedback of locally identifiable results. If replicated nationally over 3 years, such a programme could result in approximately 1600 fewer strokes every year.","author":[{"dropping-particle":"","family":"Robson","given":"J","non-dropping-particle":"","parse-names":false,"suffix":""},{"dropping-particle":"","family":"Dostal","given":"I","non-dropping-particle":"","parse-names":false,"suffix":""},{"dropping-particle":"","family":"Mathur","given":"R","non-dropping-particle":"","parse-names":false,"suffix":""},{"dropping-particle":"","family":"Sohanpal","given":"R","non-dropping-particle":"","parse-names":false,"suffix":""},{"dropping-particle":"","family":"Hull","given":"S","non-dropping-particle":"","parse-names":false,"suffix":""},{"dropping-particle":"","family":"Antoniou","given":"S","non-dropping-particle":"","parse-names":false,"suffix":""},{"dropping-particle":"","family":"Maccallum","given":"P","non-dropping-particle":"","parse-names":false,"suffix":""},{"dropping-particle":"","family":"Schilling","given":"R","non-dropping-particle":"","parse-names":false,"suffix":""},{"dropping-particle":"","family":"Ayerbe","given":"L","non-dropping-particle":"","parse-names":false,"suffix":""},{"dropping-particle":"","family":"Boomla","given":"K","non-dropping-particle":"","parse-names":false,"suffix":""}],"container-title":"British Journal of General Practice","id":"ITEM-1","issue":"622","issued":{"date-parts":[["2014"]]},"page":"e275-81","title":"Improving anticoagulation in atrial fibrillation: observational study in three primary care trusts","type":"article-journal","volume":"64"},"uris":["http://www.mendeley.com/documents/?uuid=2c02b4eb-9374-4a3d-85e1-d04c8eb96a04"]}],"mendeley":{"formattedCitation":"(54)","plainTextFormattedCitation":"(54)","previouslyFormattedCitation":"(54)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(54)</w:t>
            </w:r>
            <w:r w:rsidRPr="00EC3E91">
              <w:rPr>
                <w:rFonts w:cstheme="minorHAnsi"/>
                <w:sz w:val="20"/>
                <w:szCs w:val="20"/>
                <w:lang w:val="en-US"/>
              </w:rPr>
              <w:fldChar w:fldCharType="end"/>
            </w:r>
          </w:p>
        </w:tc>
        <w:tc>
          <w:tcPr>
            <w:tcW w:w="992" w:type="dxa"/>
          </w:tcPr>
          <w:p w14:paraId="40B357CF" w14:textId="223EFCC1" w:rsidR="00FF4BD9" w:rsidRPr="00EC3E91" w:rsidRDefault="00FF4BD9" w:rsidP="00060412">
            <w:pPr>
              <w:rPr>
                <w:rFonts w:cstheme="minorHAnsi"/>
                <w:sz w:val="20"/>
                <w:szCs w:val="20"/>
                <w:lang w:val="en-US"/>
              </w:rPr>
            </w:pPr>
            <w:r w:rsidRPr="00EC3E91">
              <w:rPr>
                <w:rFonts w:cstheme="minorHAnsi"/>
                <w:sz w:val="20"/>
                <w:szCs w:val="20"/>
                <w:lang w:val="en-US"/>
              </w:rPr>
              <w:t xml:space="preserve">UK </w:t>
            </w:r>
          </w:p>
        </w:tc>
        <w:tc>
          <w:tcPr>
            <w:tcW w:w="993" w:type="dxa"/>
          </w:tcPr>
          <w:p w14:paraId="3B3C75D8" w14:textId="68FCC227"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1981AA8D" w14:textId="4086AB00"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1E7896DA" w14:textId="10138B64"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33FE272" w14:textId="0BF85DB6" w:rsidR="00FF4BD9" w:rsidRPr="00EC3E91" w:rsidRDefault="00FF4BD9" w:rsidP="00060412">
            <w:pPr>
              <w:rPr>
                <w:rFonts w:cstheme="minorHAnsi"/>
                <w:sz w:val="20"/>
                <w:szCs w:val="20"/>
                <w:lang w:val="en-US"/>
              </w:rPr>
            </w:pPr>
            <w:r w:rsidRPr="00EC3E91">
              <w:rPr>
                <w:rFonts w:cstheme="minorHAnsi"/>
                <w:sz w:val="20"/>
                <w:szCs w:val="20"/>
                <w:lang w:val="en-US"/>
              </w:rPr>
              <w:t>antiplatelet therapy</w:t>
            </w:r>
          </w:p>
        </w:tc>
        <w:tc>
          <w:tcPr>
            <w:tcW w:w="2126" w:type="dxa"/>
          </w:tcPr>
          <w:p w14:paraId="14DEDA33" w14:textId="7FB80834" w:rsidR="00FF4BD9" w:rsidRPr="00EC3E91" w:rsidRDefault="00FF4BD9" w:rsidP="00060412">
            <w:pPr>
              <w:rPr>
                <w:rFonts w:cstheme="minorHAnsi"/>
                <w:sz w:val="20"/>
                <w:szCs w:val="20"/>
                <w:lang w:val="en-US"/>
              </w:rPr>
            </w:pPr>
            <w:r w:rsidRPr="00EC3E91">
              <w:rPr>
                <w:rFonts w:cstheme="minorHAnsi"/>
                <w:sz w:val="20"/>
                <w:szCs w:val="20"/>
                <w:lang w:val="en-US"/>
              </w:rPr>
              <w:t>Inappropriate antiplatelet therapy</w:t>
            </w:r>
          </w:p>
        </w:tc>
        <w:tc>
          <w:tcPr>
            <w:tcW w:w="3969" w:type="dxa"/>
          </w:tcPr>
          <w:p w14:paraId="22ECA9B1" w14:textId="2DD36E5C" w:rsidR="00FF4BD9" w:rsidRPr="00EC3E91" w:rsidRDefault="00FF4BD9" w:rsidP="001636A5">
            <w:pPr>
              <w:rPr>
                <w:rFonts w:cstheme="minorHAnsi"/>
                <w:sz w:val="20"/>
                <w:szCs w:val="20"/>
                <w:lang w:val="en-US"/>
              </w:rPr>
            </w:pPr>
            <w:r w:rsidRPr="00EC3E91">
              <w:rPr>
                <w:rFonts w:cstheme="minorHAnsi"/>
                <w:sz w:val="20"/>
                <w:szCs w:val="20"/>
                <w:lang w:val="en-US"/>
              </w:rPr>
              <w:t xml:space="preserve">The management of atrial fibrillation. National Institute for Health and Care Excellence. </w:t>
            </w:r>
          </w:p>
          <w:p w14:paraId="6C36AE22" w14:textId="77777777" w:rsidR="00FF4BD9" w:rsidRPr="00EC3E91" w:rsidRDefault="00FF4BD9" w:rsidP="001636A5">
            <w:pPr>
              <w:rPr>
                <w:rFonts w:cstheme="minorHAnsi"/>
                <w:sz w:val="20"/>
                <w:szCs w:val="20"/>
                <w:lang w:val="en-US"/>
              </w:rPr>
            </w:pPr>
          </w:p>
          <w:p w14:paraId="4465A580" w14:textId="01AA49B6" w:rsidR="00FF4BD9" w:rsidRPr="00EC3E91" w:rsidRDefault="00FF4BD9" w:rsidP="00FA2205">
            <w:pPr>
              <w:rPr>
                <w:rFonts w:cstheme="minorHAnsi"/>
                <w:sz w:val="20"/>
                <w:szCs w:val="20"/>
                <w:lang w:val="en-US"/>
              </w:rPr>
            </w:pPr>
            <w:r w:rsidRPr="00EC3E91">
              <w:rPr>
                <w:rFonts w:cstheme="minorHAnsi"/>
                <w:sz w:val="20"/>
                <w:szCs w:val="20"/>
                <w:lang w:val="en-US"/>
              </w:rPr>
              <w:t xml:space="preserve">the ESC Guidelines for the management of atrial fibrillation. </w:t>
            </w:r>
          </w:p>
        </w:tc>
        <w:tc>
          <w:tcPr>
            <w:tcW w:w="2551" w:type="dxa"/>
          </w:tcPr>
          <w:p w14:paraId="0A8B0A93" w14:textId="48008613" w:rsidR="00FF4BD9" w:rsidRPr="00EC3E91" w:rsidRDefault="00FF4BD9" w:rsidP="00060412">
            <w:pPr>
              <w:rPr>
                <w:rFonts w:cstheme="minorHAnsi"/>
                <w:sz w:val="20"/>
                <w:szCs w:val="20"/>
                <w:lang w:val="en-US"/>
              </w:rPr>
            </w:pPr>
            <w:r w:rsidRPr="00EC3E91">
              <w:rPr>
                <w:rFonts w:cstheme="minorHAnsi"/>
                <w:sz w:val="20"/>
                <w:szCs w:val="20"/>
                <w:lang w:val="en-US"/>
              </w:rPr>
              <w:t xml:space="preserve">Make training dynamic, remind clinicians, audit and provide feedback, use advisory boards and workgroups. </w:t>
            </w:r>
          </w:p>
        </w:tc>
      </w:tr>
      <w:tr w:rsidR="00FF4BD9" w:rsidRPr="00E119DD" w14:paraId="1E0B70E6" w14:textId="77777777" w:rsidTr="00FF4BD9">
        <w:trPr>
          <w:tblHeader/>
        </w:trPr>
        <w:tc>
          <w:tcPr>
            <w:tcW w:w="709" w:type="dxa"/>
          </w:tcPr>
          <w:p w14:paraId="0533B00A" w14:textId="57EE2B03"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Inappropriate antibiotic prescribing commonly occurs in pediatric outpatients with acute respiratory tract infections. Antimicrobial stewardship programs are recommended for use in the hospital, but less is known about whether and how they will work in the ambulatory setting. Following a successful cluster-randomized trial to improve prescribing for common acute respiratory tract infections using education plus audit and feedback in a large, pediatric primary care network, we sought to explore the perceptions of the intervention and antibiotic overuse among participating clinicians. METHODS: We conducted a qualitative study using semistructured interviews with 24 pediatricians from 6 primary care practices who participated in an outpatient antimicrobial stewardship intervention. All interviews were transcribed and analyzed using a modified grounded theory approach. RESULTS: Deep skepticism of the audit and feedback reports emerged. Respondents ignored reports or expressed distrust about them. One respondent admitted to gaming behavior. When asked about antibiotic overuse, respondents recognized it as a problem, but they believed it was driven by the behaviors of nonpediatric physicians. Parent pressure for antibiotics was identified by all respondents as a major barrier to the more judicious use of antibiotics. Respondents reported that they sometimes \"caved\" to parent pressure for social reasons. CONCLUSIONS: To improve the effectiveness and sustainability of outpatient antimicrobial stewardship, it is critical to boost the credibility of audit data, engage primary care pediatricians in recognizing that their behavior contributes to antibiotic overuse, and address parent pressure to prescribe antibiotics.","author":[{"dropping-particle":"","family":"Szymczak","given":"J E","non-dropping-particle":"","parse-names":false,"suffix":""},{"dropping-particle":"","family":"Feemster","given":"K A","non-dropping-particle":"","parse-names":false,"suffix":""},{"dropping-particle":"","family":"Zaoutis","given":"T E","non-dropping-particle":"","parse-names":false,"suffix":""},{"dropping-particle":"","family":"Gerber","given":"J S","non-dropping-particle":"","parse-names":false,"suffix":""}],"container-title":"Infection Control &amp; Hospital Epidemiology","id":"ITEM-1","issued":{"date-parts":[["2014"]]},"page":"S69-78","title":"Pediatrician perceptions of an outpatient antimicrobial stewardship intervention","type":"article-journal","volume":"35"},"uris":["http://www.mendeley.com/documents/?uuid=f8c6f7ad-6028-49e0-851a-44d639699275"]}],"mendeley":{"formattedCitation":"(55)","plainTextFormattedCitation":"(55)","previouslyFormattedCitation":"(55)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(55)</w:t>
            </w:r>
            <w:r w:rsidRPr="00EC3E91">
              <w:rPr>
                <w:rFonts w:cstheme="minorHAnsi"/>
                <w:sz w:val="20"/>
                <w:szCs w:val="20"/>
                <w:lang w:val="en-US"/>
              </w:rPr>
              <w:fldChar w:fldCharType="end"/>
            </w:r>
          </w:p>
        </w:tc>
        <w:tc>
          <w:tcPr>
            <w:tcW w:w="992" w:type="dxa"/>
          </w:tcPr>
          <w:p w14:paraId="2AF520F0" w14:textId="36F77EDB"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18FD5E99" w14:textId="712E5E3F"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4B22CB07" w14:textId="5774867C" w:rsidR="00FF4BD9" w:rsidRPr="00EC3E91" w:rsidRDefault="00FF4BD9" w:rsidP="00060412">
            <w:pPr>
              <w:rPr>
                <w:rFonts w:cstheme="minorHAnsi"/>
                <w:sz w:val="20"/>
                <w:szCs w:val="20"/>
                <w:lang w:val="en-US"/>
              </w:rPr>
            </w:pPr>
            <w:r w:rsidRPr="00EC3E91">
              <w:rPr>
                <w:rFonts w:cstheme="minorHAnsi"/>
                <w:sz w:val="20"/>
                <w:szCs w:val="20"/>
                <w:lang w:val="en-US"/>
              </w:rPr>
              <w:t xml:space="preserve">Qual Case Study </w:t>
            </w:r>
          </w:p>
        </w:tc>
        <w:tc>
          <w:tcPr>
            <w:tcW w:w="851" w:type="dxa"/>
          </w:tcPr>
          <w:p w14:paraId="10D3B545" w14:textId="34948419" w:rsidR="00FF4BD9" w:rsidRPr="00EC3E91" w:rsidRDefault="00FF4BD9" w:rsidP="00060412">
            <w:pPr>
              <w:rPr>
                <w:rFonts w:cstheme="minorHAnsi"/>
                <w:sz w:val="20"/>
                <w:szCs w:val="20"/>
                <w:lang w:val="en-US"/>
              </w:rPr>
            </w:pPr>
            <w:r w:rsidRPr="00EC3E91">
              <w:rPr>
                <w:rFonts w:cstheme="minorHAnsi"/>
                <w:sz w:val="20"/>
                <w:szCs w:val="20"/>
                <w:lang w:val="en-US"/>
              </w:rPr>
              <w:t>Process evaluation</w:t>
            </w:r>
          </w:p>
        </w:tc>
        <w:tc>
          <w:tcPr>
            <w:tcW w:w="1134" w:type="dxa"/>
          </w:tcPr>
          <w:p w14:paraId="24DDD6DC" w14:textId="7A1BADD4"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6D8871A3" w14:textId="1C48D92E"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267C7181" w14:textId="62B65BBB" w:rsidR="00FF4BD9" w:rsidRPr="00EC3E91" w:rsidRDefault="00FF4BD9" w:rsidP="00FA2205">
            <w:pPr>
              <w:rPr>
                <w:rFonts w:cstheme="minorHAnsi"/>
                <w:sz w:val="20"/>
                <w:szCs w:val="20"/>
                <w:lang w:val="en-US"/>
              </w:rPr>
            </w:pPr>
            <w:r w:rsidRPr="00EC3E91">
              <w:rPr>
                <w:rFonts w:cstheme="minorHAnsi"/>
                <w:sz w:val="20"/>
                <w:szCs w:val="20"/>
                <w:lang w:val="en-US"/>
              </w:rPr>
              <w:t xml:space="preserve">The management of community-acquired pneumonia in infants and children older than 3 months of age: clinical practice guidelines by the Pediatric Infectious Diseases Society and the Infectious Diseases Society of America.  </w:t>
            </w:r>
          </w:p>
        </w:tc>
        <w:tc>
          <w:tcPr>
            <w:tcW w:w="2551" w:type="dxa"/>
          </w:tcPr>
          <w:p w14:paraId="0F1B1BF0" w14:textId="537E0A68" w:rsidR="00FF4BD9" w:rsidRPr="00EC3E91" w:rsidRDefault="00FF4BD9" w:rsidP="00060412">
            <w:pPr>
              <w:rPr>
                <w:rFonts w:cstheme="minorHAnsi"/>
                <w:sz w:val="20"/>
                <w:szCs w:val="20"/>
                <w:lang w:val="en-US"/>
              </w:rPr>
            </w:pPr>
            <w:r w:rsidRPr="00EC3E91">
              <w:rPr>
                <w:rFonts w:cstheme="minorHAnsi"/>
                <w:sz w:val="20"/>
                <w:szCs w:val="20"/>
                <w:lang w:val="en-US"/>
              </w:rPr>
              <w:t>Make training dynamic, audit and provide feedback</w:t>
            </w:r>
          </w:p>
        </w:tc>
      </w:tr>
      <w:tr w:rsidR="00FF4BD9" w:rsidRPr="00E119DD" w14:paraId="6C4CE1D8" w14:textId="77777777" w:rsidTr="00FF4BD9">
        <w:trPr>
          <w:tblHeader/>
        </w:trPr>
        <w:tc>
          <w:tcPr>
            <w:tcW w:w="709" w:type="dxa"/>
          </w:tcPr>
          <w:p w14:paraId="37F6EF90" w14:textId="06647EB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{"citationItems":[{"id":"ITEM-1","itemData":{"ISSN":"0002-8614","abstract":"OBJECTIVES: To determine whether antibiotic prescribing can be reduced in nursing homes using a quality improvement (QI) program that involves providers, staff, residents, and families. DESIGN: A 9-month quasi-experimental trial of a QI program in 12 nursing homes (6 comparison, 6 intervention) conducted from March to November 2011. SETTING: Nursing homes in two regions of North Carolina, roughly half of whose residents received care from a single practice of long-term care providers. PARTICIPANTS: All residents, including 1,497 who were prescribed antibiotics. INTERVENTION: In the intervention sites, providers in the single practice and nursing home nurses received training related to prescribing guidelines, including situations for which antibiotics are generally not indicated, and nursing home residents and their families were sensitized to matters related to antibiotic prescribing. Feedback on prescribing was shared with providers and nursing home staff monthly. MEASUREMENTS: Rates of antibiotic prescribing for presumed urinary tract, skin and soft tissue, and respiratory infections. RESULTS: The QI program reduced the number of prescriptions ordered between baseline and follow-up more in intervention than in comparison nursing homes (adjusted incidence rate ratio = 0.86, 95% confidence interval = 0.79-0.95). Based on baseline prescribing rates of 12.95 prescriptions per 1,000 resident-days, this estimated adjusted incidence rate ratio implies 1.8 prescriptions avoided per 1,000 resident-days. CONCLUSION: This magnitude of effect is unusual in efforts to reduce antibiotic use in nursing homes. Outcomes could be attributed to the commitment of the providers; outreach to providers and staff; and a focus on common clinical situations in which antibiotics are generally not indicated; and suggest that similar results can be achieved on a wider scale if similar commitment is obtained and education provided.","author":[{"dropping-particle":"","family":"Zimmerman","given":"S","non-dropping-particle":"","parse-names":false,"suffix":""},{"dropping-particle":"","family":"Sloane","given":"P D","non-dropping-particle":"","parse-names":false,"suffix":""},{"dropping-particle":"","family":"Bertr","given":"","non-dropping-particle":"","parse-names":false,"suffix":""},{"dropping-particle":"","family":"R.","given":"","non-dropping-particle":"","parse-names":false,"suffix":""},{"dropping-particle":"","family":"Olsho","given":"L E","non-dropping-particle":"","parse-names":false,"suffix":""},{"dropping-particle":"","family":"Beeber","given":"A","non-dropping-particle":"","parse-names":false,"suffix":""},{"dropping-particle":"","family":"Kistler","given":"C","non-dropping-particle":"","parse-names":false,"suffix":""},{"dropping-particle":"","family":"Hadden","given":"L","non-dropping-particle":"","parse-names":false,"suffix":""},{"dropping-particle":"","family":"Edwards","given":"A","non-dropping-particle":"","parse-names":false,"suffix":""},{"dropping-particle":"","family":"Weber","given":"D J","non-dropping-particle":"","parse-names":false,"suffix":""},{"dropping-particle":"","family":"Mitchell","given":"C M","non-dropping-particle":"","parse-names":false,"suffix":""}],"container-title":"Journal of the American Geriatrics Society","id":"ITEM-1","issue":"5","issued":{"date-parts":[["2014"]]},"page":"907-912","title":"Successfully reducing antibiotic prescribing in nursing homes","type":"article-journal","volume":"62"},"uris":["http://www.mendeley.com/documents/?uuid=76ed4e0f-1348-471d-a310-78ffaabde3ff"]}],"mendeley":{"formattedCitation":"(56)","plainTextFormattedCitation":"(56)","previouslyFormattedCitation":"(56)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(56)</w:t>
            </w:r>
            <w:r w:rsidRPr="00EC3E91">
              <w:rPr>
                <w:rFonts w:cstheme="minorHAnsi"/>
                <w:sz w:val="20"/>
                <w:szCs w:val="20"/>
                <w:lang w:val="en-US"/>
              </w:rPr>
              <w:fldChar w:fldCharType="end"/>
            </w:r>
          </w:p>
        </w:tc>
        <w:tc>
          <w:tcPr>
            <w:tcW w:w="992" w:type="dxa"/>
          </w:tcPr>
          <w:p w14:paraId="17513025" w14:textId="0B80B136"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20B0C433" w14:textId="7FBECE5A"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38639A51" w14:textId="631B4871" w:rsidR="00FF4BD9" w:rsidRPr="00EC3E91" w:rsidRDefault="00FF4BD9" w:rsidP="00060412">
            <w:pPr>
              <w:rPr>
                <w:rFonts w:cstheme="minorHAnsi"/>
                <w:sz w:val="20"/>
                <w:szCs w:val="20"/>
                <w:lang w:val="en-US"/>
              </w:rPr>
            </w:pPr>
            <w:r w:rsidRPr="00EC3E91">
              <w:rPr>
                <w:rFonts w:cstheme="minorHAnsi"/>
                <w:sz w:val="20"/>
                <w:szCs w:val="20"/>
                <w:lang w:val="en-US"/>
              </w:rPr>
              <w:t xml:space="preserve">Quant Quasi Experimental </w:t>
            </w:r>
          </w:p>
        </w:tc>
        <w:tc>
          <w:tcPr>
            <w:tcW w:w="851" w:type="dxa"/>
          </w:tcPr>
          <w:p w14:paraId="6023DB55" w14:textId="658EE12D"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5AA237C6" w14:textId="45A13D72"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1C42965A" w14:textId="3C150CCA"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 Nursing Homes</w:t>
            </w:r>
          </w:p>
        </w:tc>
        <w:tc>
          <w:tcPr>
            <w:tcW w:w="3969" w:type="dxa"/>
          </w:tcPr>
          <w:p w14:paraId="418EB1FE" w14:textId="7A0B0F03" w:rsidR="00FF4BD9" w:rsidRPr="00EC3E91" w:rsidRDefault="00FF4BD9" w:rsidP="00FA2205">
            <w:pPr>
              <w:rPr>
                <w:rFonts w:cstheme="minorHAnsi"/>
                <w:sz w:val="20"/>
                <w:szCs w:val="20"/>
                <w:lang w:val="en-US"/>
              </w:rPr>
            </w:pPr>
            <w:r w:rsidRPr="00EC3E91">
              <w:rPr>
                <w:rFonts w:cstheme="minorHAnsi"/>
                <w:sz w:val="20"/>
                <w:szCs w:val="20"/>
                <w:lang w:val="en-US"/>
              </w:rPr>
              <w:t>Loeb Criteria</w:t>
            </w:r>
          </w:p>
        </w:tc>
        <w:tc>
          <w:tcPr>
            <w:tcW w:w="2551" w:type="dxa"/>
          </w:tcPr>
          <w:p w14:paraId="1A4F3910" w14:textId="41B4AB1E" w:rsidR="00FF4BD9" w:rsidRPr="00EC3E91" w:rsidRDefault="00FF4BD9" w:rsidP="00060412">
            <w:pPr>
              <w:rPr>
                <w:rFonts w:cstheme="minorHAnsi"/>
                <w:sz w:val="20"/>
                <w:szCs w:val="20"/>
                <w:lang w:val="en-US"/>
              </w:rPr>
            </w:pPr>
            <w:r w:rsidRPr="00EC3E91">
              <w:rPr>
                <w:rFonts w:cstheme="minorHAnsi"/>
                <w:sz w:val="20"/>
                <w:szCs w:val="20"/>
                <w:lang w:val="en-US"/>
              </w:rPr>
              <w:t>Make training dynamic, audit and feedback, develop educational materials, remind clinicians</w:t>
            </w:r>
          </w:p>
        </w:tc>
      </w:tr>
      <w:tr w:rsidR="00FF4BD9" w:rsidRPr="00E119DD" w14:paraId="1A36B89D" w14:textId="77777777" w:rsidTr="00FF4BD9">
        <w:trPr>
          <w:tblHeader/>
        </w:trPr>
        <w:tc>
          <w:tcPr>
            <w:tcW w:w="709" w:type="dxa"/>
          </w:tcPr>
          <w:p w14:paraId="5C80FCCD" w14:textId="14BDDA8A"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{"citationItems":[{"id":"ITEM-1","itemData":{"abstract":"OBJECTIVE: Overutilization of stress ulcer prophylaxis in both critically and noncritically ill patients poses significant health risks and increases healthcare costs. The purpose of this study was to assess the impact of education for appropriate stress ulcer prophylaxis prescribing by Family Medicine Resident Physicians. METHODS: The study evaluated the SUP prescribing and continuation or discontinuation of acid suppressive therapy upon discharge. Patients admitted to the Family Medicine Residency team at Washington Regional Medical Center were retrospectively assessed from September through November 2011. In January 2012, an educational seminar describing appropriate stress ulcer prophylaxis indications, the associated risks and costs of acid suppressive therapy, and initial findings was provided. After the educational intervention, patients admitted to the Family Medicine Residency team were retrospectively followed from February through April 2012 to assess the impact of the educational intervention. RESULTS: Post education analysis demonstrated a decrease in inappropriate stress ulcer prophylaxis prescribing from 55.5% to 30.5% (p &lt; 0.0001). There was no statistically significant difference between the pre-intervention (5.5%) and post-intervention (8.3%) groups in regards to patients discharged on AST inappropriately (p = 0.627). CONCLUSION: Pharmacist led educational sessions improved appropriateness of stress ulcer prophylaxis prescribing by Family Practice Resident Physicians, leading to patient risk avoidance and cost savings..","author":[{"dropping-particle":"","family":"Agee","given":"C","non-dropping-particle":"","parse-names":false,"suffix":""},{"dropping-particle":"","family":"Coulter","given":"L","non-dropping-particle":"","parse-names":false,"suffix":""},{"dropping-particle":"","family":"Hudson","given":"J","non-dropping-particle":"","parse-names":false,"suffix":""}],"container-title":"American Journal of Health-System Pharmacy","id":"ITEM-1","issue":"11","issued":{"date-parts":[["2015"]]},"page":"S48-52","title":"Effects of pharmacy resident led education on resident physician prescribing habits associated with stress ulcer prophylaxis in non-intensive care unit patients","type":"article-journal","volume":"72"},"uris":["http://www.mendeley.com/documents/?uuid=e2258c7a-efbc-46f7-ae5d-2e47c449971b"]}],"mendeley":{"formattedCitation":"(57)","plainTextFormattedCitation":"(57)","previouslyFormattedCitation":"(57)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(57)</w:t>
            </w:r>
            <w:r w:rsidRPr="00EC3E91">
              <w:rPr>
                <w:rFonts w:cstheme="minorHAnsi"/>
                <w:sz w:val="20"/>
                <w:szCs w:val="20"/>
                <w:lang w:val="en-US"/>
              </w:rPr>
              <w:fldChar w:fldCharType="end"/>
            </w:r>
          </w:p>
        </w:tc>
        <w:tc>
          <w:tcPr>
            <w:tcW w:w="992" w:type="dxa"/>
          </w:tcPr>
          <w:p w14:paraId="5B6F1C83" w14:textId="1DE596FB"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50A5B7D6" w14:textId="349225F3"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008A7C51" w14:textId="5C1D065E"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5BCFCE4B" w14:textId="03BB26C2"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4E2A0D28" w14:textId="384AFD3F" w:rsidR="00FF4BD9" w:rsidRPr="00EC3E91" w:rsidRDefault="00FF4BD9" w:rsidP="00060412">
            <w:pPr>
              <w:rPr>
                <w:rFonts w:cstheme="minorHAnsi"/>
                <w:sz w:val="20"/>
                <w:szCs w:val="20"/>
                <w:lang w:val="en-US"/>
              </w:rPr>
            </w:pPr>
            <w:r w:rsidRPr="00EC3E91">
              <w:rPr>
                <w:rFonts w:cstheme="minorHAnsi"/>
                <w:sz w:val="20"/>
                <w:szCs w:val="20"/>
                <w:lang w:val="en-US"/>
              </w:rPr>
              <w:t>Stress ulcer prophylaxis</w:t>
            </w:r>
          </w:p>
        </w:tc>
        <w:tc>
          <w:tcPr>
            <w:tcW w:w="2126" w:type="dxa"/>
          </w:tcPr>
          <w:p w14:paraId="3E478AC7" w14:textId="26070C40" w:rsidR="00FF4BD9" w:rsidRPr="00EC3E91" w:rsidRDefault="00FF4BD9" w:rsidP="00060412">
            <w:pPr>
              <w:rPr>
                <w:rFonts w:cstheme="minorHAnsi"/>
                <w:sz w:val="20"/>
                <w:szCs w:val="20"/>
                <w:lang w:val="en-US"/>
              </w:rPr>
            </w:pPr>
            <w:r w:rsidRPr="00EC3E91">
              <w:rPr>
                <w:rFonts w:cstheme="minorHAnsi"/>
                <w:sz w:val="20"/>
                <w:szCs w:val="20"/>
                <w:lang w:val="en-US"/>
              </w:rPr>
              <w:t>Inappropriate stress ulcer prophylaxis</w:t>
            </w:r>
          </w:p>
        </w:tc>
        <w:tc>
          <w:tcPr>
            <w:tcW w:w="3969" w:type="dxa"/>
          </w:tcPr>
          <w:p w14:paraId="59A3C690" w14:textId="154BE8D8" w:rsidR="00FF4BD9" w:rsidRPr="00EC3E91" w:rsidRDefault="00FF4BD9" w:rsidP="00060412">
            <w:pPr>
              <w:rPr>
                <w:rFonts w:cstheme="minorHAnsi"/>
                <w:sz w:val="20"/>
                <w:szCs w:val="20"/>
                <w:lang w:val="en-US"/>
              </w:rPr>
            </w:pPr>
            <w:r w:rsidRPr="00EC3E91">
              <w:rPr>
                <w:rFonts w:cstheme="minorHAnsi"/>
                <w:sz w:val="20"/>
                <w:szCs w:val="20"/>
                <w:lang w:val="en-US"/>
              </w:rPr>
              <w:t>ASHP Gastrointestinal Stress Ulcer Prophylaxis guidelines.</w:t>
            </w:r>
          </w:p>
        </w:tc>
        <w:tc>
          <w:tcPr>
            <w:tcW w:w="2551" w:type="dxa"/>
          </w:tcPr>
          <w:p w14:paraId="7B056D15" w14:textId="0C6EA75A" w:rsidR="00FF4BD9" w:rsidRPr="00EC3E91" w:rsidRDefault="00FF4BD9" w:rsidP="00060412">
            <w:pPr>
              <w:rPr>
                <w:rFonts w:cstheme="minorHAnsi"/>
                <w:sz w:val="20"/>
                <w:szCs w:val="20"/>
                <w:lang w:val="en-US"/>
              </w:rPr>
            </w:pPr>
            <w:r w:rsidRPr="00EC3E91">
              <w:rPr>
                <w:rFonts w:cstheme="minorHAnsi"/>
                <w:sz w:val="20"/>
                <w:szCs w:val="20"/>
                <w:lang w:val="en-US"/>
              </w:rPr>
              <w:t>make training dynamic, remind clinicians</w:t>
            </w:r>
          </w:p>
        </w:tc>
      </w:tr>
      <w:tr w:rsidR="00FF4BD9" w:rsidRPr="00E119DD" w14:paraId="700DE3B0" w14:textId="77777777" w:rsidTr="00FF4BD9">
        <w:trPr>
          <w:tblHeader/>
        </w:trPr>
        <w:tc>
          <w:tcPr>
            <w:tcW w:w="709" w:type="dxa"/>
          </w:tcPr>
          <w:p w14:paraId="40552DC9" w14:textId="30C160A8"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The purpose of this study was to design and evaluate the enhancement of an antibiotic stewardship program (ASP) with trained hospital-based infectious diseases clinical pharmacists (IDCPs). METHODS: The IDCP training entailed a 12-hour course by 3 pharmacists. From January 1, 2012-September 30, 2012, all patients consecutively admitted with presumptive infections to 6 medicine units were prospectively followed to discharge. Standard of care (SoC) included ASP measures with or without infectious diseases consultations (IDCs). Physician teams had the option to request IDCs, IDCPs, or both. The IDCP support included pharmacist participation in daily rounds to inform on antibiotic use. Outcomes examined were inappropriate antibiotic use, antibiotic de-escalation, duration of antibiotic use, and hospital length of stay (LOS) stratified by patient groups who received SoC versus adjunctive IDCPs with and without IDCs. RESULTS: There were 150 patients in the SoC group, 104 in the IDCP group, and 320 in the IDCP plus IDC group. Most antibiotic prescriptions were for empirical therapy (n = 373, 65%), and the top-ranked indications were infections of the respiratory tract (n = 287, 50%) and urinary tract (n = 165, 29%). By multivariate analysis, compared with SoC, the 2 other groups were less likely to be prescribed inappropriate antibiotic use (P &lt; .001), had de-escalation of antibiotics (P &lt; .001), received antibiotics &lt;7 days (P &lt; .001), and had subjects with shorter hospital LOSs (P &lt; .001). There were no group differences in mortality. CONCLUSION: Our study suggests measurable treatment benefits associated with international IDCP training and the integration of adjunct IDCP services into hospital-based ASPs.","author":[{"dropping-particle":"","family":"Apisarnthanarak","given":"A","non-dropping-particle":"","parse-names":false,"suffix":""},{"dropping-particle":"","family":"Lapcharoen","given":"P","non-dropping-particle":"","parse-names":false,"suffix":""},{"dropping-particle":"","family":"Vanichkul","given":"P","non-dropping-particle":"","parse-names":false,"suffix":""},{"dropping-particle":"","family":"Srisaeng-Ngoen","given":"T","non-dropping-particle":"","parse-names":false,"suffix":""},{"dropping-particle":"","family":"Mundy","given":"L M","non-dropping-particle":"","parse-names":false,"suffix":""}],"container-title":"American Journal of Infection Control","id":"ITEM-1","issue":"9","issued":{"date-parts":[["2015"]]},"page":"956-959","title":"Design and analysis of a pharmacist-enhanced antimicrobial stewardship program in Thailand","type":"article-journal","volume":"43"},"uris":["http://www.mendeley.com/documents/?uuid=a3188144-63b0-470f-bca0-6650032931e5"]}],"mendeley":{"formattedCitation":"(58)","plainTextFormattedCitation":"(58)","previouslyFormattedCitation":"(58)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(58)</w:t>
            </w:r>
            <w:r w:rsidRPr="00EC3E91">
              <w:rPr>
                <w:rFonts w:cstheme="minorHAnsi"/>
                <w:sz w:val="20"/>
                <w:szCs w:val="20"/>
                <w:lang w:val="en-US"/>
              </w:rPr>
              <w:fldChar w:fldCharType="end"/>
            </w:r>
          </w:p>
        </w:tc>
        <w:tc>
          <w:tcPr>
            <w:tcW w:w="992" w:type="dxa"/>
          </w:tcPr>
          <w:p w14:paraId="1ECA4E30" w14:textId="7626A75E" w:rsidR="00FF4BD9" w:rsidRPr="00EC3E91" w:rsidRDefault="00FF4BD9" w:rsidP="00060412">
            <w:pPr>
              <w:rPr>
                <w:rFonts w:cstheme="minorHAnsi"/>
                <w:sz w:val="20"/>
                <w:szCs w:val="20"/>
                <w:lang w:val="en-US"/>
              </w:rPr>
            </w:pPr>
            <w:r w:rsidRPr="00EC3E91">
              <w:rPr>
                <w:rFonts w:cstheme="minorHAnsi"/>
                <w:sz w:val="20"/>
                <w:szCs w:val="20"/>
                <w:lang w:val="en-US"/>
              </w:rPr>
              <w:t>Thailand</w:t>
            </w:r>
          </w:p>
        </w:tc>
        <w:tc>
          <w:tcPr>
            <w:tcW w:w="993" w:type="dxa"/>
          </w:tcPr>
          <w:p w14:paraId="52265CEE" w14:textId="3A93B0DB"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24C7F9F8" w14:textId="2FFB25AF"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26CD5AF7" w14:textId="017A9989"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2F276E3A" w14:textId="1AA47031" w:rsidR="00FF4BD9" w:rsidRPr="00EC3E91" w:rsidRDefault="00FF4BD9" w:rsidP="00060412">
            <w:pPr>
              <w:rPr>
                <w:rFonts w:cstheme="minorHAnsi"/>
                <w:sz w:val="20"/>
                <w:szCs w:val="20"/>
                <w:lang w:val="en-US"/>
              </w:rPr>
            </w:pPr>
            <w:r w:rsidRPr="00EC3E91">
              <w:rPr>
                <w:rFonts w:cstheme="minorHAnsi"/>
                <w:sz w:val="20"/>
                <w:szCs w:val="20"/>
                <w:lang w:val="en-US"/>
              </w:rPr>
              <w:t>Antibiotics</w:t>
            </w:r>
          </w:p>
        </w:tc>
        <w:tc>
          <w:tcPr>
            <w:tcW w:w="2126" w:type="dxa"/>
          </w:tcPr>
          <w:p w14:paraId="16BC7F44" w14:textId="5D2176F1"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586AFF29" w14:textId="2DB5FB3B" w:rsidR="00FF4BD9" w:rsidRPr="00EC3E91" w:rsidRDefault="00FF4BD9" w:rsidP="00FA2205">
            <w:pPr>
              <w:rPr>
                <w:rFonts w:cstheme="minorHAnsi"/>
                <w:sz w:val="20"/>
                <w:szCs w:val="20"/>
                <w:lang w:val="en-US"/>
              </w:rPr>
            </w:pPr>
            <w:r w:rsidRPr="00EC3E91">
              <w:rPr>
                <w:rFonts w:cstheme="minorHAnsi"/>
                <w:sz w:val="20"/>
                <w:szCs w:val="20"/>
                <w:lang w:val="en-US"/>
              </w:rPr>
              <w:t xml:space="preserve">Use of antibiotics: a brief exposition of the problem and some tentative solutions from Annals of Internal Medicine (Journal). </w:t>
            </w:r>
          </w:p>
        </w:tc>
        <w:tc>
          <w:tcPr>
            <w:tcW w:w="2551" w:type="dxa"/>
          </w:tcPr>
          <w:p w14:paraId="1BCBAF39" w14:textId="74F82411" w:rsidR="00FF4BD9" w:rsidRPr="00EC3E91" w:rsidRDefault="00FF4BD9" w:rsidP="00DA5097">
            <w:pPr>
              <w:rPr>
                <w:rFonts w:cstheme="minorHAnsi"/>
                <w:sz w:val="20"/>
                <w:szCs w:val="20"/>
                <w:lang w:val="en-US"/>
              </w:rPr>
            </w:pPr>
            <w:r w:rsidRPr="00EC3E91">
              <w:rPr>
                <w:rFonts w:cstheme="minorHAnsi"/>
                <w:sz w:val="20"/>
                <w:szCs w:val="20"/>
                <w:lang w:val="en-US"/>
              </w:rPr>
              <w:t>Make training dynamic, develop and organize quality monitoring system</w:t>
            </w:r>
          </w:p>
        </w:tc>
      </w:tr>
      <w:tr w:rsidR="00FF4BD9" w:rsidRPr="00EC3E91" w14:paraId="27AD7A95" w14:textId="77777777" w:rsidTr="00FF4BD9">
        <w:trPr>
          <w:tblHeader/>
        </w:trPr>
        <w:tc>
          <w:tcPr>
            <w:tcW w:w="709" w:type="dxa"/>
          </w:tcPr>
          <w:p w14:paraId="5FE4C9CD" w14:textId="512DFB03"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{"citationItems":[{"id":"ITEM-1","itemData":{"ISSN":"0017-9124","abstract":"OBJECTIVE: The objective of this study is to examine how nursing homes changed their use of antipsychotic and other psychoactive medications in response to Nursing Home Compare's initiation of publicly reporting antipsychotic use in July 2012. RESEARCH DESIGN AND SUBJECTS: The study includes all state recertification surveys (n = 40,415) for facilities six quarters prior and post the initiation of public reporting. Using a difference-in-difference framework, the change in use of antipsychotics and other psychoactive medications is compared for facilities subject to public reporting and facilities not subject to reporting. PRINCIPAL FINDINGS: The percentage of residents using antipsychotics, hypnotics, or any psychoactive medication is found to decline after public reporting. Facilities subject to reporting experienced an additional decline in antipsychotic use (-1.94 vs. -1.40 percentage points) but did not decline as much for hypnotics (-0.60 vs. -1.21 percentage points). Any psychoactive use did not vary with reporting status, and the use of antidepressants and anxiolytics did not change. CONCLUSION: Public reporting of an antipsychotic quality measure can be an effective policy tool for reducing the use of antipsychotic medications--though the effect many only exist in the short run.","author":[{"dropping-particle":"","family":"Bowblis","given":"J R","non-dropping-particle":"","parse-names":false,"suffix":""},{"dropping-particle":"","family":"Lucas","given":"J A","non-dropping-particle":"","parse-names":false,"suffix":""},{"dropping-particle":"","family":"Brunt","given":"C S","non-dropping-particle":"","parse-names":false,"suffix":""}],"container-title":"Health Services Research","id":"ITEM-1","issue":"4","issued":{"date-parts":[["2015"]]},"page":"1069-1087","title":"The Effects of Antipsychotic Quality Reporting on Antipsychotic and Psychoactive Medication Use","type":"article-journal","volume":"50"},"uris":["http://www.mendeley.com/documents/?uuid=17bd9907-15b0-4fda-9418-f05e7429858a"]}],"mendeley":{"formattedCitation":"(59)","plainTextFormattedCitation":"(59)","previouslyFormattedCitation":"(59)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(59)</w:t>
            </w:r>
            <w:r w:rsidRPr="00EC3E91">
              <w:rPr>
                <w:rFonts w:cstheme="minorHAnsi"/>
                <w:sz w:val="20"/>
                <w:szCs w:val="20"/>
                <w:lang w:val="en-US"/>
              </w:rPr>
              <w:fldChar w:fldCharType="end"/>
            </w:r>
          </w:p>
        </w:tc>
        <w:tc>
          <w:tcPr>
            <w:tcW w:w="992" w:type="dxa"/>
          </w:tcPr>
          <w:p w14:paraId="671EA8D8" w14:textId="688871ED"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1E404B79" w14:textId="18E9F797"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239C351B" w14:textId="417B3B9D" w:rsidR="00FF4BD9" w:rsidRPr="00EC3E91" w:rsidRDefault="00FF4BD9" w:rsidP="00060412">
            <w:pPr>
              <w:rPr>
                <w:rFonts w:cstheme="minorHAnsi"/>
                <w:sz w:val="20"/>
                <w:szCs w:val="20"/>
                <w:lang w:val="en-US"/>
              </w:rPr>
            </w:pPr>
            <w:r w:rsidRPr="00EC3E91">
              <w:rPr>
                <w:rFonts w:cstheme="minorHAnsi"/>
                <w:sz w:val="20"/>
                <w:szCs w:val="20"/>
                <w:lang w:val="en-US"/>
              </w:rPr>
              <w:t>Quant Cross sectional /longitudinal study</w:t>
            </w:r>
          </w:p>
        </w:tc>
        <w:tc>
          <w:tcPr>
            <w:tcW w:w="851" w:type="dxa"/>
          </w:tcPr>
          <w:p w14:paraId="3AADFF9C" w14:textId="27D36793"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4033E35B" w14:textId="7BA72781" w:rsidR="00FF4BD9" w:rsidRPr="00EC3E91" w:rsidRDefault="00FF4BD9" w:rsidP="00060412">
            <w:pPr>
              <w:rPr>
                <w:rFonts w:cstheme="minorHAnsi"/>
                <w:sz w:val="20"/>
                <w:szCs w:val="20"/>
                <w:lang w:val="en-US"/>
              </w:rPr>
            </w:pPr>
            <w:r w:rsidRPr="00EC3E91">
              <w:rPr>
                <w:rFonts w:cstheme="minorHAnsi"/>
                <w:sz w:val="20"/>
                <w:szCs w:val="20"/>
                <w:lang w:val="en-US"/>
              </w:rPr>
              <w:t>Antipsychotics</w:t>
            </w:r>
          </w:p>
        </w:tc>
        <w:tc>
          <w:tcPr>
            <w:tcW w:w="2126" w:type="dxa"/>
          </w:tcPr>
          <w:p w14:paraId="21A5F22D" w14:textId="4CA3C82F" w:rsidR="00FF4BD9" w:rsidRPr="00EC3E91" w:rsidRDefault="00FF4BD9" w:rsidP="00060412">
            <w:pPr>
              <w:rPr>
                <w:rFonts w:cstheme="minorHAnsi"/>
                <w:sz w:val="20"/>
                <w:szCs w:val="20"/>
                <w:lang w:val="en-US"/>
              </w:rPr>
            </w:pPr>
            <w:r w:rsidRPr="00EC3E91">
              <w:rPr>
                <w:rFonts w:cstheme="minorHAnsi"/>
                <w:sz w:val="20"/>
                <w:szCs w:val="20"/>
                <w:lang w:val="en-US"/>
              </w:rPr>
              <w:t>Inappropriate prescribing of antipsychotic medications</w:t>
            </w:r>
          </w:p>
        </w:tc>
        <w:tc>
          <w:tcPr>
            <w:tcW w:w="3969" w:type="dxa"/>
          </w:tcPr>
          <w:p w14:paraId="52F3DF23" w14:textId="4FFD38AC" w:rsidR="00FF4BD9" w:rsidRPr="00EC3E91" w:rsidRDefault="00FF4BD9" w:rsidP="001636A5">
            <w:pPr>
              <w:rPr>
                <w:rFonts w:cstheme="minorHAnsi"/>
                <w:sz w:val="20"/>
                <w:szCs w:val="20"/>
                <w:lang w:val="en-US"/>
              </w:rPr>
            </w:pPr>
            <w:r w:rsidRPr="00EC3E91">
              <w:rPr>
                <w:rFonts w:cstheme="minorHAnsi"/>
                <w:sz w:val="20"/>
                <w:szCs w:val="20"/>
                <w:lang w:val="en-US"/>
              </w:rPr>
              <w:t>AGS Guide to the Management of Psychotic Disorders and Neuropsychiatric Symptoms of Dementia in Older Adults</w:t>
            </w:r>
          </w:p>
          <w:p w14:paraId="70C423CB" w14:textId="77777777" w:rsidR="00FF4BD9" w:rsidRPr="00EC3E91" w:rsidRDefault="00FF4BD9" w:rsidP="001636A5">
            <w:pPr>
              <w:rPr>
                <w:rFonts w:cstheme="minorHAnsi"/>
                <w:sz w:val="20"/>
                <w:szCs w:val="20"/>
                <w:lang w:val="en-US"/>
              </w:rPr>
            </w:pPr>
          </w:p>
          <w:p w14:paraId="76487333" w14:textId="3A710CF0" w:rsidR="00FF4BD9" w:rsidRPr="00EC3E91" w:rsidRDefault="00FF4BD9" w:rsidP="00FA2205">
            <w:pPr>
              <w:rPr>
                <w:rFonts w:cstheme="minorHAnsi"/>
                <w:sz w:val="20"/>
                <w:szCs w:val="20"/>
                <w:lang w:val="en-US"/>
              </w:rPr>
            </w:pPr>
            <w:r w:rsidRPr="00EC3E91">
              <w:rPr>
                <w:rFonts w:cstheme="minorHAnsi"/>
                <w:sz w:val="20"/>
                <w:szCs w:val="20"/>
                <w:lang w:val="en-US"/>
              </w:rPr>
              <w:t>Interpretive Guidelines for Long-Term Facilities by Centers for Medicare and Medicaid Services</w:t>
            </w:r>
          </w:p>
        </w:tc>
        <w:tc>
          <w:tcPr>
            <w:tcW w:w="2551" w:type="dxa"/>
          </w:tcPr>
          <w:p w14:paraId="547856F9" w14:textId="5B2738D3" w:rsidR="00FF4BD9" w:rsidRPr="00EC3E91" w:rsidRDefault="00FF4BD9" w:rsidP="00060412">
            <w:pPr>
              <w:rPr>
                <w:rFonts w:cstheme="minorHAnsi"/>
                <w:sz w:val="20"/>
                <w:szCs w:val="20"/>
                <w:lang w:val="en-US"/>
              </w:rPr>
            </w:pPr>
            <w:r w:rsidRPr="00EC3E91">
              <w:rPr>
                <w:rFonts w:cstheme="minorHAnsi"/>
                <w:sz w:val="20"/>
                <w:szCs w:val="20"/>
                <w:lang w:val="en-US"/>
              </w:rPr>
              <w:t>audit and provide feedback</w:t>
            </w:r>
          </w:p>
        </w:tc>
      </w:tr>
      <w:tr w:rsidR="00FF4BD9" w:rsidRPr="00E119DD" w14:paraId="5AD6EB60" w14:textId="77777777" w:rsidTr="00FF4BD9">
        <w:trPr>
          <w:tblHeader/>
        </w:trPr>
        <w:tc>
          <w:tcPr>
            <w:tcW w:w="709" w:type="dxa"/>
          </w:tcPr>
          <w:p w14:paraId="45445DBA" w14:textId="17B12E7C"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{"citationItems":[{"id":"ITEM-1","itemData":{"abstract":"PURPOSE: Appropriate utilization of stress ulcer prophylaxis should be limited to high-risk, intensive care unit (ICU) patients. However, inappropriate stress ulcer prophylaxis use among all hospitalized patients remains a concern. The purpose of this study was to evaluate the clinical and economic impact of a novel pharmacist-managed stress ulcer prophylaxis program in ICU and general ward patients. METHODS: This retrospective, pre- and poststudy design was conducted in adult ICU and general ward patients at a large academic medical center between January 1, 2011 and January 31, 2012 to compare the rates of inappropriate stress ulcer prophylaxis before and after the implementation of a pharmacist-led stress ulcer prophylaxis management program. RESULTS: A total of 1134 unique patients consisting of 16,415 patient days were evaluated. The relative reduction in the rate of inappropriate stress ulcer prophylaxis days after program implementation in ICU and general ward patients was 58.3% and 83.5%, respectively (P &lt; .001). The rates of ICU patients inappropriately continued on stress ulcer prophylaxis upon hospital discharge in the pre- and postimplementation groups were 29.9% and 3.6%, respectively (P &lt; .001), whereas general ward patients significantly decreased from 36.2% to 5.4% in the pre- and postimplementation groups, respectively (P &lt; .001). Total inpatient costs associated with all stress ulcer prophylaxis administered was $20,052.70 in the pre- and $3280.49 in the postimplementation group (P &lt; .001), resulting in an estimated cost savings of &gt; $200,000 annually. No differences in clinical outcomes were observed. CONCLUSIONS: The implementation of a pharmacist-managed stress ulcer prophylaxis program was associated with a decrease in inappropriate acid suppression rates during hospitalization and upon discharge, as well as significant cost savings.","author":[{"dropping-particle":"","family":"Buckley","given":"M S","non-dropping-particle":"","parse-names":false,"suffix":""},{"dropping-particle":"","family":"Park","given":"A S","non-dropping-particle":"","parse-names":false,"suffix":""},{"dropping-particle":"","family":"Anderson","given":"C S","non-dropping-particle":"","parse-names":false,"suffix":""},{"dropping-particle":"","family":"Barletta","given":"J F","non-dropping-particle":"","parse-names":false,"suffix":""},{"dropping-particle":"","family":"Bikin","given":"D S","non-dropping-particle":"","parse-names":false,"suffix":""},{"dropping-particle":"","family":"Gerkin","given":"R D","non-dropping-particle":"","parse-names":false,"suffix":""},{"dropping-particle":"","family":"O'Malley","given":"C W","non-dropping-particle":"","parse-names":false,"suffix":""},{"dropping-particle":"","family":"Wicks","given":"L M","non-dropping-particle":"","parse-names":false,"suffix":""},{"dropping-particle":"","family":"Garcia-Orr","given":"R","non-dropping-particle":"","parse-names":false,"suffix":""},{"dropping-particle":"","family":"Kane-Gill","given":"S L","non-dropping-particle":"","parse-names":false,"suffix":""}],"container-title":"American Journal of Medicine","id":"ITEM-1","issue":"8","issued":{"date-parts":[["2015"]]},"page":"905-913","title":"Impact of a clinical pharmacist stress ulcer prophylaxis management program on inappropriate use in hospitalized patients","type":"article-journal","volume":"128"},"uris":["http://www.mendeley.com/documents/?uuid=925caa85-9cb4-42c4-ad8d-c64bc7223776"]}],"mendeley":{"formattedCitation":"(60)","plainTextFormattedCitation":"(60)","previouslyFormattedCitation":"(60)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(60)</w:t>
            </w:r>
            <w:r w:rsidRPr="00EC3E91">
              <w:rPr>
                <w:rFonts w:cstheme="minorHAnsi"/>
                <w:sz w:val="20"/>
                <w:szCs w:val="20"/>
                <w:lang w:val="en-US"/>
              </w:rPr>
              <w:fldChar w:fldCharType="end"/>
            </w:r>
          </w:p>
        </w:tc>
        <w:tc>
          <w:tcPr>
            <w:tcW w:w="992" w:type="dxa"/>
          </w:tcPr>
          <w:p w14:paraId="6ACC79DD" w14:textId="07DA09DC"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416C168F" w14:textId="1E6D5239"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6AAA4EC7" w14:textId="29072F28"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229D188A" w14:textId="6E66CFA6" w:rsidR="00FF4BD9" w:rsidRPr="00EC3E91" w:rsidRDefault="00FF4BD9" w:rsidP="00D779B4">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7FC31D5A" w14:textId="188F482E" w:rsidR="00FF4BD9" w:rsidRPr="00EC3E91" w:rsidRDefault="00FF4BD9" w:rsidP="00060412">
            <w:pPr>
              <w:rPr>
                <w:rFonts w:cstheme="minorHAnsi"/>
                <w:sz w:val="20"/>
                <w:szCs w:val="20"/>
                <w:lang w:val="en-US"/>
              </w:rPr>
            </w:pPr>
            <w:r w:rsidRPr="00EC3E91">
              <w:rPr>
                <w:rFonts w:cstheme="minorHAnsi"/>
                <w:sz w:val="20"/>
                <w:szCs w:val="20"/>
                <w:lang w:val="en-US"/>
              </w:rPr>
              <w:t xml:space="preserve">Stress ulcer prophylaxis </w:t>
            </w:r>
          </w:p>
        </w:tc>
        <w:tc>
          <w:tcPr>
            <w:tcW w:w="2126" w:type="dxa"/>
          </w:tcPr>
          <w:p w14:paraId="7B4A00E0" w14:textId="3248984A" w:rsidR="00FF4BD9" w:rsidRPr="00EC3E91" w:rsidRDefault="00FF4BD9" w:rsidP="00060412">
            <w:pPr>
              <w:rPr>
                <w:rFonts w:cstheme="minorHAnsi"/>
                <w:sz w:val="20"/>
                <w:szCs w:val="20"/>
                <w:lang w:val="en-US"/>
              </w:rPr>
            </w:pPr>
            <w:r w:rsidRPr="00EC3E91">
              <w:rPr>
                <w:rFonts w:cstheme="minorHAnsi"/>
                <w:sz w:val="20"/>
                <w:szCs w:val="20"/>
                <w:lang w:val="en-US"/>
              </w:rPr>
              <w:t>Inappropriate stress ulcer prophylaxis</w:t>
            </w:r>
          </w:p>
        </w:tc>
        <w:tc>
          <w:tcPr>
            <w:tcW w:w="3969" w:type="dxa"/>
          </w:tcPr>
          <w:p w14:paraId="611082E4" w14:textId="2CAB5A6A" w:rsidR="00FF4BD9" w:rsidRPr="00EC3E91" w:rsidRDefault="00FF4BD9" w:rsidP="00FA2205">
            <w:pPr>
              <w:rPr>
                <w:rFonts w:cstheme="minorHAnsi"/>
                <w:sz w:val="20"/>
                <w:szCs w:val="20"/>
                <w:lang w:val="en-US"/>
              </w:rPr>
            </w:pPr>
            <w:r w:rsidRPr="00EC3E91">
              <w:rPr>
                <w:rFonts w:cstheme="minorHAnsi"/>
                <w:sz w:val="20"/>
                <w:szCs w:val="20"/>
                <w:lang w:val="en-US"/>
              </w:rPr>
              <w:t>Clinical practice guidelines for Clostridium difficile infection in adults: by the Society for Healthcare Epidemiology of America (SHEA) and the Infectious Diseases Society of America (IDSA)</w:t>
            </w:r>
          </w:p>
        </w:tc>
        <w:tc>
          <w:tcPr>
            <w:tcW w:w="2551" w:type="dxa"/>
          </w:tcPr>
          <w:p w14:paraId="517A45DC" w14:textId="071A8563" w:rsidR="00FF4BD9" w:rsidRPr="00EC3E91" w:rsidRDefault="00FF4BD9" w:rsidP="00060412">
            <w:pPr>
              <w:rPr>
                <w:rFonts w:cstheme="minorHAnsi"/>
                <w:sz w:val="20"/>
                <w:szCs w:val="20"/>
                <w:lang w:val="en-US"/>
              </w:rPr>
            </w:pPr>
            <w:r w:rsidRPr="00EC3E91">
              <w:rPr>
                <w:rFonts w:cstheme="minorHAnsi"/>
                <w:sz w:val="20"/>
                <w:szCs w:val="20"/>
                <w:lang w:val="en-US"/>
              </w:rPr>
              <w:t>develop and organize quality monitoring system</w:t>
            </w:r>
          </w:p>
        </w:tc>
      </w:tr>
      <w:tr w:rsidR="00FF4BD9" w:rsidRPr="00EC3E91" w14:paraId="5A0D2125" w14:textId="77777777" w:rsidTr="00FF4BD9">
        <w:trPr>
          <w:tblHeader/>
        </w:trPr>
        <w:tc>
          <w:tcPr>
            <w:tcW w:w="709" w:type="dxa"/>
          </w:tcPr>
          <w:p w14:paraId="0210B5A5" w14:textId="35F3C10C"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Pr="00EC3E91">
              <w:rPr>
                <w:rFonts w:cstheme="minorHAnsi"/>
                <w:sz w:val="20"/>
                <w:szCs w:val="20"/>
                <w:lang w:val="en-US"/>
              </w:rPr>
              <w:instrText>ADDIN CSL_CITATION {"citationItems":[{"id":"ITEM-1","itemData":{"abstract":"To measure adherence to antibiotic prophylaxis (AP) protocol amongst surgeons and anesthetists and explore their understanding of AP prescribing in practice. Design: A prospective audit of AP in gastrointestinal surgery and re-audit after intervention. A questionnaire survey of practice. Results: 58 (38%- clean; 62%- clean contaminated) operations were audited and 73 (48%-clean; 51%-clean contaminated) operations were re-audited after intervention with \"Traffic Light Poster\" (TFP) .55 colleagues (32 consultants and 23 trainees) were recruited for questionnaire survey in three West Midlands hospitals.Audit and Re-Audits. Only 31% of procedures followed the protocol correctly in the initial audit and this increased to 73% in the re-audit. 73% of patients undergoing clean procedures received AP inappropriately in the initial audit but reduced significantly to 20% (p &lt; 0.002) in the re-audit. In the initial audit, 62% of clean contaminated procedures did not receive the appropriate first line AP but this fell to 35% (p &lt; 0.05) in the re-audit.Questionnaire Survey- Only 30% of respondents would not give AP in clean surgery as recommended. 45% would use appropriate AP for clean-contaminated wounds. 73% of respondents will give AP at induction, 20% 1 h pre op and 7% just before incision. Conclusion: There is poor compliance with AP protocols in gastrointestinal surgery in part due to general lack of awareness. An educational intervention in the form of a 'Traffic Light Poster' improved adherence to AP protocol two fold. There was improved rationalizing of AP. Clean procedures, in particular, had less inappropriate prescribing.","author":[{"dropping-particle":"","family":"Cameron","given":"M","non-dropping-particle":"","parse-names":false,"suffix":""},{"dropping-particle":"","family":"Jones","given":"S","non-dropping-particle":"","parse-names":false,"suffix":""},{"dropping-particle":"","family":"Adedeji","given":"O","non-dropping-particle":"","parse-names":false,"suffix":""}],"container-title":"International Journal of Surgery","id":"ITEM-1","issued":{"date-parts":[["2015"]]},"page":"112-115","title":"Antibiotic prophylaxis audit and questionnaire study: Traffic Light Poster improves adherence to protocol in gastrointestinal surgery","type":"article-journal","volume":"19"},"uris":["http://www.mendeley.com/documents/?uuid=570e4592-e481-4f11-9326-7ffaa1b08e8d"]}],"mendeley":{"formattedCitation":"(61)","plainTextFormattedCitation":"(61)","previouslyFormattedCitation":"(61)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(61)</w:t>
            </w:r>
            <w:r w:rsidRPr="00EC3E91">
              <w:rPr>
                <w:rFonts w:cstheme="minorHAnsi"/>
                <w:sz w:val="20"/>
                <w:szCs w:val="20"/>
                <w:lang w:val="en-US"/>
              </w:rPr>
              <w:fldChar w:fldCharType="end"/>
            </w:r>
          </w:p>
        </w:tc>
        <w:tc>
          <w:tcPr>
            <w:tcW w:w="992" w:type="dxa"/>
          </w:tcPr>
          <w:p w14:paraId="56152068" w14:textId="078DFBDB" w:rsidR="00FF4BD9" w:rsidRPr="00EC3E91" w:rsidRDefault="00FF4BD9" w:rsidP="00060412">
            <w:pPr>
              <w:rPr>
                <w:rFonts w:cstheme="minorHAnsi"/>
                <w:sz w:val="20"/>
                <w:szCs w:val="20"/>
                <w:lang w:val="en-US"/>
              </w:rPr>
            </w:pPr>
            <w:r w:rsidRPr="00EC3E91">
              <w:rPr>
                <w:rFonts w:cstheme="minorHAnsi"/>
                <w:sz w:val="20"/>
                <w:szCs w:val="20"/>
                <w:lang w:val="en-US"/>
              </w:rPr>
              <w:t>UK</w:t>
            </w:r>
          </w:p>
        </w:tc>
        <w:tc>
          <w:tcPr>
            <w:tcW w:w="993" w:type="dxa"/>
          </w:tcPr>
          <w:p w14:paraId="038908BC" w14:textId="5609819E"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3B20BB56" w14:textId="148C2478"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71BF9E11" w14:textId="4B6C008B"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F1FEB7C" w14:textId="4F2EB70E"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6699D0E2" w14:textId="3CC581A0"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 in hospital</w:t>
            </w:r>
          </w:p>
        </w:tc>
        <w:tc>
          <w:tcPr>
            <w:tcW w:w="3969" w:type="dxa"/>
          </w:tcPr>
          <w:p w14:paraId="35EF49F7" w14:textId="44B870BF" w:rsidR="00FF4BD9" w:rsidRPr="00EC3E91" w:rsidRDefault="00FF4BD9" w:rsidP="00FA2205">
            <w:pPr>
              <w:rPr>
                <w:rFonts w:cstheme="minorHAnsi"/>
                <w:sz w:val="20"/>
                <w:szCs w:val="20"/>
                <w:lang w:val="en-US"/>
              </w:rPr>
            </w:pPr>
            <w:r w:rsidRPr="00EC3E91">
              <w:rPr>
                <w:rFonts w:cstheme="minorHAnsi"/>
                <w:sz w:val="20"/>
                <w:szCs w:val="20"/>
                <w:lang w:val="en-US"/>
              </w:rPr>
              <w:t>Scottish Intercollegiate Guidelines Network, Antibiotic Prophylaxis in Surgery.</w:t>
            </w:r>
          </w:p>
        </w:tc>
        <w:tc>
          <w:tcPr>
            <w:tcW w:w="2551" w:type="dxa"/>
          </w:tcPr>
          <w:p w14:paraId="37F556BB" w14:textId="0ABBD36B" w:rsidR="00FF4BD9" w:rsidRPr="00EC3E91" w:rsidRDefault="00FF4BD9" w:rsidP="00060412">
            <w:pPr>
              <w:rPr>
                <w:rFonts w:cstheme="minorHAnsi"/>
                <w:sz w:val="20"/>
                <w:szCs w:val="20"/>
                <w:lang w:val="en-US"/>
              </w:rPr>
            </w:pPr>
            <w:r w:rsidRPr="00EC3E91">
              <w:rPr>
                <w:rFonts w:cstheme="minorHAnsi"/>
                <w:sz w:val="20"/>
                <w:szCs w:val="20"/>
                <w:lang w:val="en-US"/>
              </w:rPr>
              <w:t>Audit and provide feedback</w:t>
            </w:r>
          </w:p>
        </w:tc>
      </w:tr>
      <w:tr w:rsidR="00FF4BD9" w:rsidRPr="00EC3E91" w14:paraId="5E50909F" w14:textId="77777777" w:rsidTr="00FF4BD9">
        <w:trPr>
          <w:tblHeader/>
        </w:trPr>
        <w:tc>
          <w:tcPr>
            <w:tcW w:w="709" w:type="dxa"/>
          </w:tcPr>
          <w:p w14:paraId="44BD60C8" w14:textId="54D9650A"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{"citationItems":[{"id":"ITEM-1","itemData":{"abstract":"BACKGROUND: The literature reports great variation in the knowledge levels and application of the recent changes of cervical cancer screening guidelines into clinical practice. Evidence-based screening guidelines for the prevention and early detection of cervical cancer offers healthcare providers the opportunity to improve practice patterns among female adolescents by decreasing psychological distress as well as reducing healthcare costs and morbidities associated with over-screening. PURPOSE: The purpose of this pilot intervention study was to determine the effects of a Web-based continuing education unit (CEU) program on advanced practice nurses' (APNs) knowledge of current cervical cancer screening evidence-based recommendations and their application in practice. This paper presents a process improvement project as an example of a way to disseminate updated evidence-based practice guidelines among busy healthcare providers. METHODS: This Web-based CEU program was developed, piloted, and evaluated specifically for APNs. The program addressed their knowledge level of cervical cancer and its relationship with high-risk human papillomavirus. It also addressed the new cervical cancer screening guidelines and the application of those guidelines into clinical practice. FINDINGS: Results of the study indicated that knowledge gaps exist among APNs about cervical cancer screening in adolescents. However, when provided with a CEU educational intervention, APNs' knowledge levels increased and their self-reported clinical practice behaviors changed in accordance with the new cervical cancer screening guidelines. LINKING EVIDENCE TO PRACTICE: Providing convenient and readily accessible up-to-date electronic content that provides CEU enhances the adoption of clinical practice guidelines, thereby decreasing the potential of the morbidities associated with over-screening for cervical cancer in adolescents and young women.","author":[{"dropping-particle":"","family":"Choma","given":"K","non-dropping-particle":"","parse-names":false,"suffix":""},{"dropping-particle":"","family":"McKeever","given":"A E","non-dropping-particle":"","parse-names":false,"suffix":""}],"container-title":"Worldviews on Evidence-Based Nursing","id":"ITEM-1","issue":"1","issued":{"date-parts":[["2015"]]},"page":"51-60","title":"Cervical cancer screening in adolescents: an evidence-based internet education program for practice improvement among advanced practice nurses","type":"article-journal","volume":"12"},"uris":["http://www.mendeley.com/documents/?uuid=ac9668d2-a400-4eca-b628-5c0940c34ef9"]}],"mendeley":{"formattedCitation":"(62)","plainTextFormattedCitation":"(62)","previouslyFormattedCitation":"(62)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(62)</w:t>
            </w:r>
            <w:r w:rsidRPr="00EC3E91">
              <w:rPr>
                <w:rFonts w:cstheme="minorHAnsi"/>
                <w:sz w:val="20"/>
                <w:szCs w:val="20"/>
                <w:lang w:val="en-US"/>
              </w:rPr>
              <w:fldChar w:fldCharType="end"/>
            </w:r>
          </w:p>
        </w:tc>
        <w:tc>
          <w:tcPr>
            <w:tcW w:w="992" w:type="dxa"/>
          </w:tcPr>
          <w:p w14:paraId="3036B86A" w14:textId="4046477B"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3E4D9998" w14:textId="66FDA5E7" w:rsidR="00FF4BD9" w:rsidRPr="00EC3E91" w:rsidRDefault="00FF4BD9" w:rsidP="00060412">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420A22F4" w14:textId="61CB0E0E"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19EBB01A" w14:textId="5348EBF2"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01CF9789" w14:textId="4A3BBFA0" w:rsidR="00FF4BD9" w:rsidRPr="00EC3E91" w:rsidRDefault="00FF4BD9" w:rsidP="00060412">
            <w:pPr>
              <w:rPr>
                <w:rFonts w:cstheme="minorHAnsi"/>
                <w:sz w:val="20"/>
                <w:szCs w:val="20"/>
                <w:lang w:val="en-US"/>
              </w:rPr>
            </w:pPr>
            <w:r w:rsidRPr="00EC3E91">
              <w:rPr>
                <w:rFonts w:cstheme="minorHAnsi"/>
                <w:sz w:val="20"/>
                <w:szCs w:val="20"/>
                <w:lang w:val="en-US"/>
              </w:rPr>
              <w:t>screening</w:t>
            </w:r>
          </w:p>
        </w:tc>
        <w:tc>
          <w:tcPr>
            <w:tcW w:w="2126" w:type="dxa"/>
          </w:tcPr>
          <w:p w14:paraId="13F51E31" w14:textId="720C5338" w:rsidR="00FF4BD9" w:rsidRPr="00EC3E91" w:rsidRDefault="00FF4BD9" w:rsidP="00060412">
            <w:pPr>
              <w:rPr>
                <w:rFonts w:cstheme="minorHAnsi"/>
                <w:sz w:val="20"/>
                <w:szCs w:val="20"/>
                <w:lang w:val="en-US"/>
              </w:rPr>
            </w:pPr>
            <w:r w:rsidRPr="00EC3E91">
              <w:rPr>
                <w:rFonts w:cstheme="minorHAnsi"/>
                <w:sz w:val="20"/>
                <w:szCs w:val="20"/>
                <w:lang w:val="en-US"/>
              </w:rPr>
              <w:t>Over-screening for cervical cancer in young women</w:t>
            </w:r>
          </w:p>
        </w:tc>
        <w:tc>
          <w:tcPr>
            <w:tcW w:w="3969" w:type="dxa"/>
          </w:tcPr>
          <w:p w14:paraId="3D93F2DA" w14:textId="3B1755D6" w:rsidR="00FF4BD9" w:rsidRPr="00EC3E91" w:rsidRDefault="00FF4BD9" w:rsidP="00FA2205">
            <w:pPr>
              <w:rPr>
                <w:rFonts w:cstheme="minorHAnsi"/>
                <w:sz w:val="20"/>
                <w:szCs w:val="20"/>
                <w:lang w:val="en-US"/>
              </w:rPr>
            </w:pPr>
            <w:r w:rsidRPr="00EC3E91">
              <w:rPr>
                <w:rFonts w:cstheme="minorHAnsi"/>
                <w:sz w:val="20"/>
                <w:szCs w:val="20"/>
                <w:lang w:val="en-US"/>
              </w:rPr>
              <w:t>ACOG practice bulletin: Cervical cytology screening.</w:t>
            </w:r>
          </w:p>
        </w:tc>
        <w:tc>
          <w:tcPr>
            <w:tcW w:w="2551" w:type="dxa"/>
          </w:tcPr>
          <w:p w14:paraId="6FD876C0" w14:textId="6065B49A" w:rsidR="00FF4BD9" w:rsidRPr="00EC3E91" w:rsidRDefault="00FF4BD9" w:rsidP="00060412">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7E533ECD" w14:textId="77777777" w:rsidTr="00FF4BD9">
        <w:trPr>
          <w:tblHeader/>
        </w:trPr>
        <w:tc>
          <w:tcPr>
            <w:tcW w:w="709" w:type="dxa"/>
          </w:tcPr>
          <w:p w14:paraId="53C8FAC1" w14:textId="4280CF48"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{"citationItems":[{"id":"ITEM-1","itemData":{"ISSN":"1879-8500","abstract":"PURPOSE: Studies suggest equivalent pain relief from bone metastases after radiation therapy with &gt;10-fraction regimens and shorter courses. Although American Society for Radiation Oncology evidence-based guidelines and the Choosing Wisely campaign endorse single-fraction treatments and caution against the use of extended courses, publications report single-fraction utilization rates below 5%. We evaluated the impact of our bone metastasis clinical pathway on the adoption of short-course palliative radiation in a large, integrated radiation oncology network. METHODS AND MATERIALS: We implemented a clinical pathway for the management of bone metastases in 2003 that required the entry of management decisions into an online tool that subjected off-pathway choices to peer review beginning in 2009. In 2014, the pathway was modified to encourage single-fraction treatments, and the use of &gt;10 fractions was considered off pathway. Data were obtained from 16 integrated sites (4 academic, 12 community) from 2003 through 2014. Multivariate logistic regression was conducted to establish factors associated with treatment with a single fraction and with &gt;10 fractions. RESULTS: In this study, 12,678 unique courses were delivered. From 2003 to 2008, the single-fraction utilization rate was 7.6%. This increased to 10.9% from 2009 to 2013 and to 15.8% in 2014. The odds ratios for single-fraction use were 1.59 (95% confidence interval [CI], 1.39-1.81) and 2.58 (95% CI, 2.11-3.15) for 2009-2013 and 2014, respectively. Academic physicians were more likely to treat with a single fraction (odds ratio, 5.00; 95% CI, 4.38-5.71). Use of &gt;10-fraction regimens significantly decreased from 18.6% in 2003-2008 to 15.2% in 2009-2013 and 9.7% in 2014. CONCLUSIONS: Although our single-fraction utilization rate was initially in line with national rates (7.6%), the adoption rate increased to &gt;15%. The use of &gt;10-fraction regimens decreased significantly, predominantly among community practices. By 2014, &gt;90% of courses were delivered with &lt;10 fractions. This study demonstrates that provider-driven clinical pathways are able to standardize practice patterns and promote change consistent with evidence-based guidelines.","author":[{"dropping-particle":"","family":"Gebhardt","given":"B J","non-dropping-particle":"","parse-names":false,"suffix":""},{"dropping-particle":"","family":"Rajagopalan","given":"M S","non-dropping-particle":"","parse-names":false,"suffix":""},{"dropping-particle":"","family":"Gill","given":"B S","non-dropping-particle":"","parse-names":false,"suffix":""},{"dropping-particle":"","family":"Heron","given":"D E","non-dropping-particle":"","parse-names":false,"suffix":""},{"dropping-particle":"","family":"Rakfal","given":"S M","non-dropping-particle":"","parse-names":false,"suffix":""},{"dropping-particle":"","family":"Flickinger","given":"J C","non-dropping-particle":"","parse-names":false,"suffix":""},{"dropping-particle":"","family":"Beriwal","given":"S","non-dropping-particle":"","parse-names":false,"suffix":""}],"container-title":"Practical Radiation Oncology","id":"ITEM-1","issue":"6","issued":{"date-parts":[["2015"]]},"page":"398-405","title":"Impact of dynamic changes to a bone metastases pathway in a large, integrated, National Cancer Institute-designated comprehensive cancer center network","type":"article-journal","volume":"5"},"uris":["http://www.mendeley.com/documents/?uuid=81b7ba94-7be1-438e-aec1-70f9581233e6"]}],"mendeley":{"formattedCitation":"(63)","plainTextFormattedCitation":"(63)","previouslyFormattedCitation":"(63)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(63)</w:t>
            </w:r>
            <w:r w:rsidRPr="00EC3E91">
              <w:rPr>
                <w:rFonts w:cstheme="minorHAnsi"/>
                <w:sz w:val="20"/>
                <w:szCs w:val="20"/>
                <w:lang w:val="en-US"/>
              </w:rPr>
              <w:fldChar w:fldCharType="end"/>
            </w:r>
          </w:p>
        </w:tc>
        <w:tc>
          <w:tcPr>
            <w:tcW w:w="992" w:type="dxa"/>
          </w:tcPr>
          <w:p w14:paraId="60489388" w14:textId="6B01AC1A"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5B50A4F1" w14:textId="3CAC8B41" w:rsidR="00FF4BD9" w:rsidRPr="00EC3E91" w:rsidRDefault="00FF4BD9" w:rsidP="00060412">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3FD497E7" w14:textId="2A602DD9"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59D45767" w14:textId="093FF639"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4229E621" w14:textId="3D28AF8A" w:rsidR="00FF4BD9" w:rsidRPr="00EC3E91" w:rsidRDefault="00FF4BD9" w:rsidP="00060412">
            <w:pPr>
              <w:rPr>
                <w:rFonts w:cstheme="minorHAnsi"/>
                <w:sz w:val="20"/>
                <w:szCs w:val="20"/>
                <w:lang w:val="en-US"/>
              </w:rPr>
            </w:pPr>
            <w:r w:rsidRPr="00EC3E91">
              <w:rPr>
                <w:rFonts w:cstheme="minorHAnsi"/>
                <w:sz w:val="20"/>
                <w:szCs w:val="20"/>
                <w:lang w:val="en-US"/>
              </w:rPr>
              <w:t xml:space="preserve">Radiotherapy </w:t>
            </w:r>
          </w:p>
        </w:tc>
        <w:tc>
          <w:tcPr>
            <w:tcW w:w="2126" w:type="dxa"/>
          </w:tcPr>
          <w:p w14:paraId="5C6E666A" w14:textId="3BB6F35A" w:rsidR="00FF4BD9" w:rsidRPr="00EC3E91" w:rsidRDefault="00FF4BD9" w:rsidP="00060412">
            <w:pPr>
              <w:rPr>
                <w:rFonts w:cstheme="minorHAnsi"/>
                <w:sz w:val="20"/>
                <w:szCs w:val="20"/>
                <w:lang w:val="en-US"/>
              </w:rPr>
            </w:pPr>
            <w:r w:rsidRPr="00EC3E91">
              <w:rPr>
                <w:rFonts w:cstheme="minorHAnsi"/>
                <w:sz w:val="20"/>
                <w:szCs w:val="20"/>
                <w:lang w:val="en-US"/>
              </w:rPr>
              <w:t>the use of extended fractionation schemes (&gt;10 fractions)</w:t>
            </w:r>
          </w:p>
        </w:tc>
        <w:tc>
          <w:tcPr>
            <w:tcW w:w="3969" w:type="dxa"/>
          </w:tcPr>
          <w:p w14:paraId="125BD5F7" w14:textId="25B82836" w:rsidR="00FF4BD9" w:rsidRPr="00EC3E91" w:rsidRDefault="00FF4BD9" w:rsidP="00FA2205">
            <w:pPr>
              <w:rPr>
                <w:rFonts w:cstheme="minorHAnsi"/>
                <w:sz w:val="20"/>
                <w:szCs w:val="20"/>
                <w:lang w:val="en-US"/>
              </w:rPr>
            </w:pPr>
            <w:r w:rsidRPr="00EC3E91">
              <w:rPr>
                <w:rFonts w:cstheme="minorHAnsi"/>
                <w:sz w:val="20"/>
                <w:szCs w:val="20"/>
                <w:lang w:val="en-US"/>
              </w:rPr>
              <w:t>Palliative radiotherapy for bone metastases: An ASTRO evidence-based guideline.</w:t>
            </w:r>
          </w:p>
        </w:tc>
        <w:tc>
          <w:tcPr>
            <w:tcW w:w="2551" w:type="dxa"/>
          </w:tcPr>
          <w:p w14:paraId="682C15F5" w14:textId="7590B300" w:rsidR="00FF4BD9" w:rsidRPr="00EC3E91" w:rsidRDefault="00FF4BD9" w:rsidP="00060412">
            <w:pPr>
              <w:rPr>
                <w:rFonts w:cstheme="minorHAnsi"/>
                <w:sz w:val="20"/>
                <w:szCs w:val="20"/>
                <w:lang w:val="en-US"/>
              </w:rPr>
            </w:pPr>
            <w:r w:rsidRPr="00EC3E91">
              <w:rPr>
                <w:rFonts w:cstheme="minorHAnsi"/>
                <w:sz w:val="20"/>
                <w:szCs w:val="20"/>
                <w:lang w:val="en-US"/>
              </w:rPr>
              <w:t>Assess and redesign workflow, remind clinicians, use advisory boards and workgroups, develop and organize quality monitoring systems.</w:t>
            </w:r>
          </w:p>
        </w:tc>
      </w:tr>
      <w:tr w:rsidR="00FF4BD9" w:rsidRPr="00E119DD" w14:paraId="3B62D04B" w14:textId="77777777" w:rsidTr="00FF4BD9">
        <w:trPr>
          <w:tblHeader/>
        </w:trPr>
        <w:tc>
          <w:tcPr>
            <w:tcW w:w="709" w:type="dxa"/>
          </w:tcPr>
          <w:p w14:paraId="5A9D46C4" w14:textId="4B64FBB0"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Pr="00EC3E91">
              <w:rPr>
                <w:rFonts w:cstheme="minorHAnsi"/>
                <w:sz w:val="20"/>
                <w:szCs w:val="20"/>
                <w:lang w:val="en-US"/>
              </w:rPr>
              <w:instrText>ADDIN CSL_CITATION {"citationItems":[{"id":"ITEM-1","itemData":{"abstract":"Introduction The aim of this project was to develop and implement an innovative nurse-led model of care in the use and management of indwelling urinary catheters (IUC) utilising evidence-based 'bundle interventions' to reduce the incidence of catheter-associated urinary tract infections (CAUTI). Design and method A pre and post intervention study designed to progress in three phases was conducted in the orthopaedic ward and urology ward of a large tertiary referral facility. Phase one involved a clinical data collection pre intervention on all inpatients receiving an IUC over a 3-month period from February to April 2013. A staff survey assessed knowledge and skills and an evidence-based care bundle, nurse-led protocols, and education resources were developed through collaboration with clinicians. Phase two involved implementation and Phase three was an evaluation with the primary outcome targets being reduced IUC usage, days IUC in situ and incidence of CAUTI. Results Pre audit data revealed a high rate of IUC use: 31% of all inpatients in the orthopaedic ward and 25% in the urology ward. Compliance with current guidelines was inconsistent and documentation related to IUCs was poor. Overall CAUTI rate was relatively low at 2.2% of all patients with an IUC and was higher in the orthopaedic ward. Conclusion The development of a systematic and standardised approach to IUC care for inpatients using bundle care interventions will potentially reduce IUC use, provide a clear pathway for nurse-initiated IUC removal and reduce the incidence of catheter-associated urinary tract infections (CAUTI).","author":[{"dropping-particle":"","family":"Giles","given":"M","non-dropping-particle":"","parse-names":false,"suffix":""},{"dropping-particle":"","family":"Watts","given":"W","non-dropping-particle":"","parse-names":false,"suffix":""},{"dropping-particle":"","family":"O'Brien","given":"A","non-dropping-particle":"","parse-names":false,"suffix":""},{"dropping-particle":"","family":"Berenger","given":"S","non-dropping-particle":"","parse-names":false,"suffix":""},{"dropping-particle":"","family":"Paul","given":"M","non-dropping-particle":"","parse-names":false,"suffix":""},{"dropping-particle":"","family":"McNeil","given":"K","non-dropping-particle":"","parse-names":false,"suffix":""},{"dropping-particle":"","family":"Bantawa","given":"K","non-dropping-particle":"","parse-names":false,"suffix":""}],"container-title":"Healthcare Infection","id":"ITEM-1","issue":"2","issued":{"date-parts":[["2015"]]},"page":"62-71","title":"Does our bundle stack up! Innovative nurse-led changes for preventing catheter-associated urinary tract infection (CAUTI)","type":"article-journal","volume":"20"},"uris":["http://www.mendeley.com/documents/?uuid=944b839a-55a5-4649-b164-11d5c8becc1c"]}],"mendeley":{"formattedCitation":"(64)","plainTextFormattedCitation":"(64)","previouslyFormattedCitation":"(64)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(64)</w:t>
            </w:r>
            <w:r w:rsidRPr="00EC3E91">
              <w:rPr>
                <w:rFonts w:cstheme="minorHAnsi"/>
                <w:sz w:val="20"/>
                <w:szCs w:val="20"/>
                <w:lang w:val="en-US"/>
              </w:rPr>
              <w:fldChar w:fldCharType="end"/>
            </w:r>
          </w:p>
        </w:tc>
        <w:tc>
          <w:tcPr>
            <w:tcW w:w="992" w:type="dxa"/>
          </w:tcPr>
          <w:p w14:paraId="5EB0B6A0" w14:textId="3C6EF215" w:rsidR="00FF4BD9" w:rsidRPr="00EC3E91" w:rsidRDefault="00FF4BD9" w:rsidP="00060412">
            <w:pPr>
              <w:rPr>
                <w:rFonts w:cstheme="minorHAnsi"/>
                <w:sz w:val="20"/>
                <w:szCs w:val="20"/>
                <w:lang w:val="en-US"/>
              </w:rPr>
            </w:pPr>
            <w:r w:rsidRPr="00EC3E91">
              <w:rPr>
                <w:rFonts w:cstheme="minorHAnsi"/>
                <w:sz w:val="20"/>
                <w:szCs w:val="20"/>
                <w:lang w:val="en-US"/>
              </w:rPr>
              <w:t xml:space="preserve">Australia </w:t>
            </w:r>
          </w:p>
        </w:tc>
        <w:tc>
          <w:tcPr>
            <w:tcW w:w="993" w:type="dxa"/>
          </w:tcPr>
          <w:p w14:paraId="3C5B07C5" w14:textId="775006D4" w:rsidR="00FF4BD9" w:rsidRPr="00EC3E91" w:rsidRDefault="00FF4BD9" w:rsidP="00060412">
            <w:pPr>
              <w:rPr>
                <w:rFonts w:cstheme="minorHAnsi"/>
                <w:sz w:val="20"/>
                <w:szCs w:val="20"/>
                <w:lang w:val="en-US"/>
              </w:rPr>
            </w:pPr>
            <w:r w:rsidRPr="00EC3E91">
              <w:rPr>
                <w:rFonts w:cstheme="minorHAnsi"/>
                <w:sz w:val="20"/>
                <w:szCs w:val="20"/>
                <w:lang w:val="en-US"/>
              </w:rPr>
              <w:t>Hospital</w:t>
            </w:r>
          </w:p>
        </w:tc>
        <w:tc>
          <w:tcPr>
            <w:tcW w:w="850" w:type="dxa"/>
          </w:tcPr>
          <w:p w14:paraId="0B45DCC6" w14:textId="643755FE"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123340FE" w14:textId="446C0F6E" w:rsidR="00FF4BD9" w:rsidRPr="00EC3E91" w:rsidRDefault="00FF4BD9" w:rsidP="00060412">
            <w:pPr>
              <w:rPr>
                <w:rFonts w:cstheme="minorHAnsi"/>
                <w:sz w:val="20"/>
                <w:szCs w:val="20"/>
                <w:lang w:val="en-US"/>
              </w:rPr>
            </w:pPr>
            <w:r w:rsidRPr="00EC3E91">
              <w:rPr>
                <w:rFonts w:cstheme="minorHAnsi"/>
                <w:sz w:val="20"/>
                <w:szCs w:val="20"/>
                <w:lang w:val="en-US"/>
              </w:rPr>
              <w:t>Process evaluation</w:t>
            </w:r>
          </w:p>
        </w:tc>
        <w:tc>
          <w:tcPr>
            <w:tcW w:w="1134" w:type="dxa"/>
          </w:tcPr>
          <w:p w14:paraId="5351186E" w14:textId="695A0BB0" w:rsidR="00FF4BD9" w:rsidRPr="00EC3E91" w:rsidRDefault="00FF4BD9" w:rsidP="00060412">
            <w:pPr>
              <w:rPr>
                <w:rFonts w:cstheme="minorHAnsi"/>
                <w:sz w:val="20"/>
                <w:szCs w:val="20"/>
                <w:lang w:val="en-US"/>
              </w:rPr>
            </w:pPr>
            <w:r w:rsidRPr="00EC3E91">
              <w:rPr>
                <w:rFonts w:cstheme="minorHAnsi"/>
                <w:sz w:val="20"/>
                <w:szCs w:val="20"/>
                <w:lang w:val="en-US"/>
              </w:rPr>
              <w:t>Catheters</w:t>
            </w:r>
          </w:p>
        </w:tc>
        <w:tc>
          <w:tcPr>
            <w:tcW w:w="2126" w:type="dxa"/>
          </w:tcPr>
          <w:p w14:paraId="69230ABA" w14:textId="3090CD29" w:rsidR="00FF4BD9" w:rsidRPr="00EC3E91" w:rsidRDefault="00FF4BD9" w:rsidP="00060412">
            <w:pPr>
              <w:rPr>
                <w:rFonts w:cstheme="minorHAnsi"/>
                <w:sz w:val="20"/>
                <w:szCs w:val="20"/>
                <w:lang w:val="en-US"/>
              </w:rPr>
            </w:pPr>
            <w:r w:rsidRPr="00EC3E91">
              <w:rPr>
                <w:rFonts w:cstheme="minorHAnsi"/>
                <w:sz w:val="20"/>
                <w:szCs w:val="20"/>
                <w:lang w:val="en-US"/>
              </w:rPr>
              <w:t>Indwelling urinary catheters (IUC)</w:t>
            </w:r>
          </w:p>
        </w:tc>
        <w:tc>
          <w:tcPr>
            <w:tcW w:w="3969" w:type="dxa"/>
          </w:tcPr>
          <w:p w14:paraId="005F6873" w14:textId="55F89F63" w:rsidR="00FF4BD9" w:rsidRPr="00EC3E91" w:rsidRDefault="00C74D1E" w:rsidP="00FA2205">
            <w:pPr>
              <w:rPr>
                <w:rFonts w:cstheme="minorHAnsi"/>
                <w:sz w:val="20"/>
                <w:szCs w:val="20"/>
                <w:lang w:val="en-US"/>
              </w:rPr>
            </w:pPr>
            <w:r w:rsidRPr="00EC3E91">
              <w:rPr>
                <w:rFonts w:cstheme="minorHAnsi"/>
                <w:sz w:val="20"/>
                <w:szCs w:val="20"/>
                <w:lang w:val="en-US"/>
              </w:rPr>
              <w:t xml:space="preserve">Guideline </w:t>
            </w:r>
            <w:r w:rsidR="005A7558" w:rsidRPr="00EC3E91">
              <w:rPr>
                <w:rFonts w:cstheme="minorHAnsi"/>
                <w:sz w:val="20"/>
                <w:szCs w:val="20"/>
                <w:lang w:val="en-US"/>
              </w:rPr>
              <w:t xml:space="preserve">for </w:t>
            </w:r>
            <w:r w:rsidR="008E3BEF" w:rsidRPr="00EC3E91">
              <w:rPr>
                <w:rFonts w:cstheme="minorHAnsi"/>
                <w:sz w:val="20"/>
                <w:szCs w:val="20"/>
                <w:lang w:val="en-US"/>
              </w:rPr>
              <w:t xml:space="preserve">prevention </w:t>
            </w:r>
            <w:r w:rsidR="001026C6" w:rsidRPr="00EC3E91">
              <w:rPr>
                <w:rFonts w:cstheme="minorHAnsi"/>
                <w:sz w:val="20"/>
                <w:szCs w:val="20"/>
                <w:lang w:val="en-US"/>
              </w:rPr>
              <w:t>of catheter</w:t>
            </w:r>
            <w:r w:rsidR="00FF4BD9" w:rsidRPr="00EC3E91">
              <w:rPr>
                <w:rFonts w:cstheme="minorHAnsi"/>
                <w:sz w:val="20"/>
                <w:szCs w:val="20"/>
                <w:lang w:val="en-US"/>
              </w:rPr>
              <w:t>-</w:t>
            </w:r>
            <w:r w:rsidR="001026C6" w:rsidRPr="00EC3E91">
              <w:rPr>
                <w:rFonts w:cstheme="minorHAnsi"/>
                <w:sz w:val="20"/>
                <w:szCs w:val="20"/>
                <w:lang w:val="en-US"/>
              </w:rPr>
              <w:t xml:space="preserve">associated </w:t>
            </w:r>
            <w:r w:rsidR="009C6C1F" w:rsidRPr="00EC3E91">
              <w:rPr>
                <w:rFonts w:cstheme="minorHAnsi"/>
                <w:sz w:val="20"/>
                <w:szCs w:val="20"/>
                <w:lang w:val="en-US"/>
              </w:rPr>
              <w:t>urinary tract</w:t>
            </w:r>
            <w:r w:rsidR="00FF4BD9" w:rsidRPr="00EC3E91">
              <w:rPr>
                <w:rFonts w:cstheme="minorHAnsi"/>
                <w:sz w:val="20"/>
                <w:szCs w:val="20"/>
                <w:lang w:val="en-US"/>
              </w:rPr>
              <w:t xml:space="preserve"> infections by the </w:t>
            </w:r>
            <w:r w:rsidR="009C6C1F" w:rsidRPr="00EC3E91">
              <w:rPr>
                <w:rFonts w:cstheme="minorHAnsi"/>
                <w:sz w:val="20"/>
                <w:szCs w:val="20"/>
                <w:lang w:val="en-US"/>
              </w:rPr>
              <w:t xml:space="preserve">Healthcare Infection </w:t>
            </w:r>
            <w:r w:rsidR="007452BB" w:rsidRPr="00EC3E91">
              <w:rPr>
                <w:rFonts w:cstheme="minorHAnsi"/>
                <w:sz w:val="20"/>
                <w:szCs w:val="20"/>
                <w:lang w:val="en-US"/>
              </w:rPr>
              <w:t>Control Practices Advisory Committee</w:t>
            </w:r>
            <w:r w:rsidR="00FF4BD9" w:rsidRPr="00EC3E91">
              <w:rPr>
                <w:rFonts w:cstheme="minorHAnsi"/>
                <w:sz w:val="20"/>
                <w:szCs w:val="20"/>
                <w:lang w:val="en-US"/>
              </w:rPr>
              <w:t>.</w:t>
            </w:r>
          </w:p>
        </w:tc>
        <w:tc>
          <w:tcPr>
            <w:tcW w:w="2551" w:type="dxa"/>
          </w:tcPr>
          <w:p w14:paraId="6736C650" w14:textId="1A0835C9" w:rsidR="00FF4BD9" w:rsidRPr="00EC3E91" w:rsidRDefault="00FF4BD9" w:rsidP="00060412">
            <w:pPr>
              <w:rPr>
                <w:rFonts w:cstheme="minorHAnsi"/>
                <w:sz w:val="20"/>
                <w:szCs w:val="20"/>
                <w:lang w:val="en-US"/>
              </w:rPr>
            </w:pPr>
            <w:r w:rsidRPr="00EC3E91">
              <w:rPr>
                <w:rFonts w:cstheme="minorHAnsi"/>
                <w:sz w:val="20"/>
                <w:szCs w:val="20"/>
                <w:lang w:val="en-US"/>
              </w:rPr>
              <w:t>Distribute educational materials, identify and prepare champions, use advisory boards and workgroups, make training dynamic, remind clinicians.</w:t>
            </w:r>
          </w:p>
        </w:tc>
      </w:tr>
      <w:tr w:rsidR="00FF4BD9" w:rsidRPr="00E119DD" w14:paraId="5737802B" w14:textId="77777777" w:rsidTr="00FF4BD9">
        <w:trPr>
          <w:tblHeader/>
        </w:trPr>
        <w:tc>
          <w:tcPr>
            <w:tcW w:w="709" w:type="dxa"/>
          </w:tcPr>
          <w:p w14:paraId="721914A5" w14:textId="1BB4D536"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{"citationItems":[{"id":"ITEM-1","itemData":{"ISSN":"0370-8179","abstract":"INTRODUCTION: Problems with polypharmacy, adverse drug reactions and non-adherence are especially frequent among elderly nursing home residents. OBJECTIVE: The aim of our study was to evaluate effectiveness of a specific form of staff education on appropriateness of prescribing in a cluster of nursing homes for the elderly. METHODS: The study was designed as before-and-after trial of educational intervention on appropriateness of prescribing in nursing homes for the elderly. In total 20 nursing homes located in Belgrade, Serbia were included in the study with 104 elderly residents and 27 caring physicians. Appropriateness of prescribing was checked against Beers, START and STOPP criteria, before and 6 months after the intervention. RESULTS: There were 349 inappropriately prescribed drugs according to Beers criteria before the intervention and 37 drugs six months after the intervention. According to STOPP criteria there were 70 drugs inappropriately prescribed before the intervention, and 20 drugs 6 months after. When both criteria are taken together, there is a significant difference between the average number of inappropriate drugs per patient before (3.4+/-0.5) and after (0.6+/-0.7) educational intervention (t=38.902; p&lt;0.001). Finally, before the intervention 143 appropriate drugs were omitted according to START criteria, while 6 months after the intervention there were only 67 omissions. CONCLUSION: Simple, but well targeted educational interventions may improve polypharmacy and decrease inappropriate prescribing rate, contributing to a better care of elderly patients in nursing homes.","author":[{"dropping-particle":"","family":"Ilic","given":"D","non-dropping-particle":"","parse-names":false,"suffix":""},{"dropping-particle":"","family":"Bukumiric","given":"Z","non-dropping-particle":"","parse-names":false,"suffix":""},{"dropping-particle":"","family":"Jankovic","given":"S","non-dropping-particle":"","parse-names":false,"suffix":""}],"container-title":"Srpski Arhiv Za Celokupno Lekarstvo","id":"ITEM-1","issue":"3","issued":{"date-parts":[["2015"]]},"page":"174-179","title":"Impact of educational intervention on prescribing inappropriate medication to elderly nursing homes residents","type":"article-journal","volume":"143"},"uris":["http://www.mendeley.com/documents/?uuid=3a638f4a-f3cb-49d2-b82b-04e99325bcb1"]}],"mendeley":{"formattedCitation":"(65)","plainTextFormattedCitation":"(65)","previouslyFormattedCitation":"(65)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(65)</w:t>
            </w:r>
            <w:r w:rsidRPr="00EC3E91">
              <w:rPr>
                <w:rFonts w:cstheme="minorHAnsi"/>
                <w:sz w:val="20"/>
                <w:szCs w:val="20"/>
                <w:lang w:val="en-US"/>
              </w:rPr>
              <w:fldChar w:fldCharType="end"/>
            </w:r>
          </w:p>
        </w:tc>
        <w:tc>
          <w:tcPr>
            <w:tcW w:w="992" w:type="dxa"/>
          </w:tcPr>
          <w:p w14:paraId="4739FD2B" w14:textId="5D9588F4" w:rsidR="00FF4BD9" w:rsidRPr="00EC3E91" w:rsidRDefault="00FF4BD9" w:rsidP="00060412">
            <w:pPr>
              <w:rPr>
                <w:rFonts w:cstheme="minorHAnsi"/>
                <w:sz w:val="20"/>
                <w:szCs w:val="20"/>
                <w:lang w:val="en-US"/>
              </w:rPr>
            </w:pPr>
            <w:r w:rsidRPr="00EC3E91">
              <w:rPr>
                <w:rFonts w:cstheme="minorHAnsi"/>
                <w:sz w:val="20"/>
                <w:szCs w:val="20"/>
                <w:lang w:val="en-US"/>
              </w:rPr>
              <w:t xml:space="preserve">Serbia </w:t>
            </w:r>
          </w:p>
        </w:tc>
        <w:tc>
          <w:tcPr>
            <w:tcW w:w="993" w:type="dxa"/>
          </w:tcPr>
          <w:p w14:paraId="16B244F2" w14:textId="6F3F812E"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500BC816" w14:textId="7692DD9C"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6F07DB77" w14:textId="40DA0FB1"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B7B5E84" w14:textId="6EB2A249"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66E5B236" w14:textId="0D68286B" w:rsidR="00FF4BD9" w:rsidRPr="00EC3E91" w:rsidRDefault="00FF4BD9" w:rsidP="00060412">
            <w:pPr>
              <w:rPr>
                <w:rFonts w:cstheme="minorHAnsi"/>
                <w:sz w:val="20"/>
                <w:szCs w:val="20"/>
                <w:lang w:val="en-US"/>
              </w:rPr>
            </w:pPr>
            <w:r w:rsidRPr="00EC3E91">
              <w:rPr>
                <w:rFonts w:cstheme="minorHAnsi"/>
                <w:sz w:val="20"/>
                <w:szCs w:val="20"/>
                <w:lang w:val="en-US"/>
              </w:rPr>
              <w:t xml:space="preserve">Potentially inappropriate medications </w:t>
            </w:r>
          </w:p>
        </w:tc>
        <w:tc>
          <w:tcPr>
            <w:tcW w:w="3969" w:type="dxa"/>
          </w:tcPr>
          <w:p w14:paraId="154EDD72" w14:textId="77777777" w:rsidR="00FF4BD9" w:rsidRPr="00EC3E91" w:rsidRDefault="00FF4BD9" w:rsidP="00FA2205">
            <w:pPr>
              <w:rPr>
                <w:rFonts w:cstheme="minorHAnsi"/>
                <w:sz w:val="20"/>
                <w:szCs w:val="20"/>
                <w:lang w:val="en-US"/>
              </w:rPr>
            </w:pPr>
            <w:r w:rsidRPr="00EC3E91">
              <w:rPr>
                <w:rFonts w:cstheme="minorHAnsi"/>
                <w:sz w:val="20"/>
                <w:szCs w:val="20"/>
                <w:lang w:val="en-US"/>
              </w:rPr>
              <w:t xml:space="preserve">Beers Criteria </w:t>
            </w:r>
          </w:p>
          <w:p w14:paraId="39299977" w14:textId="77777777" w:rsidR="00FF4BD9" w:rsidRPr="00EC3E91" w:rsidRDefault="00FF4BD9" w:rsidP="00FA2205">
            <w:pPr>
              <w:rPr>
                <w:rFonts w:cstheme="minorHAnsi"/>
                <w:sz w:val="20"/>
                <w:szCs w:val="20"/>
                <w:lang w:val="en-US"/>
              </w:rPr>
            </w:pPr>
          </w:p>
          <w:p w14:paraId="14F2ADAB" w14:textId="3FE48E32" w:rsidR="00FF4BD9" w:rsidRPr="00EC3E91" w:rsidRDefault="00FF4BD9" w:rsidP="00FA2205">
            <w:pPr>
              <w:rPr>
                <w:rFonts w:cstheme="minorHAnsi"/>
                <w:sz w:val="20"/>
                <w:szCs w:val="20"/>
                <w:lang w:val="en-US"/>
              </w:rPr>
            </w:pPr>
            <w:r w:rsidRPr="00EC3E91">
              <w:rPr>
                <w:rFonts w:cstheme="minorHAnsi"/>
                <w:sz w:val="20"/>
                <w:szCs w:val="20"/>
                <w:lang w:val="en-US"/>
              </w:rPr>
              <w:t xml:space="preserve">STOPP (Screening Tool of Older Person’s Prescriptions) and START (Screening Tool to Alert doctors to Right Treatment). </w:t>
            </w:r>
          </w:p>
        </w:tc>
        <w:tc>
          <w:tcPr>
            <w:tcW w:w="2551" w:type="dxa"/>
          </w:tcPr>
          <w:p w14:paraId="3CFD29C0" w14:textId="5AFC698A" w:rsidR="00FF4BD9" w:rsidRPr="00EC3E91" w:rsidRDefault="00FF4BD9" w:rsidP="00060412">
            <w:pPr>
              <w:rPr>
                <w:rFonts w:cstheme="minorHAnsi"/>
                <w:sz w:val="20"/>
                <w:szCs w:val="20"/>
                <w:lang w:val="en-US"/>
              </w:rPr>
            </w:pPr>
            <w:r w:rsidRPr="00EC3E91">
              <w:rPr>
                <w:rFonts w:cstheme="minorHAnsi"/>
                <w:sz w:val="20"/>
                <w:szCs w:val="20"/>
                <w:lang w:val="en-US"/>
              </w:rPr>
              <w:t>Conduct educational meeting, develop educational materials.</w:t>
            </w:r>
          </w:p>
        </w:tc>
      </w:tr>
      <w:tr w:rsidR="00FF4BD9" w:rsidRPr="00E119DD" w14:paraId="77167E68" w14:textId="77777777" w:rsidTr="00FF4BD9">
        <w:trPr>
          <w:tblHeader/>
        </w:trPr>
        <w:tc>
          <w:tcPr>
            <w:tcW w:w="709" w:type="dxa"/>
          </w:tcPr>
          <w:p w14:paraId="073CCE29" w14:textId="2852ECF6"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Reduction of unnecessary head computed tomographies (CTs) in patients with mild traumatic brain injury (MTBI) was recently endorsed by American College of Emergency Physicians (ACEP) in the \"Choosing Wisely\" campaign. We examined the impact of computerized clinical decision support (CDS) on head CT utilization in MTBI emergency department (ED) visits. Methods: We conducted a 2-year cohort study at a level 1 trauma center and compared our results with the National Hospital Ambulatory Medical Care Survey from 2009 to 2010. All adult patients discharged from the ED with MTBI-associated diagnoses were included. After a baseline observation period at our institution, real-time CDS was implemented. Based upon the clinical history entered, low utility orders triggered an alert to clinicians, suggesting imaging studies might not adhere to evidence-based guidelines. Clinicians could cancel the order or ignore the alert. Primary outcome was intensity of head CT use in MTBI ED visits. Secondary outcomes included rates of delayed imaging and delays in diagnosing radiologically significant findings. χ 2, logistic regression, and process control chart assessed preintervention and postintervention differences. Results: In study patients, 58.1% of MTBI-related visits resulted in head CT preintervention vs 50.3% postintervention (13.4% relative decrease, P = .005), a change not detected in controls (73.3% vs 76.9%, P = .272). Study cohort patients not receiving a head CT during their index visit were neither more nor less likely to receive one in the subsequent 7 days (6.7% preintervention vs 9.4% postintervention, P = .231). Rates of delayed diagnosis of radiologically significant findings were unchanged (0% vs 0%). Conclusions: Evidence-based CDS can reduce low utility imaging for MTBI.","author":[{"dropping-particle":"","family":"Ip","given":"I K","non-dropping-particle":"","parse-names":false,"suffix":""},{"dropping-particle":"","family":"Raja","given":"A S","non-dropping-particle":"","parse-names":false,"suffix":""},{"dropping-particle":"","family":"Gupta","given":"A","non-dropping-particle":"","parse-names":false,"suffix":""},{"dropping-particle":"","family":"Andruchow","given":"J","non-dropping-particle":"","parse-names":false,"suffix":""},{"dropping-particle":"","family":"Sodickson","given":"A","non-dropping-particle":"","parse-names":false,"suffix":""},{"dropping-particle":"","family":"Khorasani","given":"R","non-dropping-particle":"","parse-names":false,"suffix":""}],"container-title":"American Journal of Emergency Medicine","id":"ITEM-1","issued":{"date-parts":[["2015"]]},"title":"Impact of clinical decision support on head computed tomography use in patients with mild traumatic brain injury in the ED","type":"article-journal"},"uris":["http://www.mendeley.com/documents/?uuid=8f0139ce-bbbe-4e47-bf93-687ce7c21401"]}],"mendeley":{"formattedCitation":"(66)","plainTextFormattedCitation":"(66)","previouslyFormattedCitation":"(66)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(66)</w:t>
            </w:r>
            <w:r w:rsidRPr="00EC3E91">
              <w:rPr>
                <w:rFonts w:cstheme="minorHAnsi"/>
                <w:sz w:val="20"/>
                <w:szCs w:val="20"/>
                <w:lang w:val="en-US"/>
              </w:rPr>
              <w:fldChar w:fldCharType="end"/>
            </w:r>
          </w:p>
        </w:tc>
        <w:tc>
          <w:tcPr>
            <w:tcW w:w="992" w:type="dxa"/>
          </w:tcPr>
          <w:p w14:paraId="42BDBAE2" w14:textId="21C38924"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03B74E97" w14:textId="3C33A58D"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2A4EAC35" w14:textId="25E390A7" w:rsidR="00FF4BD9" w:rsidRPr="00EC3E91" w:rsidRDefault="00FF4BD9" w:rsidP="00060412">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27312D52" w14:textId="5EEF8721"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24A461E1" w14:textId="7AF0CEEA" w:rsidR="00FF4BD9" w:rsidRPr="00EC3E91" w:rsidRDefault="00226199" w:rsidP="00060412">
            <w:pPr>
              <w:rPr>
                <w:rFonts w:cstheme="minorHAnsi"/>
                <w:sz w:val="20"/>
                <w:szCs w:val="20"/>
                <w:lang w:val="en-US"/>
              </w:rPr>
            </w:pPr>
            <w:r>
              <w:rPr>
                <w:rFonts w:cstheme="minorHAnsi"/>
                <w:sz w:val="20"/>
                <w:szCs w:val="20"/>
                <w:lang w:val="en-US"/>
              </w:rPr>
              <w:t>Imaging</w:t>
            </w:r>
          </w:p>
        </w:tc>
        <w:tc>
          <w:tcPr>
            <w:tcW w:w="2126" w:type="dxa"/>
          </w:tcPr>
          <w:p w14:paraId="514BCC54" w14:textId="5FD2B084" w:rsidR="00FF4BD9" w:rsidRPr="00EC3E91" w:rsidRDefault="00746D40" w:rsidP="00060412">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head CTs in patients with MTBI</w:t>
            </w:r>
          </w:p>
        </w:tc>
        <w:tc>
          <w:tcPr>
            <w:tcW w:w="3969" w:type="dxa"/>
          </w:tcPr>
          <w:p w14:paraId="63EA9951" w14:textId="5C08C393" w:rsidR="00FF4BD9" w:rsidRPr="00EC3E91" w:rsidRDefault="00FF4BD9" w:rsidP="00FA2205">
            <w:pPr>
              <w:rPr>
                <w:rFonts w:cstheme="minorHAnsi"/>
                <w:sz w:val="20"/>
                <w:szCs w:val="20"/>
                <w:lang w:val="en-US"/>
              </w:rPr>
            </w:pPr>
            <w:r w:rsidRPr="00EC3E91">
              <w:rPr>
                <w:rFonts w:cstheme="minorHAnsi"/>
                <w:sz w:val="20"/>
                <w:szCs w:val="20"/>
                <w:lang w:val="en-US"/>
              </w:rPr>
              <w:t xml:space="preserve">ACEP's campaign to reduce unnecessary testing in the emergency department. </w:t>
            </w:r>
          </w:p>
        </w:tc>
        <w:tc>
          <w:tcPr>
            <w:tcW w:w="2551" w:type="dxa"/>
          </w:tcPr>
          <w:p w14:paraId="3A089A5C" w14:textId="4D8878AC" w:rsidR="00FF4BD9" w:rsidRPr="00EC3E91" w:rsidRDefault="00FF4BD9" w:rsidP="00060412">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7F1FB155" w14:textId="77777777" w:rsidTr="00FF4BD9">
        <w:trPr>
          <w:tblHeader/>
        </w:trPr>
        <w:tc>
          <w:tcPr>
            <w:tcW w:w="709" w:type="dxa"/>
          </w:tcPr>
          <w:p w14:paraId="34FC4475" w14:textId="2931131A"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{"citationItems":[{"id":"ITEM-1","itemData":{"DOI":"10.1371/journal.pone.0132071","ISSN":"19326203","abstract":"BACKGROUND: Asymptomatic bacteriuria (ABU) should only be treated in cases of pregnancy or in-patients undergoing urologic procedures; however, unnecessary treatment of ABU is common in clinical practice. OBJECTIVE: To identify risk factors for unnecessary treatment and to assess the impact of an educational intervention focused on these risk factors on treatment of ABU. DESIGN: Quasi-experimental study with a control group. SETTING: Two tertiary teaching adult care hospitals. PARTICIPANTS: Consecutive patients with positive urine cultures between January 30th and April 17th, 2012 (baseline) and January 30th and April 30th, 2013 (intervention). INTERVENTION: In January 2013, a multifaceted educational intervention based on risk factors identified during the baseline period was provided to medical residents (monthly) on one clinical teaching unit (CTU) at one hospital site, with the CTU of the other hospital serving as the control. RESULTS: During the baseline period, 160/341 (46.9%) positive urine cultures were obtained from asymptomatic patients at the two hospitals, and 94/160 (58.8%) were inappropriately treated with antibiotics. Risk factors for inappropriate use included: female gender (OR 2.1, 95% CI 1.1-4.3), absence of a catheter (OR 2.5, 1.2-5), bacteriuria versus candiduria (OR 10.6, 3.8-29.4), pyuria (OR 2.0, 1.1-3.8), and positive nitrites (OR 2.2, 1.1-4.5). In 2013, only 2/24 (8%) of ABU patients were inappropriately treated on the intervention CTU as compared to 14/29 (52%) on the control CTU (OR 0.10; 95% CI 0.02-0.49). A reduction was also observed as compared to baseline on the intervention CTU (OR 0.1, 0.02-0.7) with no significant change noted on the control CTU (OR 0.47, 0.13-1.7). CONCLUSIONS: A multifaceted educational intervention geared towards medical residents with a focus on identified risk factors for inappropriate management of ABU was effective in reducing unnecessary antibiotic use.","author":[{"dropping-particle":"","family":"Irfan","given":"Neal","non-dropping-particle":"","parse-names":false,"suffix":""},{"dropping-particle":"","family":"Brooks","given":"Annie","non-dropping-particle":"","parse-names":false,"suffix":""},{"dropping-particle":"","family":"Mithoowani","given":"Siraj","non-dropping-particle":"","parse-names":false,"suffix":""},{"dropping-particle":"","family":"Celetti","given":"Steve J.","non-dropping-particle":"","parse-names":false,"suffix":""},{"dropping-particle":"","family":"Main","given":"Cheryl","non-dropping-particle":"","parse-names":false,"suffix":""},{"dropping-particle":"","family":"Mertz","given":"Dominik","non-dropping-particle":"","parse-names":false,"suffix":""}],"container-title":"PLoS ONE","id":"ITEM-1","issue":"7","issued":{"date-parts":[["2015"]]},"page":"e0132071","title":"A Controlled Quasi-Experimental Study of an Educational Intervention to Reduce the Unnecessary Use of Antimicrobials For Asymptomatic Bacteriuria","type":"article-journal","volume":"10"},"uris":["http://www.mendeley.com/documents/?uuid=eca0eef4-a1af-4fdd-9437-d2a24f964589"]}],"mendeley":{"formattedCitation":"(67)","plainTextFormattedCitation":"(67)","previouslyFormattedCitation":"(67)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(67)</w:t>
            </w:r>
            <w:r w:rsidRPr="00EC3E91">
              <w:rPr>
                <w:rFonts w:cstheme="minorHAnsi"/>
                <w:sz w:val="20"/>
                <w:szCs w:val="20"/>
                <w:lang w:val="en-US"/>
              </w:rPr>
              <w:fldChar w:fldCharType="end"/>
            </w:r>
          </w:p>
        </w:tc>
        <w:tc>
          <w:tcPr>
            <w:tcW w:w="992" w:type="dxa"/>
          </w:tcPr>
          <w:p w14:paraId="4CDB0CE7" w14:textId="6E61D95C" w:rsidR="00FF4BD9" w:rsidRPr="00EC3E91" w:rsidRDefault="00FF4BD9" w:rsidP="00060412">
            <w:pPr>
              <w:rPr>
                <w:rFonts w:cstheme="minorHAnsi"/>
                <w:sz w:val="20"/>
                <w:szCs w:val="20"/>
                <w:lang w:val="en-US"/>
              </w:rPr>
            </w:pPr>
            <w:r w:rsidRPr="00EC3E91">
              <w:rPr>
                <w:rFonts w:cstheme="minorHAnsi"/>
                <w:sz w:val="20"/>
                <w:szCs w:val="20"/>
                <w:lang w:val="en-US"/>
              </w:rPr>
              <w:t>Canada</w:t>
            </w:r>
          </w:p>
        </w:tc>
        <w:tc>
          <w:tcPr>
            <w:tcW w:w="993" w:type="dxa"/>
          </w:tcPr>
          <w:p w14:paraId="0A8ACFF0" w14:textId="1884D880"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0A57F1BF" w14:textId="445B1E12" w:rsidR="00FF4BD9" w:rsidRPr="00EC3E91" w:rsidRDefault="00FF4BD9" w:rsidP="00060412">
            <w:pPr>
              <w:rPr>
                <w:rFonts w:cstheme="minorHAnsi"/>
                <w:sz w:val="20"/>
                <w:szCs w:val="20"/>
                <w:lang w:val="en-US"/>
              </w:rPr>
            </w:pPr>
            <w:r w:rsidRPr="00EC3E91">
              <w:rPr>
                <w:rFonts w:cstheme="minorHAnsi"/>
                <w:sz w:val="20"/>
                <w:szCs w:val="20"/>
                <w:lang w:val="en-US"/>
              </w:rPr>
              <w:t xml:space="preserve">Quant Quasi-experimental </w:t>
            </w:r>
          </w:p>
        </w:tc>
        <w:tc>
          <w:tcPr>
            <w:tcW w:w="851" w:type="dxa"/>
          </w:tcPr>
          <w:p w14:paraId="6AE1F1C5" w14:textId="28AC7442"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7904F40C" w14:textId="000ADD89"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4E135656" w14:textId="0F15C15B"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 for asymptomatic bacteriuria</w:t>
            </w:r>
          </w:p>
        </w:tc>
        <w:tc>
          <w:tcPr>
            <w:tcW w:w="3969" w:type="dxa"/>
          </w:tcPr>
          <w:p w14:paraId="56E40352" w14:textId="7AFEF88B" w:rsidR="00FF4BD9" w:rsidRPr="00EC3E91" w:rsidRDefault="00FF4BD9" w:rsidP="00FA2205">
            <w:pPr>
              <w:rPr>
                <w:rFonts w:cstheme="minorHAnsi"/>
                <w:sz w:val="20"/>
                <w:szCs w:val="20"/>
                <w:lang w:val="en-US"/>
              </w:rPr>
            </w:pPr>
            <w:r w:rsidRPr="00EC3E91">
              <w:rPr>
                <w:rFonts w:cstheme="minorHAnsi"/>
                <w:sz w:val="20"/>
                <w:szCs w:val="20"/>
                <w:lang w:val="en-US"/>
              </w:rPr>
              <w:t>Guidelines for the diagnosis and treatment of asymptomatic bacteriuria in adults. By the Infectious Diseases Society of America</w:t>
            </w:r>
          </w:p>
        </w:tc>
        <w:tc>
          <w:tcPr>
            <w:tcW w:w="2551" w:type="dxa"/>
          </w:tcPr>
          <w:p w14:paraId="04605814" w14:textId="0628B082" w:rsidR="00FF4BD9" w:rsidRPr="00EC3E91" w:rsidRDefault="00FF4BD9" w:rsidP="00060412">
            <w:pPr>
              <w:rPr>
                <w:rFonts w:cstheme="minorHAnsi"/>
                <w:sz w:val="20"/>
                <w:szCs w:val="20"/>
                <w:lang w:val="en-US"/>
              </w:rPr>
            </w:pPr>
            <w:r w:rsidRPr="00EC3E91">
              <w:rPr>
                <w:rFonts w:cstheme="minorHAnsi"/>
                <w:sz w:val="20"/>
                <w:szCs w:val="20"/>
                <w:lang w:val="en-US"/>
              </w:rPr>
              <w:t xml:space="preserve">Make training dynamic </w:t>
            </w:r>
          </w:p>
        </w:tc>
      </w:tr>
      <w:tr w:rsidR="00FF4BD9" w:rsidRPr="00EC3E91" w14:paraId="37F2BDD4" w14:textId="77777777" w:rsidTr="00FF4BD9">
        <w:trPr>
          <w:tblHeader/>
        </w:trPr>
        <w:tc>
          <w:tcPr>
            <w:tcW w:w="709" w:type="dxa"/>
          </w:tcPr>
          <w:p w14:paraId="7DE30150" w14:textId="2B8E31A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Although several guidelines for appropriate prescribing are available, inappropriate drug prescription remains noteworthy problem among older adults. Indian older patients are also not spare from this issue and existing literature indicates a fair level of inappropriate drug use (IDU). OBJECTIVES: Identified potentially IDU and documented their reduction based on provided evidence-based information and also identified possible predictors of IDU in older inpatients. SETTING: Three years prospective study included 1510 inpatients aged 60 years or over, of both sexes. IDU identified using the Modified Updated AGS Beers Criteria 2012. RESULTS: The patients had an average age of 67.10 +/- 0.23 years and on an average were prescribed 9.29 +/- 0.11 medications. Using AGS Beers Criteria 2012, total IDU was found to be 21% (n = 325). Of total 287 patients received only one inappropriate drug whereas 38 patients received two or more inappropriate drug(s). According to first list of criteria long acting benzodiazepines, anticholinergics, nitrofurantoin and digoxin were most common IDU. Prescription of theophylline in insomnia followed by aspirin in gastric ulcer and calcium channel blocker in constipation were listed from second list of criteria. 31% reductions in IDU were observed based on evidence-based information regarding each identified inappropriate drugs. CONCLUSIONS: The findings of this study provide evidence that provision of unbiased evidenced based information is the best possible means for improvement of pharmacotherapy in older patients.","author":[{"dropping-particle":"","family":"Kashyap","given":"M","non-dropping-particle":"","parse-names":false,"suffix":""},{"dropping-particle":"","family":"D'Cruz","given":"S","non-dropping-particle":"","parse-names":false,"suffix":""},{"dropping-particle":"","family":"Sachdev","given":"A","non-dropping-particle":"","parse-names":false,"suffix":""},{"dropping-particle":"","family":"Tiwari","given":"P","non-dropping-particle":"","parse-names":false,"suffix":""}],"container-title":"International Journal of Risk &amp; Safety in Medicine","id":"ITEM-1","issue":"4","issued":{"date-parts":[["2015"]]},"page":"209-217","title":"Evidence-based information leads to reduction in inappropriate drug prescribing: Results from Indian older inpatients","type":"article-journal","volume":"27"},"uris":["http://www.mendeley.com/documents/?uuid=1bdff425-12ea-4bc6-98ed-35d1caa02ec6"]}],"mendeley":{"formattedCitation":"(68)","plainTextFormattedCitation":"(68)","previouslyFormattedCitation":"(68)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(68)</w:t>
            </w:r>
            <w:r w:rsidRPr="00EC3E91">
              <w:rPr>
                <w:rFonts w:cstheme="minorHAnsi"/>
                <w:sz w:val="20"/>
                <w:szCs w:val="20"/>
                <w:lang w:val="en-US"/>
              </w:rPr>
              <w:fldChar w:fldCharType="end"/>
            </w:r>
          </w:p>
        </w:tc>
        <w:tc>
          <w:tcPr>
            <w:tcW w:w="992" w:type="dxa"/>
          </w:tcPr>
          <w:p w14:paraId="08B64896" w14:textId="3FAD66EC" w:rsidR="00FF4BD9" w:rsidRPr="00EC3E91" w:rsidRDefault="00FF4BD9" w:rsidP="00060412">
            <w:pPr>
              <w:rPr>
                <w:rFonts w:cstheme="minorHAnsi"/>
                <w:sz w:val="20"/>
                <w:szCs w:val="20"/>
                <w:lang w:val="en-US"/>
              </w:rPr>
            </w:pPr>
            <w:r w:rsidRPr="00EC3E91">
              <w:rPr>
                <w:rFonts w:cstheme="minorHAnsi"/>
                <w:sz w:val="20"/>
                <w:szCs w:val="20"/>
                <w:lang w:val="en-US"/>
              </w:rPr>
              <w:t xml:space="preserve">India </w:t>
            </w:r>
          </w:p>
        </w:tc>
        <w:tc>
          <w:tcPr>
            <w:tcW w:w="993" w:type="dxa"/>
          </w:tcPr>
          <w:p w14:paraId="540B52F8" w14:textId="2FE97F1A"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517AE1F0" w14:textId="44521B99"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723A98F7" w14:textId="75FE9492"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4D0B2155" w14:textId="012F97F1"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3F0A9F68" w14:textId="7CE01CD2"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15923758" w14:textId="4EEE1168" w:rsidR="00FF4BD9" w:rsidRPr="00EC3E91" w:rsidRDefault="00FF4BD9" w:rsidP="00FA2205">
            <w:pPr>
              <w:rPr>
                <w:rFonts w:cstheme="minorHAnsi"/>
                <w:sz w:val="20"/>
                <w:szCs w:val="20"/>
                <w:lang w:val="en-US"/>
              </w:rPr>
            </w:pPr>
            <w:r w:rsidRPr="00EC3E91">
              <w:rPr>
                <w:rFonts w:cstheme="minorHAnsi"/>
                <w:sz w:val="20"/>
                <w:szCs w:val="20"/>
                <w:lang w:val="en-US"/>
              </w:rPr>
              <w:t xml:space="preserve">Beer Criteria </w:t>
            </w:r>
          </w:p>
        </w:tc>
        <w:tc>
          <w:tcPr>
            <w:tcW w:w="2551" w:type="dxa"/>
          </w:tcPr>
          <w:p w14:paraId="2561E74A" w14:textId="1D51289D" w:rsidR="00FF4BD9" w:rsidRPr="00EC3E91" w:rsidRDefault="00FF4BD9" w:rsidP="00060412">
            <w:pPr>
              <w:rPr>
                <w:rFonts w:cstheme="minorHAnsi"/>
                <w:sz w:val="20"/>
                <w:szCs w:val="20"/>
                <w:lang w:val="en-US"/>
              </w:rPr>
            </w:pPr>
            <w:r w:rsidRPr="00EC3E91">
              <w:rPr>
                <w:rFonts w:cstheme="minorHAnsi"/>
                <w:sz w:val="20"/>
                <w:szCs w:val="20"/>
                <w:lang w:val="en-US"/>
              </w:rPr>
              <w:t xml:space="preserve">Audit and provide feedback </w:t>
            </w:r>
          </w:p>
        </w:tc>
      </w:tr>
      <w:tr w:rsidR="00FF4BD9" w:rsidRPr="00EC3E91" w14:paraId="07C564DB" w14:textId="77777777" w:rsidTr="00FF4BD9">
        <w:trPr>
          <w:tblHeader/>
        </w:trPr>
        <w:tc>
          <w:tcPr>
            <w:tcW w:w="709" w:type="dxa"/>
          </w:tcPr>
          <w:p w14:paraId="76692D7A" w14:textId="625663EF"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{"citationItems":[{"id":"ITEM-1","itemData":{"ISSN":"1557-2625","abstract":"Background: The Choosing Wisely™ campaign encourages physicians to avoid low-value care. Although widely lauded, no study has examined its impact on clinical decisions made in primary care settings. Methods: We compared clinical decisions made for 5 Choosing Wisely recommendations over two 6-month time periods before and after the campaign launch and an educational intervention to promote it at 3 primary care residency clinics. Results: The rate of recommendations adherence was high (93.2%) at baseline but did significantly increase to 96.5% after the launch. These findings suggest primary care physicians respond to training and publicity in low-value care, though further research is needed. Conclusion: Given that even small decreases of physician test ordering can produce large cost savings, the Choosing Wisely project may help achieve the health care triple aim.","author":[{"dropping-particle":"","family":"Kost","given":"A","non-dropping-particle":"","parse-names":false,"suffix":""},{"dropping-particle":"","family":"Genao","given":"I","non-dropping-particle":"","parse-names":false,"suffix":""},{"dropping-particle":"","family":"Lee","given":"J W","non-dropping-particle":"","parse-names":false,"suffix":""},{"dropping-particle":"","family":"Smith","given":"S R","non-dropping-particle":"","parse-names":false,"suffix":""}],"container-title":"Journal of the American Board of Family Medicine","id":"ITEM-1","issue":"4","issued":{"date-parts":[["2015"]]},"page":"471-474","title":"Clinical decisions made in primary care clinics before and after choosing wisely™","type":"article-journal","volume":"28"},"uris":["http://www.mendeley.com/documents/?uuid=0577d627-2818-4b3d-9592-35aaf3784c8a"]}],"mendeley":{"formattedCitation":"(69)","plainTextFormattedCitation":"(69)","previouslyFormattedCitation":"(69)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(69)</w:t>
            </w:r>
            <w:r w:rsidRPr="00EC3E91">
              <w:rPr>
                <w:rFonts w:cstheme="minorHAnsi"/>
                <w:sz w:val="20"/>
                <w:szCs w:val="20"/>
                <w:lang w:val="en-US"/>
              </w:rPr>
              <w:fldChar w:fldCharType="end"/>
            </w:r>
          </w:p>
        </w:tc>
        <w:tc>
          <w:tcPr>
            <w:tcW w:w="992" w:type="dxa"/>
          </w:tcPr>
          <w:p w14:paraId="3C029BC1" w14:textId="37DFAD5E"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4B1E0D76" w14:textId="0BDD797F"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5AF7333E" w14:textId="5E4AC3FE"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5875C762" w14:textId="42C776F3"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396EF017" w14:textId="6037248B" w:rsidR="00FF4BD9" w:rsidRPr="00EC3E91" w:rsidRDefault="00FF4BD9" w:rsidP="00060412">
            <w:pPr>
              <w:rPr>
                <w:rFonts w:cstheme="minorHAnsi"/>
                <w:sz w:val="20"/>
                <w:szCs w:val="20"/>
                <w:lang w:val="en-US"/>
              </w:rPr>
            </w:pPr>
            <w:r w:rsidRPr="00EC3E91">
              <w:rPr>
                <w:rFonts w:cstheme="minorHAnsi"/>
                <w:sz w:val="20"/>
                <w:szCs w:val="20"/>
                <w:lang w:val="en-US"/>
              </w:rPr>
              <w:t>Antibiotics, Imaging</w:t>
            </w:r>
          </w:p>
        </w:tc>
        <w:tc>
          <w:tcPr>
            <w:tcW w:w="2126" w:type="dxa"/>
          </w:tcPr>
          <w:p w14:paraId="6FFD7500" w14:textId="46810E15"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use of antibiotics for sinusitis and papanicolaou tests, dual-energy X-ray absorptiometry (DEXA), and </w:t>
            </w:r>
            <w:r w:rsidR="00C82CA9" w:rsidRPr="00EC3E91">
              <w:rPr>
                <w:rFonts w:cstheme="minorHAnsi"/>
                <w:sz w:val="20"/>
                <w:szCs w:val="20"/>
                <w:lang w:val="en-US"/>
              </w:rPr>
              <w:t>electro cardio</w:t>
            </w:r>
            <w:r w:rsidRPr="00EC3E91">
              <w:rPr>
                <w:rFonts w:cstheme="minorHAnsi"/>
                <w:sz w:val="20"/>
                <w:szCs w:val="20"/>
                <w:lang w:val="en-US"/>
              </w:rPr>
              <w:t>-graphic (ECG) screening, testing.</w:t>
            </w:r>
          </w:p>
        </w:tc>
        <w:tc>
          <w:tcPr>
            <w:tcW w:w="3969" w:type="dxa"/>
          </w:tcPr>
          <w:p w14:paraId="697E6840" w14:textId="5547BABC" w:rsidR="00FF4BD9" w:rsidRPr="00EC3E91" w:rsidRDefault="00FF4BD9" w:rsidP="00FA2205">
            <w:pPr>
              <w:rPr>
                <w:rFonts w:cstheme="minorHAnsi"/>
                <w:sz w:val="20"/>
                <w:szCs w:val="20"/>
                <w:lang w:val="en-US"/>
              </w:rPr>
            </w:pPr>
            <w:r w:rsidRPr="00EC3E91">
              <w:rPr>
                <w:rFonts w:cstheme="minorHAnsi"/>
                <w:sz w:val="20"/>
                <w:szCs w:val="20"/>
                <w:lang w:val="en-US"/>
              </w:rPr>
              <w:t>Choosing wisely</w:t>
            </w:r>
          </w:p>
        </w:tc>
        <w:tc>
          <w:tcPr>
            <w:tcW w:w="2551" w:type="dxa"/>
          </w:tcPr>
          <w:p w14:paraId="317244C7" w14:textId="0F6CB5A1" w:rsidR="00FF4BD9" w:rsidRPr="00EC3E91" w:rsidRDefault="00FF4BD9" w:rsidP="00060412">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6EAAE62B" w14:textId="77777777" w:rsidTr="00FF4BD9">
        <w:trPr>
          <w:tblHeader/>
        </w:trPr>
        <w:tc>
          <w:tcPr>
            <w:tcW w:w="709" w:type="dxa"/>
          </w:tcPr>
          <w:p w14:paraId="3ABAE1E0" w14:textId="1CB01437"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A computerized physician order entry (CPOE) system provides opportunity for real-time alerts to prescribers. Winthrop University Hospital began using CPOE in 2009. OBJECTIVE: We sought to improve prescribing among older hospitalized patients by adding alerts to the CPOE system for potentially inappropriate medications. METHODS: In January 2011, informational alerts were integrated into the CPOE system for selected high-risk medications: diphenhydramine, metoclopramide, and all antipsychotics. We evaluated the effect of these alerts on prescribing frequency by comparing the number of prescriptions during the second quarters of 2010 (\"pre-alert\") with the second quarters of 2011 through 2013 (\"post-alert\"). Prescribing patterns were evaluated through a pharmacy database of medication orders. Frequency of prescribing was adjusted for total discharges. A comparison was made to ages 18-64 years, and comparing \"as needed\" vs standing orders. RESULTS: In the 65 years of age and older group, there were significant reductions in prescription rates pre-alert vs post-alert for diphenhydramine (p &lt; 0.001) and metoclopramide (p &lt; 0.001). There was no decrease in prescription rates for antipsychotics in older patients (p = 0.80). In the younger comparison group, no decreases in prescription rates for those drugs were observed. Our analysis is based on numbers of written prescriptions and not actual doses administered; therefore, no conclusions concerning the effect of these alerts on communication or documentation of risk/benefits of these medications can be ascertained. CONCLUSION: The data suggest that prescribing rates for drugs with the least efficacy and potential for harm and with alternative agents (i.e., diphenhydramine and metoclopramide) can be modified by CPOE alerts for older patients.","author":[{"dropping-particle":"","family":"Lester","given":"P E","non-dropping-particle":"","parse-names":false,"suffix":""},{"dropping-particle":"","family":"Rios-Rojas","given":"L","non-dropping-particle":"","parse-names":false,"suffix":""},{"dropping-particle":"","family":"Islam","given":"S","non-dropping-particle":"","parse-names":false,"suffix":""},{"dropping-particle":"","family":"Fazzari","given":"M J","non-dropping-particle":"","parse-names":false,"suffix":""},{"dropping-particle":"","family":"Gomolin","given":"I H","non-dropping-particle":"","parse-names":false,"suffix":""}],"container-title":"Drugs &amp; Aging","id":"ITEM-1","issue":"3","issued":{"date-parts":[["2015"]]},"page":"227-233","title":"Impact of computerized physician order entry alerts on prescribing in older patients","type":"article-journal","volume":"32"},"uris":["http://www.mendeley.com/documents/?uuid=ffda128c-b138-4352-b8db-b560fba18ef8"]}],"mendeley":{"formattedCitation":"(70)","plainTextFormattedCitation":"(70)","previouslyFormattedCitation":"(70)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(70)</w:t>
            </w:r>
            <w:r w:rsidRPr="00EC3E91">
              <w:rPr>
                <w:rFonts w:cstheme="minorHAnsi"/>
                <w:sz w:val="20"/>
                <w:szCs w:val="20"/>
                <w:lang w:val="en-US"/>
              </w:rPr>
              <w:fldChar w:fldCharType="end"/>
            </w:r>
          </w:p>
        </w:tc>
        <w:tc>
          <w:tcPr>
            <w:tcW w:w="992" w:type="dxa"/>
          </w:tcPr>
          <w:p w14:paraId="2E7830AF" w14:textId="03B1AAF8"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53F0690A" w14:textId="12D822E9"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48FA78B4" w14:textId="181A9E12"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4BF56396" w14:textId="7B244734"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FFA554D" w14:textId="65F9682B" w:rsidR="00FF4BD9" w:rsidRPr="00EC3E91" w:rsidRDefault="00FF4BD9" w:rsidP="00060412">
            <w:pPr>
              <w:rPr>
                <w:rFonts w:cstheme="minorHAnsi"/>
                <w:sz w:val="20"/>
                <w:szCs w:val="20"/>
                <w:lang w:val="en-US"/>
              </w:rPr>
            </w:pPr>
            <w:r w:rsidRPr="00EC3E91">
              <w:rPr>
                <w:rFonts w:cstheme="minorHAnsi"/>
                <w:sz w:val="20"/>
                <w:szCs w:val="20"/>
                <w:lang w:val="en-US"/>
              </w:rPr>
              <w:t>PIM elderly</w:t>
            </w:r>
          </w:p>
        </w:tc>
        <w:tc>
          <w:tcPr>
            <w:tcW w:w="2126" w:type="dxa"/>
          </w:tcPr>
          <w:p w14:paraId="61A71C59" w14:textId="62788506"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 (</w:t>
            </w:r>
            <w:r w:rsidR="00C82CA9" w:rsidRPr="00EC3E91">
              <w:rPr>
                <w:rFonts w:cstheme="minorHAnsi"/>
                <w:sz w:val="20"/>
                <w:szCs w:val="20"/>
                <w:lang w:val="en-US"/>
              </w:rPr>
              <w:t>diphenhydramine</w:t>
            </w:r>
            <w:r w:rsidRPr="00EC3E91">
              <w:rPr>
                <w:rFonts w:cstheme="minorHAnsi"/>
                <w:sz w:val="20"/>
                <w:szCs w:val="20"/>
                <w:lang w:val="en-US"/>
              </w:rPr>
              <w:t>, metoclopramide) and inappropriate use of antipsychotics</w:t>
            </w:r>
          </w:p>
        </w:tc>
        <w:tc>
          <w:tcPr>
            <w:tcW w:w="3969" w:type="dxa"/>
          </w:tcPr>
          <w:p w14:paraId="62F77712" w14:textId="410736CC" w:rsidR="00FF4BD9" w:rsidRPr="00EC3E91" w:rsidRDefault="00FF4BD9" w:rsidP="00FA2205">
            <w:pPr>
              <w:rPr>
                <w:rFonts w:cstheme="minorHAnsi"/>
                <w:sz w:val="20"/>
                <w:szCs w:val="20"/>
                <w:lang w:val="en-US"/>
              </w:rPr>
            </w:pPr>
            <w:r w:rsidRPr="00EC3E91">
              <w:rPr>
                <w:rFonts w:cstheme="minorHAnsi"/>
                <w:sz w:val="20"/>
                <w:szCs w:val="20"/>
                <w:lang w:val="en-US"/>
              </w:rPr>
              <w:t xml:space="preserve">Beers Criteria </w:t>
            </w:r>
          </w:p>
        </w:tc>
        <w:tc>
          <w:tcPr>
            <w:tcW w:w="2551" w:type="dxa"/>
          </w:tcPr>
          <w:p w14:paraId="2818727A" w14:textId="3C337188" w:rsidR="00FF4BD9" w:rsidRPr="00EC3E91" w:rsidRDefault="00FF4BD9" w:rsidP="00060412">
            <w:pPr>
              <w:rPr>
                <w:rFonts w:cstheme="minorHAnsi"/>
                <w:sz w:val="20"/>
                <w:szCs w:val="20"/>
                <w:lang w:val="en-US"/>
              </w:rPr>
            </w:pPr>
            <w:r w:rsidRPr="00EC3E91">
              <w:rPr>
                <w:rFonts w:cstheme="minorHAnsi"/>
                <w:sz w:val="20"/>
                <w:szCs w:val="20"/>
                <w:lang w:val="en-US"/>
              </w:rPr>
              <w:t xml:space="preserve">Remind clinicians </w:t>
            </w:r>
          </w:p>
          <w:p w14:paraId="4A9FC73A" w14:textId="322F6E17" w:rsidR="00FF4BD9" w:rsidRPr="00EC3E91" w:rsidRDefault="00FF4BD9" w:rsidP="00060412">
            <w:pPr>
              <w:rPr>
                <w:rFonts w:cstheme="minorHAnsi"/>
                <w:sz w:val="20"/>
                <w:szCs w:val="20"/>
                <w:lang w:val="en-US"/>
              </w:rPr>
            </w:pPr>
          </w:p>
        </w:tc>
      </w:tr>
      <w:tr w:rsidR="00FF4BD9" w:rsidRPr="00E119DD" w14:paraId="0C8C4DD4" w14:textId="77777777" w:rsidTr="00FF4BD9">
        <w:trPr>
          <w:tblHeader/>
        </w:trPr>
        <w:tc>
          <w:tcPr>
            <w:tcW w:w="709" w:type="dxa"/>
          </w:tcPr>
          <w:p w14:paraId="2D4CE141" w14:textId="558A4CA6"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Inappropriate treatment of non-malaria fevers with artemisinin-based combination therapies (ACTs) is a growing concern, particularly in light of emerging artemisinin resistance, but it is a behavior that has proven difficult to change. Pay for performance (P4P) programs have generated interest as a mechanism to improve health service delivery and accountability in resource-constrained health systems. However, there has been little experimental evidence to establish the effectiveness of P4P in developing countries. We tested a P4P strategy that emphasized parasitological diagnosis and appropriate treatment of suspected malaria, in particular reduction of unnecessary consumption of ACTs. Methods: A random sample of 18 health centers was selected and received a refresher workshop on malaria case management. Pre-intervention baseline data was collected from August to September 2012. Facilities were subsequently randomized to either the comparison (n=9) or intervention arm (n=9). Between October 2012 and November 2013, facilities in the intervention arm received quarterly incentive payments based on seven performance indicators. Incentives were for use by facilities rather than as payments to individual providers. All non-pregnant patients older than 1year of age who presented to a participating facility and received either a malaria test or artemether-lumefantrine (AL) were eligible to be included in the analysis. Our primary outcome was prescription of AL to patients with a negative malaria diagnostic test (n=11,953). Our secondary outcomes were prescription of AL to patients with laboratory-confirmed malaria (n=2,993) and prescription of AL to patients without a malaria diagnostic test (analyzed at the cluster level, n=178 facility-months). Results: In the final quarter of the intervention period, the proportion of malaria-negative patients in the intervention arm who received AL was lower than in the comparison arm (7.3% versus 10.9%). The improvement from baseline to quarter 4 in the intervention arm was nearly three times that of the comparison arm (ratio of adjusted odds ratios for baseline to quarter 4=0.36, 95% CI: 0.24-0.57). The rate of prescription of AL to patients without a test was five times lower in the intervention arm (adjusted incidence rate ratio=0.18, 95% CI: 0.07-0.48). Prescription of AL to patients with confirmed infection was not significantly different between the groups over the study period. Conclusions: Facility-base…","author":[{"dropping-particle":"","family":"Menya","given":"D","non-dropping-particle":"","parse-names":false,"suffix":""},{"dropping-particle":"","family":"Platt","given":"A","non-dropping-particle":"","parse-names":false,"suffix":""},{"dropping-particle":"","family":"Manji","given":"I","non-dropping-particle":"","parse-names":false,"suffix":""},{"dropping-particle":"","family":"Sang","given":"E","non-dropping-particle":"","parse-names":false,"suffix":""},{"dropping-particle":"","family":"Wafula","given":"R","non-dropping-particle":"","parse-names":false,"suffix":""},{"dropping-particle":"","family":"Ren","given":"J","non-dropping-particle":"","parse-names":false,"suffix":""},{"dropping-particle":"","family":"Cheruiyot","given":"O","non-dropping-particle":"","parse-names":false,"suffix":""},{"dropping-particle":"","family":"Armstrong","given":"J","non-dropping-particle":"","parse-names":false,"suffix":""},{"dropping-particle":"","family":"Neelon","given":"B","non-dropping-particle":"","parse-names":false,"suffix":""},{"dropping-particle":"","family":"O'Meara","given":"W P","non-dropping-particle":"","parse-names":false,"suffix":""}],"container-title":"BMC Medicine","id":"ITEM-1","issue":"1","issued":{"date-parts":[["2015"]]},"title":"Using pay for performance incentives (P4P) to improve management of suspected malaria fevers in rural Kenya: A cluster randomized controlled trial","type":"article-journal","volume":"13"},"uris":["http://www.mendeley.com/documents/?uuid=df60d165-ec8c-4ec1-986c-9a87b08439cc"]}],"mendeley":{"formattedCitation":"(71)","plainTextFormattedCitation":"(71)","previouslyFormattedCitation":"(71)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(71)</w:t>
            </w:r>
            <w:r w:rsidRPr="00EC3E91">
              <w:rPr>
                <w:rFonts w:cstheme="minorHAnsi"/>
                <w:sz w:val="20"/>
                <w:szCs w:val="20"/>
                <w:lang w:val="en-US"/>
              </w:rPr>
              <w:fldChar w:fldCharType="end"/>
            </w:r>
          </w:p>
        </w:tc>
        <w:tc>
          <w:tcPr>
            <w:tcW w:w="992" w:type="dxa"/>
          </w:tcPr>
          <w:p w14:paraId="796A4829" w14:textId="0E0045B1" w:rsidR="00FF4BD9" w:rsidRPr="00EC3E91" w:rsidRDefault="00FF4BD9" w:rsidP="00060412">
            <w:pPr>
              <w:rPr>
                <w:rFonts w:cstheme="minorHAnsi"/>
                <w:sz w:val="20"/>
                <w:szCs w:val="20"/>
                <w:lang w:val="en-US"/>
              </w:rPr>
            </w:pPr>
            <w:r w:rsidRPr="00EC3E91">
              <w:rPr>
                <w:rFonts w:cstheme="minorHAnsi"/>
                <w:sz w:val="20"/>
                <w:szCs w:val="20"/>
                <w:lang w:val="en-US"/>
              </w:rPr>
              <w:t xml:space="preserve">Kenya </w:t>
            </w:r>
          </w:p>
        </w:tc>
        <w:tc>
          <w:tcPr>
            <w:tcW w:w="993" w:type="dxa"/>
          </w:tcPr>
          <w:p w14:paraId="7D5F4D05" w14:textId="6EB411EF"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4C1AAA08" w14:textId="198D3EC2" w:rsidR="00FF4BD9" w:rsidRPr="00EC3E91" w:rsidRDefault="00FF4BD9" w:rsidP="00060412">
            <w:pPr>
              <w:rPr>
                <w:rFonts w:cstheme="minorHAnsi"/>
                <w:sz w:val="20"/>
                <w:szCs w:val="20"/>
                <w:lang w:val="en-US"/>
              </w:rPr>
            </w:pPr>
            <w:r w:rsidRPr="00EC3E91">
              <w:rPr>
                <w:rFonts w:cstheme="minorHAnsi"/>
                <w:sz w:val="20"/>
                <w:szCs w:val="20"/>
                <w:lang w:val="en-US"/>
              </w:rPr>
              <w:t>Quant RCT</w:t>
            </w:r>
          </w:p>
        </w:tc>
        <w:tc>
          <w:tcPr>
            <w:tcW w:w="851" w:type="dxa"/>
          </w:tcPr>
          <w:p w14:paraId="35F9E06E" w14:textId="38F2DE4B"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4E23A88A" w14:textId="7DD6C35E" w:rsidR="00FF4BD9" w:rsidRPr="00EC3E91" w:rsidRDefault="00FF4BD9" w:rsidP="00060412">
            <w:pPr>
              <w:rPr>
                <w:rFonts w:cstheme="minorHAnsi"/>
                <w:sz w:val="20"/>
                <w:szCs w:val="20"/>
                <w:lang w:val="en-US"/>
              </w:rPr>
            </w:pPr>
            <w:r w:rsidRPr="00EC3E91">
              <w:rPr>
                <w:rFonts w:cstheme="minorHAnsi"/>
                <w:sz w:val="20"/>
                <w:szCs w:val="20"/>
                <w:lang w:val="en-US"/>
              </w:rPr>
              <w:t xml:space="preserve">Antimalarials </w:t>
            </w:r>
          </w:p>
        </w:tc>
        <w:tc>
          <w:tcPr>
            <w:tcW w:w="2126" w:type="dxa"/>
          </w:tcPr>
          <w:p w14:paraId="49058209" w14:textId="145B0CBA" w:rsidR="00FF4BD9" w:rsidRPr="00EC3E91" w:rsidRDefault="00C82CA9" w:rsidP="00060412">
            <w:pPr>
              <w:rPr>
                <w:rFonts w:cstheme="minorHAnsi"/>
                <w:sz w:val="20"/>
                <w:szCs w:val="20"/>
                <w:lang w:val="en-US"/>
              </w:rPr>
            </w:pPr>
            <w:r w:rsidRPr="00EC3E91">
              <w:rPr>
                <w:rFonts w:cstheme="minorHAnsi"/>
                <w:sz w:val="20"/>
                <w:szCs w:val="20"/>
                <w:lang w:val="en-US"/>
              </w:rPr>
              <w:t>Over prescription</w:t>
            </w:r>
            <w:r w:rsidR="00FF4BD9" w:rsidRPr="00EC3E91">
              <w:rPr>
                <w:rFonts w:cstheme="minorHAnsi"/>
                <w:sz w:val="20"/>
                <w:szCs w:val="20"/>
                <w:lang w:val="en-US"/>
              </w:rPr>
              <w:t xml:space="preserve"> of antimalarials </w:t>
            </w:r>
          </w:p>
        </w:tc>
        <w:tc>
          <w:tcPr>
            <w:tcW w:w="3969" w:type="dxa"/>
          </w:tcPr>
          <w:p w14:paraId="735A6D2E" w14:textId="1BD81BAA" w:rsidR="00FF4BD9" w:rsidRPr="00EC3E91" w:rsidRDefault="00FF4BD9" w:rsidP="00FA2205">
            <w:pPr>
              <w:rPr>
                <w:rFonts w:cstheme="minorHAnsi"/>
                <w:sz w:val="20"/>
                <w:szCs w:val="20"/>
                <w:lang w:val="en-US"/>
              </w:rPr>
            </w:pPr>
            <w:r w:rsidRPr="00EC3E91">
              <w:rPr>
                <w:rFonts w:cstheme="minorHAnsi"/>
                <w:sz w:val="20"/>
                <w:szCs w:val="20"/>
                <w:lang w:val="en-US"/>
              </w:rPr>
              <w:t xml:space="preserve">Guidelines for the treatment of malaria. World Health Organization (WHO). </w:t>
            </w:r>
          </w:p>
        </w:tc>
        <w:tc>
          <w:tcPr>
            <w:tcW w:w="2551" w:type="dxa"/>
          </w:tcPr>
          <w:p w14:paraId="6F1B7CB6" w14:textId="7D293B98" w:rsidR="00FF4BD9" w:rsidRPr="00EC3E91" w:rsidRDefault="00FF4BD9" w:rsidP="00060412">
            <w:pPr>
              <w:rPr>
                <w:rFonts w:cstheme="minorHAnsi"/>
                <w:sz w:val="20"/>
                <w:szCs w:val="20"/>
                <w:lang w:val="en-US"/>
              </w:rPr>
            </w:pPr>
            <w:r w:rsidRPr="00EC3E91">
              <w:rPr>
                <w:rFonts w:cstheme="minorHAnsi"/>
                <w:sz w:val="20"/>
                <w:szCs w:val="20"/>
                <w:lang w:val="en-US"/>
              </w:rPr>
              <w:t xml:space="preserve">Alter incentive/allowance structures </w:t>
            </w:r>
          </w:p>
        </w:tc>
      </w:tr>
      <w:tr w:rsidR="00FF4BD9" w:rsidRPr="00E119DD" w14:paraId="45507D30" w14:textId="77777777" w:rsidTr="00FF4BD9">
        <w:trPr>
          <w:tblHeader/>
        </w:trPr>
        <w:tc>
          <w:tcPr>
            <w:tcW w:w="709" w:type="dxa"/>
          </w:tcPr>
          <w:p w14:paraId="7D926D4B" w14:textId="034D9968"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{"citationItems":[{"id":"ITEM-1","itemData":{"ISSN":"2047-9956","abstract":"Objectives: To determine the prevalence of potentially inappropriate prescribing in our long-term care institutions with limited experience of pharmacists' interventions. To apply preventative measures, based on pharmacists' recommendations, to obtain better outcomes for our patients. Methods: Patients were aged &gt;75 years. The study consisted of a retrospective assessment of the prescription of these drugs (July-December 2010: 600 patients), an educational and informative programme to physicians (2011), followed by application of pharmacists' recommendations (March-November 2012: 1048 patients), based on Beers criteria. Results: In the retrospective period, at least one potentially inappropriate drug was prescribed for 19% of patients. Patients receiving temporary care for long-term disease (temporary long-term care) and continuing long-term care (LTC) were prescribed a higher proportion of potentially inappropriate drugs (46.5% and 36.0%, respectively). During the intervention period inappropriate drug prescription dropped to 14.5%. Physicians 'acceptance of the recommendations made by pharmacists' was 45.5%. Acceptance was lower in temporary LTC and subacute care. Fourteen different potentially inappropriate drugs were prescribed in both periods. Amiodarone and hydroxyzine are among the drugs which are more difficult to change. Conclusions: Revision of treatments by pharmacists and their subsequent recommendations to physicians improves the quality of treatments. Physicians are now more aware of the importance of pharmacists' interventions and a new stage of wider interventions and recommendations has begun. An algorithm has been established that standardises pharmacist interventions and leads to continuing improvement.","author":[{"dropping-particle":"","family":"Mestres","given":"C","non-dropping-particle":"","parse-names":false,"suffix":""},{"dropping-particle":"","family":"Agustí","given":"A","non-dropping-particle":"","parse-names":false,"suffix":""},{"dropping-particle":"","family":"Puerta","given":"L","non-dropping-particle":"","parse-names":false,"suffix":""},{"dropping-particle":"","family":"Barba","given":"M","non-dropping-particle":"","parse-names":false,"suffix":""}],"container-title":"European Journal of Hospital Pharmacy","id":"ITEM-1","issue":"4","issued":{"date-parts":[["2015"]]},"note":"Cited By :4\nExport Date: 14 October 2018\nCorrespondence Address: Mestres, C.; Department of Pharmacy, Grup Mutuam, Mare de Deu de la Salut, 49, Spain; email: conxita.mestres@mutuam.com\nReferences: Kaur, S., Mitchell, G., Vitetta, L., Interventions that can reduce inappropriate prescribing in the elderly (2009) Drugs Aging, 26, pp. 1013-1028; Hanlon, J.T., Linbland, C.I., Gray, S.L., Can clinical pharmacy services have a positive impact in community-based older adults? (2004) Am J Geriatr Pharmacother, 2, pp. 3-13; Hanlon, J.T., Schmader, K.E., Samsa, G.P., A method for assessing drug therapy appropriateness (1992) J Clin Epidemiol, 45, pp. 1045-1051; Shekelle, P.G., MacLean, C.H., Morton, S.C., Acove quality indicators (2001) Ann Intern Med, 135, pp. 653-667; Beers, M., Explicit criteria for determining potentially inappropriate medication use by the elderly: An update (1997) Arch Intern Med, 157, pp. 1531-1536; American geriatrics society updated beers criteria for potentially inappropriate medication use in older adults (2012) JAGS, , http://www.americangeriatrics.org/files/documents/beers/2012BeersCriteria_JAGS.pdf, The American Geriatrics Society 2012 Beers Criteria Update Expert Panel (accessed 7 Aug 2014); Spinewine, A., Fialova, D., Byrne, S., The role of the pharmacists in optimizing pharmacotherapy in older patients (2012) Drug Aging, 29, pp. 495-510; King, M.A., Roberts, M.S., The influence of the pharmaceutical benefits scheme (PBS) on inappropriate prescribing in Australian nursing homes (2007) Pharm World Sci, 29, pp. 39-42; Zhan, C., Sangl, J., Bierman, A.S., Potentially inappropriate medication use in the community-dwelling elderly: Findings from the 1996 medical expediture panel survey (2001) JAMA, 286, pp. 2823-2829; Fialova, D., Topinkova, E., Gambassi, G., Potentially inappropriate medication use among elderly home care patients in Europe (2005) JAMA, 293, pp. 1348-1358; O'Sullivan, D.P., O'Mahony, D., Parsons, C., A prevalence study of potentially inappropriate prescribing in irish long-term care residents (2013) Drugs Aging, 30, pp. 39-49; Hon-Chi, L., Huang, K., Shen, W., Use of antiarrhythmic drugs in elderly patients (2011) J Geriatr Cardiol, 8, pp. 184-194; Dneer, V.H., Van Hemel, N.M., Is antiarrhythmic treatment in the elderly different? A review of the specific changes (2011) Drugs Aging, 28, pp. 617-633","page":"198-201","title":"Prescription of potentially inappropriate drugs for geriatric patients in long-term care: Improvement through pharmacist's intervention","type":"article-journal","volume":"22"},"uris":["http://www.mendeley.com/documents/?uuid=4714f869-ac4c-4225-9f00-ea676c280c53"]}],"mendeley":{"formattedCitation":"(72)","plainTextFormattedCitation":"(72)","previouslyFormattedCitation":"(72)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(72)</w:t>
            </w:r>
            <w:r w:rsidRPr="00EC3E91">
              <w:rPr>
                <w:rFonts w:cstheme="minorHAnsi"/>
                <w:sz w:val="20"/>
                <w:szCs w:val="20"/>
                <w:lang w:val="en-US"/>
              </w:rPr>
              <w:fldChar w:fldCharType="end"/>
            </w:r>
          </w:p>
        </w:tc>
        <w:tc>
          <w:tcPr>
            <w:tcW w:w="992" w:type="dxa"/>
          </w:tcPr>
          <w:p w14:paraId="7577C7AF" w14:textId="4454C774" w:rsidR="00FF4BD9" w:rsidRPr="00EC3E91" w:rsidRDefault="00FF4BD9" w:rsidP="00060412">
            <w:pPr>
              <w:rPr>
                <w:rFonts w:cstheme="minorHAnsi"/>
                <w:sz w:val="20"/>
                <w:szCs w:val="20"/>
                <w:lang w:val="en-US"/>
              </w:rPr>
            </w:pPr>
            <w:r w:rsidRPr="00EC3E91">
              <w:rPr>
                <w:rFonts w:cstheme="minorHAnsi"/>
                <w:sz w:val="20"/>
                <w:szCs w:val="20"/>
                <w:lang w:val="en-US"/>
              </w:rPr>
              <w:t>Spain</w:t>
            </w:r>
          </w:p>
        </w:tc>
        <w:tc>
          <w:tcPr>
            <w:tcW w:w="993" w:type="dxa"/>
          </w:tcPr>
          <w:p w14:paraId="0F348514" w14:textId="12D98A57"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6CE21785" w14:textId="33FE133B"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38AD3F8E" w14:textId="473263CD"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696BF656" w14:textId="03A0743E"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6DD63395" w14:textId="5B0B37FB" w:rsidR="00FF4BD9" w:rsidRPr="00EC3E91" w:rsidRDefault="00FF4BD9" w:rsidP="00060412">
            <w:pPr>
              <w:rPr>
                <w:rFonts w:cstheme="minorHAnsi"/>
                <w:sz w:val="20"/>
                <w:szCs w:val="20"/>
                <w:lang w:val="en-US"/>
              </w:rPr>
            </w:pPr>
            <w:r w:rsidRPr="00EC3E91">
              <w:rPr>
                <w:rFonts w:cstheme="minorHAnsi"/>
                <w:sz w:val="20"/>
                <w:szCs w:val="20"/>
                <w:lang w:val="en-US"/>
              </w:rPr>
              <w:t xml:space="preserve">Potentially inappropriate medication </w:t>
            </w:r>
          </w:p>
        </w:tc>
        <w:tc>
          <w:tcPr>
            <w:tcW w:w="3969" w:type="dxa"/>
          </w:tcPr>
          <w:p w14:paraId="4D85BC03" w14:textId="311BB183" w:rsidR="00FF4BD9" w:rsidRPr="00EC3E91" w:rsidRDefault="00FF4BD9" w:rsidP="00FA2205">
            <w:pPr>
              <w:rPr>
                <w:rFonts w:cstheme="minorHAnsi"/>
                <w:sz w:val="20"/>
                <w:szCs w:val="20"/>
                <w:lang w:val="en-US"/>
              </w:rPr>
            </w:pPr>
            <w:r w:rsidRPr="00EC3E91">
              <w:rPr>
                <w:rFonts w:cstheme="minorHAnsi"/>
                <w:sz w:val="20"/>
                <w:szCs w:val="20"/>
                <w:lang w:val="en-US"/>
              </w:rPr>
              <w:t xml:space="preserve">Beers Criteria </w:t>
            </w:r>
          </w:p>
        </w:tc>
        <w:tc>
          <w:tcPr>
            <w:tcW w:w="2551" w:type="dxa"/>
          </w:tcPr>
          <w:p w14:paraId="1E8A93B0" w14:textId="1D82DB5B" w:rsidR="00FF4BD9" w:rsidRPr="00EC3E91" w:rsidRDefault="00FF4BD9" w:rsidP="00060412">
            <w:pPr>
              <w:rPr>
                <w:rFonts w:cstheme="minorHAnsi"/>
                <w:sz w:val="20"/>
                <w:szCs w:val="20"/>
                <w:lang w:val="en-US"/>
              </w:rPr>
            </w:pPr>
            <w:r w:rsidRPr="00EC3E91">
              <w:rPr>
                <w:rFonts w:cstheme="minorHAnsi"/>
                <w:sz w:val="20"/>
                <w:szCs w:val="20"/>
                <w:lang w:val="en-US"/>
              </w:rPr>
              <w:t>develop educational materials, make training dynamic, develop and organize quality monitoring system</w:t>
            </w:r>
          </w:p>
        </w:tc>
      </w:tr>
      <w:tr w:rsidR="00FF4BD9" w:rsidRPr="00E119DD" w14:paraId="54D4D2E9" w14:textId="77777777" w:rsidTr="00FF4BD9">
        <w:trPr>
          <w:tblHeader/>
        </w:trPr>
        <w:tc>
          <w:tcPr>
            <w:tcW w:w="709" w:type="dxa"/>
          </w:tcPr>
          <w:p w14:paraId="3BDF6165" w14:textId="7A7A8DF0"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{"citationItems":[{"id":"ITEM-1","itemData":{"ISSN":"1049-2089","abstract":"INTRODUCTION: Overdiagnosis of malaria cases hampers malaria control in developing countries. Due to lack of diagnostics, febrile cases are treated using signs and symptoms. We evaluated an intervention to minimize overdiagnosis in Ijara sub-County, Kenya. METHODS: Health workers were trained on case management and rapid diagnostic tests provided in late 2011. Malaria outpatient morbidity was assessed a year before and after the intervention coupled with data on rapid diagnostic tests consumption. RESULTS: The number of diagnosed malaria cases decreased from 15,615 in 2011 to 1,892 in 2012. This represents an 87.8% decrease. There was a significant difference in number of diagnosed monthly malaria cases during the pre-intervention (Mean = 1,299, SD = 550.4) and post-intervention periods (Mean = 158, SD = 160.9, t (12.9) = 6.9, p =.000, two tailed). Mean monthly consumption of rapid diagnostic tests was 730, with 5.2% testing positive. CONCLUSION: This intervention reduced overdiagnosis and overtreatment of malaria cases.","author":[{"dropping-particle":"","family":"Njuguna","given":"J","non-dropping-particle":"","parse-names":false,"suffix":""},{"dropping-particle":"","family":"Menge","given":"D","non-dropping-particle":"","parse-names":false,"suffix":""},{"dropping-particle":"","family":"Nzou","given":"J","non-dropping-particle":"","parse-names":false,"suffix":""},{"dropping-particle":"","family":"Chege","given":"C","non-dropping-particle":"","parse-names":false,"suffix":""}],"container-title":"Journal of Health Care for the Poor &amp; Underserved","id":"ITEM-1","issue":"3","issued":{"date-parts":[["2015"]]},"page":"802-810","title":"Impact of an Intervention to Minimize Overdiagnosis of Malaria Cases in a Low Risk Kenyan sub-County","type":"article-journal","volume":"26"},"uris":["http://www.mendeley.com/documents/?uuid=277e1059-f576-44d7-9320-f708181d433d"]}],"mendeley":{"formattedCitation":"(73)","plainTextFormattedCitation":"(73)","previouslyFormattedCitation":"(73)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(73)</w:t>
            </w:r>
            <w:r w:rsidRPr="00EC3E91">
              <w:rPr>
                <w:rFonts w:cstheme="minorHAnsi"/>
                <w:sz w:val="20"/>
                <w:szCs w:val="20"/>
                <w:lang w:val="en-US"/>
              </w:rPr>
              <w:fldChar w:fldCharType="end"/>
            </w:r>
          </w:p>
        </w:tc>
        <w:tc>
          <w:tcPr>
            <w:tcW w:w="992" w:type="dxa"/>
          </w:tcPr>
          <w:p w14:paraId="03A83A0F" w14:textId="4ED6A970" w:rsidR="00FF4BD9" w:rsidRPr="00EC3E91" w:rsidRDefault="00FF4BD9" w:rsidP="00060412">
            <w:pPr>
              <w:rPr>
                <w:rFonts w:cstheme="minorHAnsi"/>
                <w:sz w:val="20"/>
                <w:szCs w:val="20"/>
                <w:lang w:val="en-US"/>
              </w:rPr>
            </w:pPr>
            <w:r w:rsidRPr="00EC3E91">
              <w:rPr>
                <w:rFonts w:cstheme="minorHAnsi"/>
                <w:sz w:val="20"/>
                <w:szCs w:val="20"/>
                <w:lang w:val="en-US"/>
              </w:rPr>
              <w:t xml:space="preserve">Kenya </w:t>
            </w:r>
          </w:p>
        </w:tc>
        <w:tc>
          <w:tcPr>
            <w:tcW w:w="993" w:type="dxa"/>
          </w:tcPr>
          <w:p w14:paraId="67C8072C" w14:textId="7B127665" w:rsidR="00FF4BD9" w:rsidRPr="00EC3E91" w:rsidRDefault="00FF4BD9" w:rsidP="00060412">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7FC805E3" w14:textId="63096972"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3796CCAD" w14:textId="009ED06C"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2F36E263" w14:textId="4BF60723" w:rsidR="00FF4BD9" w:rsidRPr="00EC3E91" w:rsidRDefault="00FF4BD9" w:rsidP="00060412">
            <w:pPr>
              <w:rPr>
                <w:rFonts w:cstheme="minorHAnsi"/>
                <w:sz w:val="20"/>
                <w:szCs w:val="20"/>
                <w:lang w:val="en-US"/>
              </w:rPr>
            </w:pPr>
            <w:r w:rsidRPr="00EC3E91">
              <w:rPr>
                <w:rFonts w:cstheme="minorHAnsi"/>
                <w:sz w:val="20"/>
                <w:szCs w:val="20"/>
                <w:lang w:val="en-US"/>
              </w:rPr>
              <w:t>Antimalarials</w:t>
            </w:r>
          </w:p>
        </w:tc>
        <w:tc>
          <w:tcPr>
            <w:tcW w:w="2126" w:type="dxa"/>
          </w:tcPr>
          <w:p w14:paraId="6797CC20" w14:textId="5CA791E7" w:rsidR="00FF4BD9" w:rsidRPr="00EC3E91" w:rsidRDefault="00D544E0" w:rsidP="00060412">
            <w:pPr>
              <w:rPr>
                <w:rFonts w:cstheme="minorHAnsi"/>
                <w:sz w:val="20"/>
                <w:szCs w:val="20"/>
                <w:lang w:val="en-US"/>
              </w:rPr>
            </w:pPr>
            <w:r w:rsidRPr="00EC3E91">
              <w:rPr>
                <w:rFonts w:cstheme="minorHAnsi"/>
                <w:sz w:val="20"/>
                <w:szCs w:val="20"/>
                <w:lang w:val="en-US"/>
              </w:rPr>
              <w:t>Over prescription</w:t>
            </w:r>
            <w:r w:rsidR="00FF4BD9" w:rsidRPr="00EC3E91">
              <w:rPr>
                <w:rFonts w:cstheme="minorHAnsi"/>
                <w:sz w:val="20"/>
                <w:szCs w:val="20"/>
                <w:lang w:val="en-US"/>
              </w:rPr>
              <w:t xml:space="preserve"> of antimalarials </w:t>
            </w:r>
          </w:p>
        </w:tc>
        <w:tc>
          <w:tcPr>
            <w:tcW w:w="3969" w:type="dxa"/>
          </w:tcPr>
          <w:p w14:paraId="457ED180" w14:textId="1F80A85A" w:rsidR="00FF4BD9" w:rsidRPr="00EC3E91" w:rsidRDefault="00FF4BD9" w:rsidP="00060412">
            <w:pPr>
              <w:rPr>
                <w:rFonts w:cstheme="minorHAnsi"/>
                <w:sz w:val="20"/>
                <w:szCs w:val="20"/>
                <w:lang w:val="en-US"/>
              </w:rPr>
            </w:pPr>
            <w:r w:rsidRPr="00EC3E91">
              <w:rPr>
                <w:rFonts w:cstheme="minorHAnsi"/>
                <w:sz w:val="20"/>
                <w:szCs w:val="20"/>
                <w:lang w:val="en-US"/>
              </w:rPr>
              <w:t>Guidelines for the treatment of malaria. World Health Organization (WHO).</w:t>
            </w:r>
          </w:p>
        </w:tc>
        <w:tc>
          <w:tcPr>
            <w:tcW w:w="2551" w:type="dxa"/>
          </w:tcPr>
          <w:p w14:paraId="2D37E83A" w14:textId="3AD3DD4E" w:rsidR="00FF4BD9" w:rsidRPr="00EC3E91" w:rsidRDefault="00FF4BD9" w:rsidP="00060412">
            <w:pPr>
              <w:rPr>
                <w:rFonts w:cstheme="minorHAnsi"/>
                <w:sz w:val="20"/>
                <w:szCs w:val="20"/>
                <w:lang w:val="en-US"/>
              </w:rPr>
            </w:pPr>
            <w:r w:rsidRPr="00EC3E91">
              <w:rPr>
                <w:rFonts w:cstheme="minorHAnsi"/>
                <w:sz w:val="20"/>
                <w:szCs w:val="20"/>
                <w:lang w:val="en-US"/>
              </w:rPr>
              <w:t>make training dynamic, change physical structure and equipment</w:t>
            </w:r>
          </w:p>
        </w:tc>
      </w:tr>
      <w:tr w:rsidR="00FF4BD9" w:rsidRPr="00E119DD" w14:paraId="7578F766" w14:textId="77777777" w:rsidTr="00FF4BD9">
        <w:trPr>
          <w:tblHeader/>
        </w:trPr>
        <w:tc>
          <w:tcPr>
            <w:tcW w:w="709" w:type="dxa"/>
          </w:tcPr>
          <w:p w14:paraId="03AC0652" w14:textId="1BFE718E"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{"citationItems":[{"id":"ITEM-1","itemData":{"ISSN":"2036-2579","abstract":"Aims: Non-steroidal anti-inflammatory drugs (NSAIDs) and COX-2 inhibitors (COXIBs) may be associated with increased cardiovascular (CV) risk and mortality in CV patients. After the release of Note 66 by Agenzia Italiana del Farmaco (AIFA) to reduce inappropriate prescribing of NSAIDs and COXIBs, the CARDIOPAIN initiative was started in Italy to include such recommendations into the hospital discharge letter of patients with high CV risk. We evaluated the effect of the CARDIOPAIN initiative on the prescription of analgesic drugs by general practitioners (GPs). Methods: An online interview was proposed to 414 Italian GPs. A descriptive statistic was reported. Results: Three groups of GPs were identified: those who found the Note 66 recommendations in most hospital discharge letters (the “MOST” group), those who found them in only few cases (the “FEW” group) and those who never found the recommendations (the “NO” group). In patients with high CV risk, the percentage of GPs prescribing NSAIDs as first choice in pain management was lower in the MOST group compared with the “FEW” or “NO” groups. GPs belonging to the “MOST” group prescribed NSAIDs in 28% of cases, compared with 50% of cases observed for GPs belonging to the “NO” group. The more severe the pathology the fewer the NSAID prescriptions, in favor of opioid agents administration. Conclusions: Our results suggest that the inclusion of the AIFA Note 66 in the discharge documents of high CV risk patients may have contributed to lower inappropriate NSAID prescriptions in Italian GPs. Presumably, a wider diffusion of the CARDIOPAIN initiative might improve the prescription appropriateness of analgesic drugs.","author":[{"dropping-particle":"","family":"Orl,","given":"","non-dropping-particle":"","parse-names":false,"suffix":""},{"dropping-particle":"","family":"O","given":"V","non-dropping-particle":"","parse-names":false,"suffix":""},{"dropping-particle":"","family":"Menditto","given":"E","non-dropping-particle":"","parse-names":false,"suffix":""},{"dropping-particle":"","family":"Guerriero","given":"F","non-dropping-particle":"","parse-names":false,"suffix":""},{"dropping-particle":"","family":"Rotunno","given":"R","non-dropping-particle":"","parse-names":false,"suffix":""}],"container-title":"Heart International","id":"ITEM-1","issue":"1","issued":{"date-parts":[["2015"]]},"page":"e20-e24","title":"Effectiveness of the cardiopain initiative in reducing inappropriate nsaid prescriptions in pain therapy among high cardiovascular risk patients: An informative italian survey","type":"article-journal","volume":"10"},"uris":["http://www.mendeley.com/documents/?uuid=9bec5df6-58b8-4221-b468-a5c4a12863d4"]}],"mendeley":{"formattedCitation":"(74)","plainTextFormattedCitation":"(74)","previouslyFormattedCitation":"(74)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(74)</w:t>
            </w:r>
            <w:r w:rsidRPr="00EC3E91">
              <w:rPr>
                <w:rFonts w:cstheme="minorHAnsi"/>
                <w:sz w:val="20"/>
                <w:szCs w:val="20"/>
                <w:lang w:val="en-US"/>
              </w:rPr>
              <w:fldChar w:fldCharType="end"/>
            </w:r>
          </w:p>
        </w:tc>
        <w:tc>
          <w:tcPr>
            <w:tcW w:w="992" w:type="dxa"/>
          </w:tcPr>
          <w:p w14:paraId="797B2AD0" w14:textId="5A09049F" w:rsidR="00FF4BD9" w:rsidRPr="00EC3E91" w:rsidRDefault="00FF4BD9" w:rsidP="00060412">
            <w:pPr>
              <w:rPr>
                <w:rFonts w:cstheme="minorHAnsi"/>
                <w:sz w:val="20"/>
                <w:szCs w:val="20"/>
                <w:lang w:val="en-US"/>
              </w:rPr>
            </w:pPr>
            <w:r w:rsidRPr="00EC3E91">
              <w:rPr>
                <w:rFonts w:cstheme="minorHAnsi"/>
                <w:sz w:val="20"/>
                <w:szCs w:val="20"/>
                <w:lang w:val="en-US"/>
              </w:rPr>
              <w:t xml:space="preserve">Italy </w:t>
            </w:r>
          </w:p>
        </w:tc>
        <w:tc>
          <w:tcPr>
            <w:tcW w:w="993" w:type="dxa"/>
          </w:tcPr>
          <w:p w14:paraId="05266228" w14:textId="707CA7FD"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2C903DEC" w14:textId="44E42F4C"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34A452B6" w14:textId="13B9D2DE"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1F05F100" w14:textId="423A5336" w:rsidR="00FF4BD9" w:rsidRPr="00EC3E91" w:rsidRDefault="00FF4BD9" w:rsidP="00060412">
            <w:pPr>
              <w:rPr>
                <w:rFonts w:cstheme="minorHAnsi"/>
                <w:sz w:val="20"/>
                <w:szCs w:val="20"/>
                <w:lang w:val="en-US"/>
              </w:rPr>
            </w:pPr>
            <w:r w:rsidRPr="00EC3E91">
              <w:rPr>
                <w:rFonts w:cstheme="minorHAnsi"/>
                <w:sz w:val="20"/>
                <w:szCs w:val="20"/>
                <w:lang w:val="en-US"/>
              </w:rPr>
              <w:t>NSAIDs and COXIB</w:t>
            </w:r>
          </w:p>
        </w:tc>
        <w:tc>
          <w:tcPr>
            <w:tcW w:w="2126" w:type="dxa"/>
          </w:tcPr>
          <w:p w14:paraId="41FB6185" w14:textId="2C95EDCE"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use of NSAIDs and </w:t>
            </w:r>
            <w:r w:rsidR="00D544E0" w:rsidRPr="00EC3E91">
              <w:rPr>
                <w:rFonts w:cstheme="minorHAnsi"/>
                <w:sz w:val="20"/>
                <w:szCs w:val="20"/>
                <w:lang w:val="en-US"/>
              </w:rPr>
              <w:t>COXIB by</w:t>
            </w:r>
            <w:r w:rsidRPr="00EC3E91">
              <w:rPr>
                <w:rFonts w:cstheme="minorHAnsi"/>
                <w:sz w:val="20"/>
                <w:szCs w:val="20"/>
                <w:lang w:val="en-US"/>
              </w:rPr>
              <w:t xml:space="preserve"> GPs in patients with HF, CAD, CVD and PAD after hospital discharge.</w:t>
            </w:r>
          </w:p>
        </w:tc>
        <w:tc>
          <w:tcPr>
            <w:tcW w:w="3969" w:type="dxa"/>
          </w:tcPr>
          <w:p w14:paraId="63D900F5" w14:textId="7CE1365B" w:rsidR="00FF4BD9" w:rsidRPr="00EC3E91" w:rsidRDefault="00FF4BD9" w:rsidP="00EC1E35">
            <w:pPr>
              <w:rPr>
                <w:rFonts w:cstheme="minorHAnsi"/>
                <w:sz w:val="20"/>
                <w:szCs w:val="20"/>
                <w:lang w:val="en-US"/>
              </w:rPr>
            </w:pPr>
            <w:r w:rsidRPr="00EC3E91">
              <w:rPr>
                <w:rFonts w:cstheme="minorHAnsi"/>
                <w:sz w:val="20"/>
                <w:szCs w:val="20"/>
                <w:lang w:val="en-US"/>
              </w:rPr>
              <w:t>A 2012 amendment of a previous Italian legislative decree (first published in 2009), the Note 66 (17), released by the Italian drug regulatory authority Agenzia Italiana del Farmaco (AIFA)</w:t>
            </w:r>
          </w:p>
        </w:tc>
        <w:tc>
          <w:tcPr>
            <w:tcW w:w="2551" w:type="dxa"/>
          </w:tcPr>
          <w:p w14:paraId="1706A873" w14:textId="134A7E10" w:rsidR="00FF4BD9" w:rsidRPr="00EC3E91" w:rsidRDefault="00FF4BD9" w:rsidP="00060412">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3239A8F0" w14:textId="77777777" w:rsidTr="00FF4BD9">
        <w:trPr>
          <w:tblHeader/>
        </w:trPr>
        <w:tc>
          <w:tcPr>
            <w:tcW w:w="709" w:type="dxa"/>
          </w:tcPr>
          <w:p w14:paraId="3CB80A07" w14:textId="1D38F869"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{"citationItems":[{"id":"ITEM-1","itemData":{"ISSN":"0018-7208","abstract":"OBJECTIVE: The aim of this study was to compare the effectiveness of two types of real-time decision support, an interrupting pop-up alert and a noninterrupting dynamically annotated visualization (DAV), in reducing clinically inappropriate diagnostic imaging orders. BACKGROUND: Alerts in electronic health record software are frequently disregarded due to high false-alarm rates, interruptions, and uncertainty about what triggered the alert. In other settings, providing visualizations and improving understandability of the guidance has been shown to improve overall decision making. METHOD: Using a between-subject design, we examined the effect of two forms of decision support, alerts and DAVs, on reducing the proportion of inappropriate diagnostic imaging orders for 11 patients in a simulated environment. Nine attending and 11 resident physicians with experience using an electronic health record were randomly assigned to the form of decision support. Secondary measures were self-reported understandability, algorithm transparency, and clinical relevance. RESULTS: Fewer inappropriate diagnostic imaging tests were ordered with DAVs than with alerts (18% vs. 34%, p &lt; .001). The DAV was rated higher for all three secondary measures (p &lt; .001) for all participants. CONCLUSION: DAVs were more effective than alerts in reducing inappropriate imaging orders and were preferred for all patient scenarios, especially scenarios where guidance was ambiguous or based on inaccurate information. APPLICATION: Creating visualizations that are permanently displayed and vary in the strength of their guidance can mitigate the risk of system performance degradation due to incomplete or incorrect data. This interaction paradigm may be applicable for other settings with high false-alarm rates or where there is a need to reduce interruptions during decision making.","author":[{"dropping-particle":"","family":"Rayo","given":"M F","non-dropping-particle":"","parse-names":false,"suffix":""},{"dropping-particle":"","family":"Kowalczyk","given":"N","non-dropping-particle":"","parse-names":false,"suffix":""},{"dropping-particle":"","family":"Liston","given":"B W","non-dropping-particle":"","parse-names":false,"suffix":""},{"dropping-particle":"","family":"S","given":"","non-dropping-particle":"","parse-names":false,"suffix":""},{"dropping-particle":"","family":"Ers","given":"E B","non-dropping-particle":"","parse-names":false,"suffix":""},{"dropping-particle":"","family":"White","given":"S","non-dropping-particle":"","parse-names":false,"suffix":""},{"dropping-particle":"","family":"Patterson","given":"E S","non-dropping-particle":"","parse-names":false,"suffix":""}],"container-title":"Human Factors","id":"ITEM-1","issue":"6","issued":{"date-parts":[["2015"]]},"page":"1002-1014","title":"Comparing the Effectiveness of Alerts and Dynamically Annotated Visualizations (DAVs) in Improving Clinical Decision Making","type":"article-journal","volume":"57"},"uris":["http://www.mendeley.com/documents/?uuid=5f30e41f-a7dd-4f1c-ab8f-2f5306fe430d"]}],"mendeley":{"formattedCitation":"(75)","plainTextFormattedCitation":"(75)","previouslyFormattedCitation":"(75)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(75)</w:t>
            </w:r>
            <w:r w:rsidRPr="00EC3E91">
              <w:rPr>
                <w:rFonts w:cstheme="minorHAnsi"/>
                <w:sz w:val="20"/>
                <w:szCs w:val="20"/>
                <w:lang w:val="en-US"/>
              </w:rPr>
              <w:fldChar w:fldCharType="end"/>
            </w:r>
          </w:p>
        </w:tc>
        <w:tc>
          <w:tcPr>
            <w:tcW w:w="992" w:type="dxa"/>
          </w:tcPr>
          <w:p w14:paraId="7B657FB0" w14:textId="16ED571B"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7FE07846" w14:textId="212E573B"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617300A6" w14:textId="438B8ECC" w:rsidR="00FF4BD9" w:rsidRPr="00EC3E91" w:rsidRDefault="00FF4BD9" w:rsidP="00060412">
            <w:pPr>
              <w:rPr>
                <w:rFonts w:cstheme="minorHAnsi"/>
                <w:sz w:val="20"/>
                <w:szCs w:val="20"/>
                <w:lang w:val="en-US"/>
              </w:rPr>
            </w:pPr>
            <w:r w:rsidRPr="00EC3E91">
              <w:rPr>
                <w:rFonts w:cstheme="minorHAnsi"/>
                <w:sz w:val="20"/>
                <w:szCs w:val="20"/>
                <w:lang w:val="en-US"/>
              </w:rPr>
              <w:t xml:space="preserve">Mixed Between subject experiment </w:t>
            </w:r>
          </w:p>
        </w:tc>
        <w:tc>
          <w:tcPr>
            <w:tcW w:w="851" w:type="dxa"/>
          </w:tcPr>
          <w:p w14:paraId="13ECDDD0" w14:textId="187B45EA"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0106318F" w14:textId="1CCBF04D" w:rsidR="00FF4BD9" w:rsidRPr="00EC3E91" w:rsidRDefault="00226199" w:rsidP="00060412">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65A7E8E1" w14:textId="59D5A14C" w:rsidR="00FF4BD9" w:rsidRPr="00EC3E91" w:rsidRDefault="00FF4BD9" w:rsidP="00060412">
            <w:pPr>
              <w:rPr>
                <w:rFonts w:cstheme="minorHAnsi"/>
                <w:sz w:val="20"/>
                <w:szCs w:val="20"/>
                <w:lang w:val="en-US"/>
              </w:rPr>
            </w:pPr>
            <w:r w:rsidRPr="00EC3E91">
              <w:rPr>
                <w:rFonts w:cstheme="minorHAnsi"/>
                <w:sz w:val="20"/>
                <w:szCs w:val="20"/>
                <w:lang w:val="en-US"/>
              </w:rPr>
              <w:t xml:space="preserve">Inappropriate diagnostic imaging orders </w:t>
            </w:r>
          </w:p>
        </w:tc>
        <w:tc>
          <w:tcPr>
            <w:tcW w:w="3969" w:type="dxa"/>
          </w:tcPr>
          <w:p w14:paraId="759DE6D6" w14:textId="3695E057" w:rsidR="00FF4BD9" w:rsidRPr="00EC3E91" w:rsidRDefault="00FF4BD9" w:rsidP="00913392">
            <w:pPr>
              <w:rPr>
                <w:rFonts w:cstheme="minorHAnsi"/>
                <w:sz w:val="20"/>
                <w:szCs w:val="20"/>
                <w:lang w:val="en-US"/>
              </w:rPr>
            </w:pPr>
            <w:r w:rsidRPr="00EC3E91">
              <w:rPr>
                <w:rFonts w:cstheme="minorHAnsi"/>
                <w:sz w:val="20"/>
                <w:szCs w:val="20"/>
                <w:lang w:val="en-US"/>
              </w:rPr>
              <w:t xml:space="preserve">ACR appropriateness criteria.   </w:t>
            </w:r>
          </w:p>
        </w:tc>
        <w:tc>
          <w:tcPr>
            <w:tcW w:w="2551" w:type="dxa"/>
          </w:tcPr>
          <w:p w14:paraId="45ADA903" w14:textId="06C5B915" w:rsidR="00FF4BD9" w:rsidRPr="00EC3E91" w:rsidRDefault="00FF4BD9" w:rsidP="00060412">
            <w:pPr>
              <w:rPr>
                <w:rFonts w:cstheme="minorHAnsi"/>
                <w:sz w:val="20"/>
                <w:szCs w:val="20"/>
                <w:lang w:val="en-US"/>
              </w:rPr>
            </w:pPr>
            <w:r w:rsidRPr="00EC3E91">
              <w:rPr>
                <w:rFonts w:cstheme="minorHAnsi"/>
                <w:sz w:val="20"/>
                <w:szCs w:val="20"/>
                <w:lang w:val="en-US"/>
              </w:rPr>
              <w:t>remind clinicians, use advisory boards and workgroups</w:t>
            </w:r>
          </w:p>
        </w:tc>
      </w:tr>
      <w:tr w:rsidR="00FF4BD9" w:rsidRPr="00E119DD" w14:paraId="217076DE" w14:textId="77777777" w:rsidTr="00FF4BD9">
        <w:trPr>
          <w:tblHeader/>
        </w:trPr>
        <w:tc>
          <w:tcPr>
            <w:tcW w:w="709" w:type="dxa"/>
          </w:tcPr>
          <w:p w14:paraId="6912D8A6" w14:textId="64CA2EC2"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AND OBJECTIVES: Clinicians commonly use continuous pulse oximetry (CPOx) for hospitalized children with respiratory illnesses. The Choosing Wisely initiative recommended discontinuing CPOx for children on room air. We used quality improvement methods to reduce time on CPOx in patients with wheezing. METHODS: Our project took place on 1 unit of a children's hospital. We developed consensus-based criteria for CPOx discontinuation. Interventions included education, a checklist used during nurse handoff, and discontinuation criteria incorporated into order sets. We collected data on a second unit where we did not actively intervene to assess for secular trends and negative consequences of shorter monitoring. We followed time until medically ready, ICU transfers, hospital revisits, and medical emergency team calls on both units. We tracked the impact of interventions by using run charts and statistical process control charts. RESULTS: Median time per week on CPOx after meeting goals decreased from 10.7 hours to 3.1 hours on the intervention unit. Median time per week on CPOx on the control unit decreased from 11.5 hours to 6.9 hours. There was no decrease in time until medically ready on either unit. The percentage of patients needing transfer, revisit, or medical emergency team call was similar on both units. CONCLUSIONS: With interventions focused on clarity and awareness of CPOx discontinuation criteria, we decreased time on CPOx; however, we saw no impact on time until medically ready. We expect that other centers could use analogous methods to standardize and reduce oxygen monitoring to meet Choosing Wisely recommendations.","author":[{"dropping-particle":"","family":"Schondelmeyer","given":"A C","non-dropping-particle":"","parse-names":false,"suffix":""},{"dropping-particle":"","family":"Simmons","given":"J M","non-dropping-particle":"","parse-names":false,"suffix":""},{"dropping-particle":"","family":"Statile","given":"A M","non-dropping-particle":"","parse-names":false,"suffix":""},{"dropping-particle":"","family":"Hofacer","given":"K E","non-dropping-particle":"","parse-names":false,"suffix":""},{"dropping-particle":"","family":"Smith","given":"R","non-dropping-particle":"","parse-names":false,"suffix":""},{"dropping-particle":"","family":"Prine","given":"L","non-dropping-particle":"","parse-names":false,"suffix":""},{"dropping-particle":"","family":"Brady","given":"P W","non-dropping-particle":"","parse-names":false,"suffix":""}],"container-title":"Pediatrics","id":"ITEM-1","issue":"4","issued":{"date-parts":[["2015"]]},"page":"e1044-51","title":"Using quality improvement to reduce continuous pulse oximetry use in children with wheezing","type":"article-journal","volume":"135"},"uris":["http://www.mendeley.com/documents/?uuid=172afc8d-7fe7-490b-b693-c12442727e9d"]}],"mendeley":{"formattedCitation":"(76)","plainTextFormattedCitation":"(76)","previouslyFormattedCitation":"(76)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(76)</w:t>
            </w:r>
            <w:r w:rsidRPr="00EC3E91">
              <w:rPr>
                <w:rFonts w:cstheme="minorHAnsi"/>
                <w:sz w:val="20"/>
                <w:szCs w:val="20"/>
                <w:lang w:val="en-US"/>
              </w:rPr>
              <w:fldChar w:fldCharType="end"/>
            </w:r>
          </w:p>
        </w:tc>
        <w:tc>
          <w:tcPr>
            <w:tcW w:w="992" w:type="dxa"/>
          </w:tcPr>
          <w:p w14:paraId="130E53DD" w14:textId="535CA150"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27B40CEB" w14:textId="2193BEC8"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41605FB9" w14:textId="0E8B4996"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29451992" w14:textId="0CE6EEB2"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5AF2B5F4" w14:textId="788D939B" w:rsidR="00FF4BD9" w:rsidRPr="00EC3E91" w:rsidRDefault="00FF4BD9" w:rsidP="00060412">
            <w:pPr>
              <w:rPr>
                <w:rFonts w:cstheme="minorHAnsi"/>
                <w:sz w:val="20"/>
                <w:szCs w:val="20"/>
                <w:lang w:val="en-US"/>
              </w:rPr>
            </w:pPr>
            <w:r w:rsidRPr="00EC3E91">
              <w:rPr>
                <w:rFonts w:cstheme="minorHAnsi"/>
                <w:sz w:val="20"/>
                <w:szCs w:val="20"/>
                <w:lang w:val="en-US"/>
              </w:rPr>
              <w:t xml:space="preserve">Pulse </w:t>
            </w:r>
            <w:r w:rsidR="00D544E0" w:rsidRPr="00EC3E91">
              <w:rPr>
                <w:rFonts w:cstheme="minorHAnsi"/>
                <w:sz w:val="20"/>
                <w:szCs w:val="20"/>
                <w:lang w:val="en-US"/>
              </w:rPr>
              <w:t>oximetry</w:t>
            </w:r>
          </w:p>
        </w:tc>
        <w:tc>
          <w:tcPr>
            <w:tcW w:w="2126" w:type="dxa"/>
          </w:tcPr>
          <w:p w14:paraId="2C3B2929" w14:textId="053D6003" w:rsidR="00FF4BD9" w:rsidRPr="00EC3E91" w:rsidRDefault="00FF4BD9" w:rsidP="00060412">
            <w:pPr>
              <w:rPr>
                <w:rFonts w:cstheme="minorHAnsi"/>
                <w:sz w:val="20"/>
                <w:szCs w:val="20"/>
                <w:lang w:val="en-US"/>
              </w:rPr>
            </w:pPr>
            <w:r w:rsidRPr="00EC3E91">
              <w:rPr>
                <w:rFonts w:cstheme="minorHAnsi"/>
                <w:sz w:val="20"/>
                <w:szCs w:val="20"/>
                <w:lang w:val="en-US"/>
              </w:rPr>
              <w:t xml:space="preserve">Overuse of CPOx for children on room air </w:t>
            </w:r>
          </w:p>
        </w:tc>
        <w:tc>
          <w:tcPr>
            <w:tcW w:w="3969" w:type="dxa"/>
          </w:tcPr>
          <w:p w14:paraId="74A6C35D" w14:textId="4945A3DA" w:rsidR="00FF4BD9" w:rsidRPr="00EC3E91" w:rsidRDefault="00FF4BD9" w:rsidP="00913392">
            <w:pPr>
              <w:rPr>
                <w:rFonts w:cstheme="minorHAnsi"/>
                <w:sz w:val="20"/>
                <w:szCs w:val="20"/>
                <w:lang w:val="en-US"/>
              </w:rPr>
            </w:pPr>
            <w:r w:rsidRPr="00EC3E91">
              <w:rPr>
                <w:rFonts w:cstheme="minorHAnsi"/>
                <w:sz w:val="20"/>
                <w:szCs w:val="20"/>
                <w:lang w:val="en-US"/>
              </w:rPr>
              <w:t>Clinical practice guideline: the diagnosis, management, and prevention of bronchiolitis. From Pediatrics (Journal).</w:t>
            </w:r>
          </w:p>
        </w:tc>
        <w:tc>
          <w:tcPr>
            <w:tcW w:w="2551" w:type="dxa"/>
          </w:tcPr>
          <w:p w14:paraId="3CA1ACD7" w14:textId="44C576A4" w:rsidR="00FF4BD9" w:rsidRPr="00EC3E91" w:rsidRDefault="00FF4BD9" w:rsidP="00DA5097">
            <w:pPr>
              <w:rPr>
                <w:rFonts w:cstheme="minorHAnsi"/>
                <w:sz w:val="20"/>
                <w:szCs w:val="20"/>
                <w:lang w:val="en-US"/>
              </w:rPr>
            </w:pPr>
            <w:r w:rsidRPr="00EC3E91">
              <w:rPr>
                <w:rFonts w:cstheme="minorHAnsi"/>
                <w:sz w:val="20"/>
                <w:szCs w:val="20"/>
                <w:lang w:val="en-US"/>
              </w:rPr>
              <w:t>Develop educational material, distribute educational materials, remind clinicians, audit and provide feedback, use advisory boards and workgroups, change physical structure or equipment, assess and redesign workflow, tailor strategies</w:t>
            </w:r>
          </w:p>
        </w:tc>
      </w:tr>
      <w:tr w:rsidR="00FF4BD9" w:rsidRPr="00E119DD" w14:paraId="5182D020" w14:textId="77777777" w:rsidTr="00FF4BD9">
        <w:trPr>
          <w:tblHeader/>
        </w:trPr>
        <w:tc>
          <w:tcPr>
            <w:tcW w:w="709" w:type="dxa"/>
          </w:tcPr>
          <w:p w14:paraId="728CF66A" w14:textId="67346DA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{"citationItems":[{"id":"ITEM-1","itemData":{"abstract":"INTRODUCTION: In 2012, the Veterans Health Administration (VHA) implemented guidelines seeking to reduce PSA-based screening for prostate cancer in men aged 75 years and older. OBJECTIVES: To reduce the use of inappropriate PSA-based prostate cancer screening among men aged 75 and over. SETTING: The Veterans Affairs Greater Los Angeles Healthcare System (VA GLA) PROGRAM DESCRIPTION: We developed a highly specific computerized clinical decision support (CCDS) alert to remind providers, at the moment of PSA screening order entry, of the current guidelines and institutional policy. We implemented the tool in a prospective interrupted time series study design over 15 months, and compared the trends in monthly PSA screening rate at baseline to the CCDS on and off periods of the intervention. RESULTS: A total of 30,150 men were at risk, or eligible, for screening, and 2,001 men were screened. The mean monthly screening rate during the 15-month baseline period was 8.3%, and during the 15-month intervention period, was 4.6%. The screening rate declined by 38% during the baseline period and by 40% and 30%, respectively, during the two periods when the CCDS tool was turned on. The screening rate ratios for the baseline and two periods when the CCDS tool was on were 0.97, 0.78, and 0.90, respectively, with a significant difference between baseline and the first CCDS-on period (p&lt;0.0001), and a trend toward a difference between baseline and the second CCDS-on period (p=0.056). CONCLUSION: Implementation of a highly specific CCDS tool alone significantly reduced inappropriate PSA screening in men aged 75 years and older in a reproducible fashion. With this simple intervention, evidence-based guidelines were brought to bear at the point of care, precisely for the patients and providers for whom they were most helpful, resulting in more appropriate use of medical resources.","author":[{"dropping-particle":"","family":"Shelton","given":"J B","non-dropping-particle":"","parse-names":false,"suffix":""},{"dropping-particle":"","family":"Ochotorena","given":"L","non-dropping-particle":"","parse-names":false,"suffix":""},{"dropping-particle":"","family":"Bennett","given":"C","non-dropping-particle":"","parse-names":false,"suffix":""},{"dropping-particle":"","family":"Shekelle","given":"P","non-dropping-particle":"","parse-names":false,"suffix":""},{"dropping-particle":"","family":"Kwan","given":"L","non-dropping-particle":"","parse-names":false,"suffix":""},{"dropping-particle":"","family":"Skolarus","given":"T","non-dropping-particle":"","parse-names":false,"suffix":""},{"dropping-particle":"","family":"Goldzweig","given":"C","non-dropping-particle":"","parse-names":false,"suffix":""}],"container-title":"Journal of General Internal Medicine","id":"ITEM-1","issue":"8","issued":{"date-parts":[["2015"]]},"page":"1133-1139","title":"Reducing PSA-Based Prostate Cancer Screening in Men Aged75 Years and Older with the Use of Highly Specific Computerized Clinical Decision Support","type":"article-journal","volume":"30"},"uris":["http://www.mendeley.com/documents/?uuid=0c3bbd44-5672-4784-836d-be3d587dafdf"]}],"mendeley":{"formattedCitation":"(77)","plainTextFormattedCitation":"(77)","previouslyFormattedCitation":"(77)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(77)</w:t>
            </w:r>
            <w:r w:rsidRPr="00EC3E91">
              <w:rPr>
                <w:rFonts w:cstheme="minorHAnsi"/>
                <w:sz w:val="20"/>
                <w:szCs w:val="20"/>
                <w:lang w:val="en-US"/>
              </w:rPr>
              <w:fldChar w:fldCharType="end"/>
            </w:r>
          </w:p>
        </w:tc>
        <w:tc>
          <w:tcPr>
            <w:tcW w:w="992" w:type="dxa"/>
          </w:tcPr>
          <w:p w14:paraId="24D6438F" w14:textId="3DACABB9"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4AEA92F3" w14:textId="51FCCC2A"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2414517D" w14:textId="7A8A2B6A" w:rsidR="00FF4BD9" w:rsidRPr="00EC3E91" w:rsidRDefault="00FF4BD9" w:rsidP="00060412">
            <w:pPr>
              <w:rPr>
                <w:rFonts w:cstheme="minorHAnsi"/>
                <w:sz w:val="20"/>
                <w:szCs w:val="20"/>
                <w:lang w:val="en-US"/>
              </w:rPr>
            </w:pPr>
            <w:r w:rsidRPr="00EC3E91">
              <w:rPr>
                <w:rFonts w:cstheme="minorHAnsi"/>
                <w:sz w:val="20"/>
                <w:szCs w:val="20"/>
                <w:lang w:val="en-US"/>
              </w:rPr>
              <w:t xml:space="preserve">Quant prospective </w:t>
            </w:r>
            <w:r w:rsidR="00D544E0" w:rsidRPr="00EC3E91">
              <w:rPr>
                <w:rFonts w:cstheme="minorHAnsi"/>
                <w:sz w:val="20"/>
                <w:szCs w:val="20"/>
                <w:lang w:val="en-US"/>
              </w:rPr>
              <w:t>interrupted</w:t>
            </w:r>
            <w:r w:rsidRPr="00EC3E91">
              <w:rPr>
                <w:rFonts w:cstheme="minorHAnsi"/>
                <w:sz w:val="20"/>
                <w:szCs w:val="20"/>
                <w:lang w:val="en-US"/>
              </w:rPr>
              <w:t xml:space="preserve"> time series </w:t>
            </w:r>
          </w:p>
        </w:tc>
        <w:tc>
          <w:tcPr>
            <w:tcW w:w="851" w:type="dxa"/>
          </w:tcPr>
          <w:p w14:paraId="3A8700C0" w14:textId="3B4D2E88"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6834A582" w14:textId="35CF4774" w:rsidR="00FF4BD9" w:rsidRPr="00EC3E91" w:rsidRDefault="00FF4BD9" w:rsidP="00060412">
            <w:pPr>
              <w:rPr>
                <w:rFonts w:cstheme="minorHAnsi"/>
                <w:sz w:val="20"/>
                <w:szCs w:val="20"/>
                <w:lang w:val="en-US"/>
              </w:rPr>
            </w:pPr>
            <w:r w:rsidRPr="00EC3E91">
              <w:rPr>
                <w:rFonts w:cstheme="minorHAnsi"/>
                <w:sz w:val="20"/>
                <w:szCs w:val="20"/>
                <w:lang w:val="en-US"/>
              </w:rPr>
              <w:t>Screening</w:t>
            </w:r>
          </w:p>
        </w:tc>
        <w:tc>
          <w:tcPr>
            <w:tcW w:w="2126" w:type="dxa"/>
          </w:tcPr>
          <w:p w14:paraId="46BE4B4F" w14:textId="71BF244B" w:rsidR="00FF4BD9" w:rsidRPr="00EC3E91" w:rsidRDefault="00FF4BD9" w:rsidP="00060412">
            <w:pPr>
              <w:rPr>
                <w:rFonts w:cstheme="minorHAnsi"/>
                <w:sz w:val="20"/>
                <w:szCs w:val="20"/>
                <w:lang w:val="en-US"/>
              </w:rPr>
            </w:pPr>
            <w:r w:rsidRPr="00EC3E91">
              <w:rPr>
                <w:rFonts w:cstheme="minorHAnsi"/>
                <w:sz w:val="20"/>
                <w:szCs w:val="20"/>
                <w:lang w:val="en-US"/>
              </w:rPr>
              <w:t>PSA-based screening for prostate cancer in men aged 75 years and older.</w:t>
            </w:r>
          </w:p>
        </w:tc>
        <w:tc>
          <w:tcPr>
            <w:tcW w:w="3969" w:type="dxa"/>
          </w:tcPr>
          <w:p w14:paraId="745C12C2" w14:textId="0BA0B28A" w:rsidR="00FF4BD9" w:rsidRPr="00EC3E91" w:rsidRDefault="00FF4BD9" w:rsidP="008B5775">
            <w:pPr>
              <w:rPr>
                <w:rFonts w:cstheme="minorHAnsi"/>
                <w:sz w:val="20"/>
                <w:szCs w:val="20"/>
                <w:lang w:val="en-US"/>
              </w:rPr>
            </w:pPr>
            <w:r w:rsidRPr="00EC3E91">
              <w:rPr>
                <w:rFonts w:cstheme="minorHAnsi"/>
                <w:sz w:val="20"/>
                <w:szCs w:val="20"/>
                <w:lang w:val="en-US"/>
              </w:rPr>
              <w:t xml:space="preserve">NCCN Clinical Practice </w:t>
            </w:r>
            <w:r w:rsidR="00D544E0" w:rsidRPr="00EC3E91">
              <w:rPr>
                <w:rFonts w:cstheme="minorHAnsi"/>
                <w:sz w:val="20"/>
                <w:szCs w:val="20"/>
                <w:lang w:val="en-US"/>
              </w:rPr>
              <w:t>Guidelines</w:t>
            </w:r>
            <w:r w:rsidRPr="00EC3E91">
              <w:rPr>
                <w:rFonts w:cstheme="minorHAnsi"/>
                <w:sz w:val="20"/>
                <w:szCs w:val="20"/>
                <w:lang w:val="en-US"/>
              </w:rPr>
              <w:t xml:space="preserve"> in Oncology: Prostate Cancer Early Detection </w:t>
            </w:r>
          </w:p>
          <w:p w14:paraId="0B489E68" w14:textId="77777777" w:rsidR="00FF4BD9" w:rsidRPr="00EC3E91" w:rsidRDefault="00FF4BD9" w:rsidP="008B5775">
            <w:pPr>
              <w:rPr>
                <w:rFonts w:cstheme="minorHAnsi"/>
                <w:sz w:val="20"/>
                <w:szCs w:val="20"/>
                <w:lang w:val="en-US"/>
              </w:rPr>
            </w:pPr>
          </w:p>
          <w:p w14:paraId="0D5C02CC" w14:textId="6A56E79E" w:rsidR="00FF4BD9" w:rsidRPr="00EC3E91" w:rsidRDefault="00FF4BD9" w:rsidP="00913392">
            <w:pPr>
              <w:rPr>
                <w:rFonts w:cstheme="minorHAnsi"/>
                <w:sz w:val="20"/>
                <w:szCs w:val="20"/>
                <w:lang w:val="en-US"/>
              </w:rPr>
            </w:pPr>
            <w:r w:rsidRPr="00EC3E91">
              <w:rPr>
                <w:rFonts w:cstheme="minorHAnsi"/>
                <w:sz w:val="20"/>
                <w:szCs w:val="20"/>
                <w:lang w:val="en-US"/>
              </w:rPr>
              <w:t>Early detection of prostate cancer guideline. By the American Urological Association.</w:t>
            </w:r>
          </w:p>
        </w:tc>
        <w:tc>
          <w:tcPr>
            <w:tcW w:w="2551" w:type="dxa"/>
          </w:tcPr>
          <w:p w14:paraId="1DE41192" w14:textId="4E9B6AB3" w:rsidR="00FF4BD9" w:rsidRPr="00EC3E91" w:rsidRDefault="00FF4BD9" w:rsidP="00060412">
            <w:pPr>
              <w:rPr>
                <w:rFonts w:cstheme="minorHAnsi"/>
                <w:sz w:val="20"/>
                <w:szCs w:val="20"/>
                <w:lang w:val="en-US"/>
              </w:rPr>
            </w:pPr>
            <w:r w:rsidRPr="00EC3E91">
              <w:rPr>
                <w:rFonts w:cstheme="minorHAnsi"/>
                <w:sz w:val="20"/>
                <w:szCs w:val="20"/>
                <w:lang w:val="en-US"/>
              </w:rPr>
              <w:t>Remind clinicians, use advisory boards and workgroups</w:t>
            </w:r>
          </w:p>
        </w:tc>
      </w:tr>
      <w:tr w:rsidR="00FF4BD9" w:rsidRPr="00E119DD" w14:paraId="077781EB" w14:textId="77777777" w:rsidTr="00FF4BD9">
        <w:trPr>
          <w:tblHeader/>
        </w:trPr>
        <w:tc>
          <w:tcPr>
            <w:tcW w:w="709" w:type="dxa"/>
          </w:tcPr>
          <w:p w14:paraId="22773D69" w14:textId="318AFB2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{"citationItems":[{"id":"ITEM-1","itemData":{"abstract":"OBJECTIVES: To evaluate an intervention for improving antibiotic prophylaxis (AP) guideline compliance to prevent surgical site infections in children. BACKGROUND: Although appropriate AP reduces surgical site infection, and guidelines improve quality of care, changing practice is difficult. To facilitate behavioral change, various barriers need to be addressed. METHODS: A multidisciplinary task force at a pediatric hospital developed an evidence-based AP guideline. Subsequently, the guideline was posted in operating rooms and the online formulary, only recommended antibiotics were available in operating rooms, incoming trainees received orientation, antibiotic verification was included in time-out, computerized alerts were set for inappropriate postoperative prophylaxis, and surgeons received e-mails when guideline was not followed. AP indication and administration were documented for surgical procedures in July 2008 (preintervention), September 2011 (postintervention), and April-May 2013 (follow-up). Compliance was defined as complete--appropriate antibiotic, dose, timing, redosing, and duration when prophylaxis was indicated; partial--appropriate drug and timing when prophylaxis was indicated; and appropriate use--complete compliance when prophylaxis was indicated, no antibiotics when not indicated. Compliance at preintervention and follow-up was compared using chi(2) tests. RESULTS: AP was indicated in 43.9% (187/426) and 62.0% (124/200) of surgical procedures at preintervention and follow-up, respectively. There were significant improvements in appropriate antibiotic use (51.6%-67.0%; P &lt; 0.001), complete (26.2%-53.2%; P &lt; 0.001) and partial compliance (73.3%-88.7%, P = 0.001), correct dosage (77.5%-90.7%; P = 0.003), timing (83.3%-95.8%; P = 0.001), redosing (62.5%-95.8%, P = 0.003), and duration (47.1%-65.3%; P &lt; 0.002). CONCLUSIONS: A multifaceted intervention improved compliance with a pediatric AP guideline.","author":[{"dropping-particle":"","family":"So","given":"J P","non-dropping-particle":"","parse-names":false,"suffix":""},{"dropping-particle":"","family":"Aleem","given":"I S","non-dropping-particle":"","parse-names":false,"suffix":""},{"dropping-particle":"","family":"Tsang","given":"D S","non-dropping-particle":"","parse-names":false,"suffix":""},{"dropping-particle":"","family":"Matlow","given":"A G","non-dropping-particle":"","parse-names":false,"suffix":""},{"dropping-particle":"","family":"Wright","given":"J G","non-dropping-particle":"","parse-names":false,"suffix":""},{"dropping-particle":"","family":"SickKids Surgical Site Infection Task","given":"Force","non-dropping-particle":"","parse-names":false,"suffix":""}],"container-title":"Annals of Surgery","id":"ITEM-1","issue":"2","issued":{"date-parts":[["2015"]]},"page":"403-408","title":"Increasing Compliance With an Antibiotic Prophylaxis Guideline to Prevent Pediatric Surgical Site Infection: Before and After Study","type":"article-journal","volume":"262"},"uris":["http://www.mendeley.com/documents/?uuid=c3b5a03d-8677-4998-954c-b86fb6d14220"]}],"mendeley":{"formattedCitation":"(78)","plainTextFormattedCitation":"(78)","previouslyFormattedCitation":"(78)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(78)</w:t>
            </w:r>
            <w:r w:rsidRPr="00EC3E91">
              <w:rPr>
                <w:rFonts w:cstheme="minorHAnsi"/>
                <w:sz w:val="20"/>
                <w:szCs w:val="20"/>
                <w:lang w:val="en-US"/>
              </w:rPr>
              <w:fldChar w:fldCharType="end"/>
            </w:r>
          </w:p>
        </w:tc>
        <w:tc>
          <w:tcPr>
            <w:tcW w:w="992" w:type="dxa"/>
          </w:tcPr>
          <w:p w14:paraId="537B9A31" w14:textId="6EB9A0EB" w:rsidR="00FF4BD9" w:rsidRPr="00EC3E91" w:rsidRDefault="00FF4BD9" w:rsidP="00060412">
            <w:pPr>
              <w:rPr>
                <w:rFonts w:cstheme="minorHAnsi"/>
                <w:sz w:val="20"/>
                <w:szCs w:val="20"/>
                <w:lang w:val="en-US"/>
              </w:rPr>
            </w:pPr>
            <w:r w:rsidRPr="00EC3E91">
              <w:rPr>
                <w:rFonts w:cstheme="minorHAnsi"/>
                <w:sz w:val="20"/>
                <w:szCs w:val="20"/>
                <w:lang w:val="en-US"/>
              </w:rPr>
              <w:t>Canada</w:t>
            </w:r>
          </w:p>
        </w:tc>
        <w:tc>
          <w:tcPr>
            <w:tcW w:w="993" w:type="dxa"/>
          </w:tcPr>
          <w:p w14:paraId="47D73AB8" w14:textId="4824817E"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26F4746B" w14:textId="4DAC4B7C"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0B2302F8" w14:textId="66A1837A"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9358C41" w14:textId="40353E95"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7652813C" w14:textId="3A680CC8" w:rsidR="00FF4BD9" w:rsidRPr="00EC3E91" w:rsidRDefault="00FF4BD9" w:rsidP="00060412">
            <w:pPr>
              <w:rPr>
                <w:rFonts w:cstheme="minorHAnsi"/>
                <w:sz w:val="20"/>
                <w:szCs w:val="20"/>
                <w:lang w:val="en-US"/>
              </w:rPr>
            </w:pPr>
            <w:r w:rsidRPr="00EC3E91">
              <w:rPr>
                <w:rFonts w:cstheme="minorHAnsi"/>
                <w:sz w:val="20"/>
                <w:szCs w:val="20"/>
                <w:lang w:val="en-US"/>
              </w:rPr>
              <w:t>Antibiotic prophylaxis</w:t>
            </w:r>
          </w:p>
        </w:tc>
        <w:tc>
          <w:tcPr>
            <w:tcW w:w="3969" w:type="dxa"/>
          </w:tcPr>
          <w:p w14:paraId="02783C28" w14:textId="23007B4E" w:rsidR="00FF4BD9" w:rsidRPr="00EC3E91" w:rsidRDefault="00FF4BD9" w:rsidP="00774DE9">
            <w:pPr>
              <w:rPr>
                <w:rFonts w:cstheme="minorHAnsi"/>
                <w:sz w:val="20"/>
                <w:szCs w:val="20"/>
                <w:lang w:val="en-US"/>
              </w:rPr>
            </w:pPr>
            <w:r w:rsidRPr="00EC3E91">
              <w:rPr>
                <w:rFonts w:cstheme="minorHAnsi"/>
                <w:sz w:val="20"/>
                <w:szCs w:val="20"/>
                <w:lang w:val="en-US"/>
              </w:rPr>
              <w:t>Guideline for prevention of surgical</w:t>
            </w:r>
          </w:p>
          <w:p w14:paraId="59A878FC" w14:textId="3150548A" w:rsidR="00FF4BD9" w:rsidRPr="00EC3E91" w:rsidRDefault="00FF4BD9" w:rsidP="00774DE9">
            <w:pPr>
              <w:rPr>
                <w:rFonts w:cstheme="minorHAnsi"/>
                <w:sz w:val="20"/>
                <w:szCs w:val="20"/>
                <w:lang w:val="en-US"/>
              </w:rPr>
            </w:pPr>
            <w:r w:rsidRPr="00EC3E91">
              <w:rPr>
                <w:rFonts w:cstheme="minorHAnsi"/>
                <w:sz w:val="20"/>
                <w:szCs w:val="20"/>
                <w:lang w:val="en-US"/>
              </w:rPr>
              <w:t>site infection, by the Centers for Disease Control and Prevention (CDC)</w:t>
            </w:r>
          </w:p>
          <w:p w14:paraId="5308BC5A" w14:textId="77777777" w:rsidR="00FF4BD9" w:rsidRPr="00EC3E91" w:rsidRDefault="00FF4BD9" w:rsidP="00774DE9">
            <w:pPr>
              <w:rPr>
                <w:rFonts w:cstheme="minorHAnsi"/>
                <w:sz w:val="20"/>
                <w:szCs w:val="20"/>
                <w:lang w:val="en-US"/>
              </w:rPr>
            </w:pPr>
          </w:p>
          <w:p w14:paraId="1F26F260" w14:textId="3A231B41" w:rsidR="00FF4BD9" w:rsidRPr="00EC3E91" w:rsidRDefault="00FF4BD9" w:rsidP="00913392">
            <w:pPr>
              <w:rPr>
                <w:rFonts w:cstheme="minorHAnsi"/>
                <w:sz w:val="20"/>
                <w:szCs w:val="20"/>
                <w:lang w:val="en-US"/>
              </w:rPr>
            </w:pPr>
            <w:r w:rsidRPr="00EC3E91">
              <w:rPr>
                <w:rFonts w:cstheme="minorHAnsi"/>
                <w:sz w:val="20"/>
                <w:szCs w:val="20"/>
                <w:lang w:val="en-US"/>
              </w:rPr>
              <w:t xml:space="preserve">Antimicrobial prophylaxis for surgery: an advisory statement from the National Surgical Infection Prevention Project. </w:t>
            </w:r>
          </w:p>
          <w:p w14:paraId="342D1C00" w14:textId="77777777" w:rsidR="00FF4BD9" w:rsidRPr="00EC3E91" w:rsidRDefault="00FF4BD9" w:rsidP="00774DE9">
            <w:pPr>
              <w:rPr>
                <w:rFonts w:cstheme="minorHAnsi"/>
                <w:sz w:val="20"/>
                <w:szCs w:val="20"/>
                <w:lang w:val="en-US"/>
              </w:rPr>
            </w:pPr>
          </w:p>
          <w:p w14:paraId="4197FEA5" w14:textId="6FD97210" w:rsidR="00FF4BD9" w:rsidRPr="00EC3E91" w:rsidRDefault="00FF4BD9" w:rsidP="00774DE9">
            <w:pPr>
              <w:rPr>
                <w:rFonts w:cstheme="minorHAnsi"/>
                <w:sz w:val="20"/>
                <w:szCs w:val="20"/>
                <w:lang w:val="en-US"/>
              </w:rPr>
            </w:pPr>
            <w:r w:rsidRPr="00EC3E91">
              <w:rPr>
                <w:rFonts w:cstheme="minorHAnsi"/>
                <w:sz w:val="20"/>
                <w:szCs w:val="20"/>
                <w:lang w:val="en-US"/>
              </w:rPr>
              <w:t>Quality standard for antimicrobial</w:t>
            </w:r>
          </w:p>
          <w:p w14:paraId="5634E304" w14:textId="3E4A4B2A" w:rsidR="00FF4BD9" w:rsidRPr="00EC3E91" w:rsidRDefault="00FF4BD9" w:rsidP="00774DE9">
            <w:pPr>
              <w:rPr>
                <w:rFonts w:cstheme="minorHAnsi"/>
                <w:sz w:val="20"/>
                <w:szCs w:val="20"/>
                <w:lang w:val="en-US"/>
              </w:rPr>
            </w:pPr>
            <w:r w:rsidRPr="00EC3E91">
              <w:rPr>
                <w:rFonts w:cstheme="minorHAnsi"/>
                <w:sz w:val="20"/>
                <w:szCs w:val="20"/>
                <w:lang w:val="en-US"/>
              </w:rPr>
              <w:t>prophylaxis in surgical procedures. Infectious Diseases Society of America.</w:t>
            </w:r>
          </w:p>
        </w:tc>
        <w:tc>
          <w:tcPr>
            <w:tcW w:w="2551" w:type="dxa"/>
          </w:tcPr>
          <w:p w14:paraId="45F5F2FC" w14:textId="01C83641" w:rsidR="00FF4BD9" w:rsidRPr="00EC3E91" w:rsidRDefault="00FF4BD9" w:rsidP="00060412">
            <w:pPr>
              <w:rPr>
                <w:rFonts w:cstheme="minorHAnsi"/>
                <w:sz w:val="20"/>
                <w:szCs w:val="20"/>
                <w:lang w:val="en-US"/>
              </w:rPr>
            </w:pPr>
            <w:r w:rsidRPr="00EC3E91">
              <w:rPr>
                <w:rFonts w:cstheme="minorHAnsi"/>
                <w:sz w:val="20"/>
                <w:szCs w:val="20"/>
                <w:lang w:val="en-US"/>
              </w:rPr>
              <w:t>develop educational materials, make training dynamic, audit and provide feedback</w:t>
            </w:r>
          </w:p>
        </w:tc>
      </w:tr>
      <w:tr w:rsidR="00FF4BD9" w:rsidRPr="00E119DD" w14:paraId="57654126" w14:textId="77777777" w:rsidTr="00FF4BD9">
        <w:trPr>
          <w:tblHeader/>
        </w:trPr>
        <w:tc>
          <w:tcPr>
            <w:tcW w:w="709" w:type="dxa"/>
          </w:tcPr>
          <w:p w14:paraId="0EBFDC15" w14:textId="6F7F0979"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{"citationItems":[{"id":"ITEM-1","itemData":{"ISSN":"0002-8614","abstract":"Suboptimal medication prescribing for older adults has been described in a number of emergency department (ED) studies. Despite this, few studies have examined ED-targeted interventions aimed at reducing the use of potentially inappropriate medications (PIMs). Enhancing Quality of Prescribing Practices for Older Veterans Discharged from the ED (EQUiPPED) is an ongoing multicomponent, interdisciplinary quality improvement initiative in eight Department of Veterans Affairs EDs. The project aims to decrease the use of PIMs, as identified by the Beers criteria, prescribed to veterans aged 65 and older at the time of ED discharge. Interventions include provider education; informatics-based clinical decision support with electronic medical record-embedded geriatric pharmacy order sets and links to online geriatric content; and individual provider education including academic detailing, audit and feedback, and peer benchmarking. Poisson regression was used to compare the number of PIMs that staff providers prescribed to veterans aged 65 and older discharged from the ED before and after the initiation of the EQUiPPED intervention. Initial data from the first implementation site show that the average monthly proportion of PIMs that staff providers prescribed was 9.4 ± 1.5% before the intervention and 4.6 ± 1.0% after the initiation of EQUiPPED (relative risk = 0.48, 95% confidence interval = 0.40-0.59, P &lt;.001). Preliminary evaluation demonstrated a significant and sustained reduction of ED-prescribed PIMs in older veterans after implementation of EQUiPPED. Longer follow-up and replication at collaborating sites would allow for an assessment of the effect on health outcomes and costs.","author":[{"dropping-particle":"","family":"Stevens","given":"M B","non-dropping-particle":"","parse-names":false,"suffix":""},{"dropping-particle":"","family":"Hastings","given":"S N","non-dropping-particle":"","parse-names":false,"suffix":""},{"dropping-particle":"","family":"Powers","given":"J","non-dropping-particle":"","parse-names":false,"suffix":""},{"dropping-particle":"","family":"V","given":"","non-dropping-particle":"","parse-names":false,"suffix":""},{"dropping-particle":"","family":"Enberg","given":"A E","non-dropping-particle":"","parse-names":false,"suffix":""},{"dropping-particle":"V","family":"Echt","given":"K","non-dropping-particle":"","parse-names":false,"suffix":""},{"dropping-particle":"","family":"Bryan","given":"W E","non-dropping-particle":"","parse-names":false,"suffix":""},{"dropping-particle":"","family":"Peggs","given":"K","non-dropping-particle":"","parse-names":false,"suffix":""},{"dropping-particle":"","family":"Markl","given":"","non-dropping-particle":"","parse-names":false,"suffix":""},{"dropping-particle":"","family":"D.,","given":"A","non-dropping-particle":"","parse-names":false,"suffix":""},{"dropping-particle":"","family":"Hwang","given":"U","non-dropping-particle":"","parse-names":false,"suffix":""},{"dropping-particle":"","family":"Hung","given":"W W","non-dropping-particle":"","parse-names":false,"suffix":""},{"dropping-particle":"","family":"Schmidt","given":"A J","non-dropping-particle":"","parse-names":false,"suffix":""},{"dropping-particle":"","family":"McGwin","given":"G","non-dropping-particle":"","parse-names":false,"suffix":""},{"dropping-particle":"","family":"Ikpe-Ekpo","given":"E","non-dropping-particle":"","parse-names":false,"suffix":""},{"dropping-particle":"","family":"Clevenger","given":"C","non-dropping-particle":"","parse-names":false,"suffix":""},{"dropping-particle":"","family":"Johnson","given":"T M","non-dropping-particle":"","parse-names":false,"suffix":""},{"dropping-particle":"","family":"Vaughan","given":"C P","non-dropping-particle":"","parse-names":false,"suffix":""}],"container-title":"Journal of the American Geriatrics Society","id":"ITEM-1","issue":"5","issued":{"date-parts":[["2015"]]},"page":"1025-1029","title":"Enhancing the quality of prescribing practices for older veterans discharged from the emergency department (EQUiPPED): Preliminary results from enhancing quality of prescribing practices for older veterans discharged from the emergency department, a novel","type":"article-journal","volume":"63"},"uris":["http://www.mendeley.com/documents/?uuid=ea687eff-bd78-443c-abfa-b55716a7db44"]}],"mendeley":{"formattedCitation":"(79)","plainTextFormattedCitation":"(79)","previouslyFormattedCitation":"(79)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(79)</w:t>
            </w:r>
            <w:r w:rsidRPr="00EC3E91">
              <w:rPr>
                <w:rFonts w:cstheme="minorHAnsi"/>
                <w:sz w:val="20"/>
                <w:szCs w:val="20"/>
                <w:lang w:val="en-US"/>
              </w:rPr>
              <w:fldChar w:fldCharType="end"/>
            </w:r>
          </w:p>
        </w:tc>
        <w:tc>
          <w:tcPr>
            <w:tcW w:w="992" w:type="dxa"/>
          </w:tcPr>
          <w:p w14:paraId="716ABE95" w14:textId="4A85B129"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271E59BC" w14:textId="23FE1D90"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526541A9" w14:textId="1E21E73A"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1194CB5C" w14:textId="3DEE00C0"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44A4F88" w14:textId="2CEA0B32"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01D9D659" w14:textId="198E30DA" w:rsidR="00FF4BD9" w:rsidRPr="00EC3E91" w:rsidRDefault="00FF4BD9" w:rsidP="00060412">
            <w:pPr>
              <w:rPr>
                <w:rFonts w:cstheme="minorHAnsi"/>
                <w:sz w:val="20"/>
                <w:szCs w:val="20"/>
                <w:lang w:val="en-US"/>
              </w:rPr>
            </w:pPr>
            <w:r w:rsidRPr="00EC3E91">
              <w:rPr>
                <w:rFonts w:cstheme="minorHAnsi"/>
                <w:sz w:val="20"/>
                <w:szCs w:val="20"/>
                <w:lang w:val="en-US"/>
              </w:rPr>
              <w:t xml:space="preserve">Potentially inappropriate medications </w:t>
            </w:r>
          </w:p>
        </w:tc>
        <w:tc>
          <w:tcPr>
            <w:tcW w:w="3969" w:type="dxa"/>
          </w:tcPr>
          <w:p w14:paraId="1D00C1D1" w14:textId="41F9E321" w:rsidR="00FF4BD9" w:rsidRPr="00EC3E91" w:rsidRDefault="00D544E0" w:rsidP="00913392">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 </w:t>
            </w:r>
          </w:p>
        </w:tc>
        <w:tc>
          <w:tcPr>
            <w:tcW w:w="2551" w:type="dxa"/>
          </w:tcPr>
          <w:p w14:paraId="41182C38" w14:textId="73D6209D" w:rsidR="00FF4BD9" w:rsidRPr="00EC3E91" w:rsidRDefault="00FF4BD9" w:rsidP="00060412">
            <w:pPr>
              <w:rPr>
                <w:rFonts w:cstheme="minorHAnsi"/>
                <w:sz w:val="20"/>
                <w:szCs w:val="20"/>
                <w:lang w:val="en-US"/>
              </w:rPr>
            </w:pPr>
            <w:r w:rsidRPr="00EC3E91">
              <w:rPr>
                <w:rFonts w:cstheme="minorHAnsi"/>
                <w:sz w:val="20"/>
                <w:szCs w:val="20"/>
                <w:lang w:val="en-US"/>
              </w:rPr>
              <w:t>make training dynamic, remind clinicians, audit and provide feedback, conduct educational outreach, use advisory boards and workgroups.</w:t>
            </w:r>
          </w:p>
        </w:tc>
      </w:tr>
      <w:tr w:rsidR="00FF4BD9" w:rsidRPr="00E119DD" w14:paraId="2DF21AB0" w14:textId="77777777" w:rsidTr="00FF4BD9">
        <w:trPr>
          <w:tblHeader/>
        </w:trPr>
        <w:tc>
          <w:tcPr>
            <w:tcW w:w="709" w:type="dxa"/>
          </w:tcPr>
          <w:p w14:paraId="628142B8" w14:textId="1384924C"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In acute exacerbation of chronic obstructive pulmonary disease (AECOPD) antibiotic overprescribing leads to antimicrobial resistance and underprescribing may cause poor patient outcomes. OBJECTIVE: This study aimed to evaluate changes in over- and underprescribing of antibiotics after two interventions to optimize antibiotic prescribing in AECOPD in Spain. METHODS: In 2008 and 2009, general practitioners (GPs) registered patients in a 3-week period before and after interventions. Two types of intervention were conducted: GPs in the full-intervention group (FIG) were exposed to a multifaceted intervention and given access to C-reactive protein (CRP) rapid test; partial-intervention group (PIG) was only exposed to the multifaceted intervention. Overprescribing was defined as antibiotic given to type III* exacerbation (&lt;= one Anthonisen Criteria); underprescribing was defined as no antibiotic given to type I exacerbation (three Anthonisen Criteria). A multivariate logistic regression model was used, considering antibiotic prescribing as the dependent variable. RESULTS: A total of 210 GPs and 70 GPs were assigned to FIG and PIG, respectively, and 952 AECOPD patients were eligible for main analysis. After adjusting for clustering at GP level and for patient age and sex, we found that GPs in FIG significantly reduced antibiotic overprescribing; odds ratio (OR) = 0.35 (95% CI: 0.18-0.68, P = 0.003) and underprescribing was not significantly increased; OR = 0.25 (95% CI: 0.06 to 1.0, P = 0.075). No statistically significant changes were found in the PIG. CONCLUSION: Antibiotic overprescribing was only reduced when CRP test was available. Simultaneously, underprescribing was not significantly increased, but this could be due to sample size limitations.","author":[{"dropping-particle":"","family":"Strykowski","given":"D F","non-dropping-particle":"","parse-names":false,"suffix":""},{"dropping-particle":"","family":"Nielsen","given":"A B","non-dropping-particle":"","parse-names":false,"suffix":""},{"dropping-particle":"","family":"Llor","given":"C","non-dropping-particle":"","parse-names":false,"suffix":""},{"dropping-particle":"","family":"Siersma","given":"V","non-dropping-particle":"","parse-names":false,"suffix":""},{"dropping-particle":"","family":"Bjerrum","given":"L","non-dropping-particle":"","parse-names":false,"suffix":""}],"container-title":"Family Practice","id":"ITEM-1","issue":"4","issued":{"date-parts":[["2015"]]},"page":"395-400","title":"An intervention with access to C-reactive protein rapid test reduces antibiotic overprescribing in acute exacerbations of chronic bronchitis and COPD","type":"article-journal","volume":"32"},"uris":["http://www.mendeley.com/documents/?uuid=43ad496d-13f8-456a-b5d5-ba7bb20f2f9f"]}],"mendeley":{"formattedCitation":"(80)","plainTextFormattedCitation":"(80)","previouslyFormattedCitation":"(80)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(80)</w:t>
            </w:r>
            <w:r w:rsidRPr="00EC3E91">
              <w:rPr>
                <w:rFonts w:cstheme="minorHAnsi"/>
                <w:sz w:val="20"/>
                <w:szCs w:val="20"/>
                <w:lang w:val="en-US"/>
              </w:rPr>
              <w:fldChar w:fldCharType="end"/>
            </w:r>
          </w:p>
        </w:tc>
        <w:tc>
          <w:tcPr>
            <w:tcW w:w="992" w:type="dxa"/>
          </w:tcPr>
          <w:p w14:paraId="13E9669C" w14:textId="56E2F422" w:rsidR="00FF4BD9" w:rsidRPr="00EC3E91" w:rsidRDefault="00FF4BD9" w:rsidP="00060412">
            <w:pPr>
              <w:rPr>
                <w:rFonts w:cstheme="minorHAnsi"/>
                <w:sz w:val="20"/>
                <w:szCs w:val="20"/>
                <w:lang w:val="en-US"/>
              </w:rPr>
            </w:pPr>
            <w:r w:rsidRPr="00EC3E91">
              <w:rPr>
                <w:rFonts w:cstheme="minorHAnsi"/>
                <w:sz w:val="20"/>
                <w:szCs w:val="20"/>
                <w:lang w:val="en-US"/>
              </w:rPr>
              <w:t>Spain</w:t>
            </w:r>
          </w:p>
        </w:tc>
        <w:tc>
          <w:tcPr>
            <w:tcW w:w="993" w:type="dxa"/>
          </w:tcPr>
          <w:p w14:paraId="7C12395F" w14:textId="7D201866" w:rsidR="00FF4BD9" w:rsidRPr="00EC3E91" w:rsidRDefault="00FF4BD9" w:rsidP="00060412">
            <w:pPr>
              <w:rPr>
                <w:rFonts w:cstheme="minorHAnsi"/>
                <w:sz w:val="20"/>
                <w:szCs w:val="20"/>
                <w:lang w:val="en-US"/>
              </w:rPr>
            </w:pPr>
            <w:r w:rsidRPr="00EC3E91">
              <w:rPr>
                <w:rFonts w:cstheme="minorHAnsi"/>
                <w:sz w:val="20"/>
                <w:szCs w:val="20"/>
                <w:lang w:val="en-US"/>
              </w:rPr>
              <w:t>Primary Care</w:t>
            </w:r>
          </w:p>
        </w:tc>
        <w:tc>
          <w:tcPr>
            <w:tcW w:w="850" w:type="dxa"/>
          </w:tcPr>
          <w:p w14:paraId="622FF562" w14:textId="069102EC" w:rsidR="00FF4BD9" w:rsidRPr="00EC3E91" w:rsidRDefault="00FF4BD9" w:rsidP="00060412">
            <w:pPr>
              <w:rPr>
                <w:rFonts w:cstheme="minorHAnsi"/>
                <w:sz w:val="20"/>
                <w:szCs w:val="20"/>
                <w:lang w:val="en-US"/>
              </w:rPr>
            </w:pPr>
            <w:r w:rsidRPr="00EC3E91">
              <w:rPr>
                <w:rFonts w:cstheme="minorHAnsi"/>
                <w:sz w:val="20"/>
                <w:szCs w:val="20"/>
                <w:lang w:val="en-US"/>
              </w:rPr>
              <w:t xml:space="preserve">Quant Quasi experimental </w:t>
            </w:r>
          </w:p>
        </w:tc>
        <w:tc>
          <w:tcPr>
            <w:tcW w:w="851" w:type="dxa"/>
          </w:tcPr>
          <w:p w14:paraId="64E5A4D0" w14:textId="28EF975D"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8F0B533" w14:textId="4F711E60"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2564461D" w14:textId="561EDB1A"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 in Acute   exacerbation   of   chronic   obstructive   pulmonary   disease</w:t>
            </w:r>
          </w:p>
        </w:tc>
        <w:tc>
          <w:tcPr>
            <w:tcW w:w="3969" w:type="dxa"/>
          </w:tcPr>
          <w:p w14:paraId="6CE9A878" w14:textId="69700987" w:rsidR="00FF4BD9" w:rsidRPr="00EC3E91" w:rsidRDefault="00D544E0" w:rsidP="00774DE9">
            <w:pPr>
              <w:rPr>
                <w:rFonts w:cstheme="minorHAnsi"/>
                <w:sz w:val="20"/>
                <w:szCs w:val="20"/>
                <w:lang w:val="en-US"/>
              </w:rPr>
            </w:pPr>
            <w:r w:rsidRPr="00EC3E91">
              <w:rPr>
                <w:rFonts w:cstheme="minorHAnsi"/>
                <w:sz w:val="20"/>
                <w:szCs w:val="20"/>
                <w:lang w:val="en-US"/>
              </w:rPr>
              <w:t xml:space="preserve">CTS </w:t>
            </w:r>
            <w:r w:rsidR="005A7558" w:rsidRPr="00EC3E91">
              <w:rPr>
                <w:rFonts w:cstheme="minorHAnsi"/>
                <w:sz w:val="20"/>
                <w:szCs w:val="20"/>
                <w:lang w:val="en-US"/>
              </w:rPr>
              <w:t xml:space="preserve">Guideline </w:t>
            </w:r>
            <w:r w:rsidR="008E3BEF" w:rsidRPr="00EC3E91">
              <w:rPr>
                <w:rFonts w:cstheme="minorHAnsi"/>
                <w:sz w:val="20"/>
                <w:szCs w:val="20"/>
                <w:lang w:val="en-US"/>
              </w:rPr>
              <w:t xml:space="preserve">- </w:t>
            </w:r>
            <w:r w:rsidR="001026C6" w:rsidRPr="00EC3E91">
              <w:rPr>
                <w:rFonts w:cstheme="minorHAnsi"/>
                <w:sz w:val="20"/>
                <w:szCs w:val="20"/>
                <w:lang w:val="en-US"/>
              </w:rPr>
              <w:t>Highlights for</w:t>
            </w:r>
            <w:r w:rsidR="00FF4BD9" w:rsidRPr="00EC3E91">
              <w:rPr>
                <w:rFonts w:cstheme="minorHAnsi"/>
                <w:sz w:val="20"/>
                <w:szCs w:val="20"/>
                <w:lang w:val="en-US"/>
              </w:rPr>
              <w:t xml:space="preserve"> Primary Care - Recommendations for Management of COPD. </w:t>
            </w:r>
          </w:p>
          <w:p w14:paraId="5AF0F050" w14:textId="77777777" w:rsidR="00FF4BD9" w:rsidRPr="00EC3E91" w:rsidRDefault="00FF4BD9" w:rsidP="00774DE9">
            <w:pPr>
              <w:rPr>
                <w:rFonts w:cstheme="minorHAnsi"/>
                <w:sz w:val="20"/>
                <w:szCs w:val="20"/>
                <w:lang w:val="en-US"/>
              </w:rPr>
            </w:pPr>
          </w:p>
          <w:p w14:paraId="68401C7B" w14:textId="66ADDD2A" w:rsidR="00FF4BD9" w:rsidRPr="00EC3E91" w:rsidRDefault="00FF4BD9" w:rsidP="00774DE9">
            <w:pPr>
              <w:rPr>
                <w:rFonts w:cstheme="minorHAnsi"/>
                <w:sz w:val="20"/>
                <w:szCs w:val="20"/>
                <w:lang w:val="en-US"/>
              </w:rPr>
            </w:pPr>
            <w:r w:rsidRPr="00EC3E91">
              <w:rPr>
                <w:rFonts w:cstheme="minorHAnsi"/>
                <w:sz w:val="20"/>
                <w:szCs w:val="20"/>
                <w:lang w:val="en-US"/>
              </w:rPr>
              <w:t xml:space="preserve">Global Strategy for the Diagnosis, Management and Prevention of COPD, Global </w:t>
            </w:r>
            <w:r w:rsidR="007C48FF" w:rsidRPr="00EC3E91">
              <w:rPr>
                <w:rFonts w:cstheme="minorHAnsi"/>
                <w:sz w:val="20"/>
                <w:szCs w:val="20"/>
                <w:lang w:val="en-US"/>
              </w:rPr>
              <w:t xml:space="preserve">Initiative </w:t>
            </w:r>
            <w:r w:rsidR="005A7558" w:rsidRPr="00EC3E91">
              <w:rPr>
                <w:rFonts w:cstheme="minorHAnsi"/>
                <w:sz w:val="20"/>
                <w:szCs w:val="20"/>
                <w:lang w:val="en-US"/>
              </w:rPr>
              <w:t xml:space="preserve">for </w:t>
            </w:r>
            <w:r w:rsidR="008E3BEF" w:rsidRPr="00EC3E91">
              <w:rPr>
                <w:rFonts w:cstheme="minorHAnsi"/>
                <w:sz w:val="20"/>
                <w:szCs w:val="20"/>
                <w:lang w:val="en-US"/>
              </w:rPr>
              <w:t xml:space="preserve">Chronic </w:t>
            </w:r>
            <w:r w:rsidR="001026C6" w:rsidRPr="00EC3E91">
              <w:rPr>
                <w:rFonts w:cstheme="minorHAnsi"/>
                <w:sz w:val="20"/>
                <w:szCs w:val="20"/>
                <w:lang w:val="en-US"/>
              </w:rPr>
              <w:t xml:space="preserve">Obstructive </w:t>
            </w:r>
            <w:r w:rsidR="009C6C1F" w:rsidRPr="00EC3E91">
              <w:rPr>
                <w:rFonts w:cstheme="minorHAnsi"/>
                <w:sz w:val="20"/>
                <w:szCs w:val="20"/>
                <w:lang w:val="en-US"/>
              </w:rPr>
              <w:t>Lung Disease (</w:t>
            </w:r>
            <w:r w:rsidRPr="00EC3E91">
              <w:rPr>
                <w:rFonts w:cstheme="minorHAnsi"/>
                <w:sz w:val="20"/>
                <w:szCs w:val="20"/>
                <w:lang w:val="en-US"/>
              </w:rPr>
              <w:t xml:space="preserve">GOLD)  </w:t>
            </w:r>
          </w:p>
          <w:p w14:paraId="7E917857" w14:textId="77777777" w:rsidR="00FF4BD9" w:rsidRPr="00EC3E91" w:rsidRDefault="00FF4BD9" w:rsidP="00774DE9">
            <w:pPr>
              <w:rPr>
                <w:rFonts w:cstheme="minorHAnsi"/>
                <w:sz w:val="20"/>
                <w:szCs w:val="20"/>
                <w:lang w:val="en-US"/>
              </w:rPr>
            </w:pPr>
          </w:p>
          <w:p w14:paraId="12E27F2F" w14:textId="626CE3FD" w:rsidR="00FF4BD9" w:rsidRPr="00EC3E91" w:rsidRDefault="007C48FF" w:rsidP="00913392">
            <w:pPr>
              <w:rPr>
                <w:rFonts w:cstheme="minorHAnsi"/>
                <w:sz w:val="20"/>
                <w:szCs w:val="20"/>
                <w:lang w:val="en-US"/>
              </w:rPr>
            </w:pPr>
            <w:r w:rsidRPr="00EC3E91">
              <w:rPr>
                <w:rFonts w:cstheme="minorHAnsi"/>
                <w:sz w:val="20"/>
                <w:szCs w:val="20"/>
                <w:lang w:val="en-US"/>
              </w:rPr>
              <w:t xml:space="preserve">the </w:t>
            </w:r>
            <w:r w:rsidR="005A7558" w:rsidRPr="00EC3E91">
              <w:rPr>
                <w:rFonts w:cstheme="minorHAnsi"/>
                <w:sz w:val="20"/>
                <w:szCs w:val="20"/>
                <w:lang w:val="en-US"/>
              </w:rPr>
              <w:t xml:space="preserve">Anthonisen </w:t>
            </w:r>
            <w:r w:rsidR="008E3BEF" w:rsidRPr="00EC3E91">
              <w:rPr>
                <w:rFonts w:cstheme="minorHAnsi"/>
                <w:sz w:val="20"/>
                <w:szCs w:val="20"/>
                <w:lang w:val="en-US"/>
              </w:rPr>
              <w:t>Criteria (</w:t>
            </w:r>
            <w:r w:rsidR="00FF4BD9" w:rsidRPr="00EC3E91">
              <w:rPr>
                <w:rFonts w:cstheme="minorHAnsi"/>
                <w:sz w:val="20"/>
                <w:szCs w:val="20"/>
                <w:lang w:val="en-US"/>
              </w:rPr>
              <w:t xml:space="preserve">AC): Antibiotic therapy in </w:t>
            </w:r>
            <w:r w:rsidR="001026C6" w:rsidRPr="00EC3E91">
              <w:rPr>
                <w:rFonts w:cstheme="minorHAnsi"/>
                <w:sz w:val="20"/>
                <w:szCs w:val="20"/>
                <w:lang w:val="en-US"/>
              </w:rPr>
              <w:t xml:space="preserve">exacerbations </w:t>
            </w:r>
            <w:r w:rsidR="009C6C1F" w:rsidRPr="00EC3E91">
              <w:rPr>
                <w:rFonts w:cstheme="minorHAnsi"/>
                <w:sz w:val="20"/>
                <w:szCs w:val="20"/>
                <w:lang w:val="en-US"/>
              </w:rPr>
              <w:t>of chronic obstructive pulmonary disease</w:t>
            </w:r>
            <w:r w:rsidR="00FF4BD9" w:rsidRPr="00EC3E91">
              <w:rPr>
                <w:rFonts w:cstheme="minorHAnsi"/>
                <w:sz w:val="20"/>
                <w:szCs w:val="20"/>
                <w:lang w:val="en-US"/>
              </w:rPr>
              <w:t xml:space="preserve">. From Annals of </w:t>
            </w:r>
            <w:r w:rsidRPr="00EC3E91">
              <w:rPr>
                <w:rFonts w:cstheme="minorHAnsi"/>
                <w:sz w:val="20"/>
                <w:szCs w:val="20"/>
                <w:lang w:val="en-US"/>
              </w:rPr>
              <w:t>Internal Medicine</w:t>
            </w:r>
            <w:r w:rsidR="00FF4BD9" w:rsidRPr="00EC3E91">
              <w:rPr>
                <w:rFonts w:cstheme="minorHAnsi"/>
                <w:sz w:val="20"/>
                <w:szCs w:val="20"/>
                <w:lang w:val="en-US"/>
              </w:rPr>
              <w:t xml:space="preserve"> (Journal).</w:t>
            </w:r>
          </w:p>
        </w:tc>
        <w:tc>
          <w:tcPr>
            <w:tcW w:w="2551" w:type="dxa"/>
          </w:tcPr>
          <w:p w14:paraId="5C863DA6" w14:textId="011981E0" w:rsidR="00FF4BD9" w:rsidRPr="00EC3E91" w:rsidRDefault="00FF4BD9" w:rsidP="00060412">
            <w:pPr>
              <w:rPr>
                <w:rFonts w:cstheme="minorHAnsi"/>
                <w:sz w:val="20"/>
                <w:szCs w:val="20"/>
                <w:lang w:val="en-US"/>
              </w:rPr>
            </w:pPr>
            <w:r w:rsidRPr="00EC3E91">
              <w:rPr>
                <w:rFonts w:cstheme="minorHAnsi"/>
                <w:sz w:val="20"/>
                <w:szCs w:val="20"/>
                <w:lang w:val="en-US"/>
              </w:rPr>
              <w:t>Audit and provide feedback, make training dynamic, develop educational materials, facilitate relay of clinical data.</w:t>
            </w:r>
          </w:p>
          <w:p w14:paraId="1635EDD7" w14:textId="14184874" w:rsidR="00FF4BD9" w:rsidRPr="00EC3E91" w:rsidRDefault="00FF4BD9" w:rsidP="00060412">
            <w:pPr>
              <w:rPr>
                <w:rFonts w:cstheme="minorHAnsi"/>
                <w:sz w:val="20"/>
                <w:szCs w:val="20"/>
                <w:lang w:val="en-US"/>
              </w:rPr>
            </w:pPr>
          </w:p>
        </w:tc>
      </w:tr>
      <w:tr w:rsidR="00FF4BD9" w:rsidRPr="00E119DD" w14:paraId="1DAB9717" w14:textId="77777777" w:rsidTr="00FF4BD9">
        <w:trPr>
          <w:tblHeader/>
        </w:trPr>
        <w:tc>
          <w:tcPr>
            <w:tcW w:w="709" w:type="dxa"/>
          </w:tcPr>
          <w:p w14:paraId="3BF693A6" w14:textId="24C42FA6"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{"citationItems":[{"id":"ITEM-1","itemData":{"ISSN":"2168-6106","abstract":"IMPORTANCE: Overtreatment of asymptomatic bacteriuria (ASB) in patients with urinary catheters remains high. Health care professionals have difficulty differentiating cases of ASB from catheter-associated urinary tract infections. OBJECTIVES: To evaluate the effectiveness and sustainability of an intervention to reduce urine culture ordering and antimicrobial prescribing for catheter-associated ASB compared with standard quality improvement methods. DESIGN, SETTING, AND PARTICIPANTS: A preintervention and postintervention comparison with a contemporaneous control group from July 2010 to June 2013 at 2 Veterans Affairs health care systems. Study populations were patients with urinary catheters on acute medicine wards and long-term care units and health care professionals who order urine cultures and prescribe antimicrobials. INTERVENTION: A multifaceted guidelines implementation intervention. MAIN OUTCOMES AND MEASURES: The primary outcomes were urine cultures ordered per 1000 bed-days and cases of ASB receiving antibiotics (overtreatment) during intervention and maintenance periods compared with baseline at both sites. Patient-level analysis of inappropriate antimicrobial use adjusted for individual covariates. RESULTS: Study surveillance included 289,754 total bed-days. The overall rate of urine culture ordering decreased significantly during the intervention period (from 41.2 to 23.3 per 1000 bed-days; incidence rate ration [IRR], 0.57; 95% CI, 0.53-0.61) and further during the maintenance period (to 12.0 per 1000 bed-days; IRR, 0.29; 95% CI, 0.26-0.32) (P&lt;.001 for both). At the comparison site, urine cultures ordered did not change significantly across all 3 periods. There was a significant difference in the number of urine cultures ordered per month over time when comparing the 2 sites using longitudinal linear regression (P&lt;.001). Overtreatment of ASB at the intervention site fell significantly during the intervention period (from 1.6 to 0.6 per 1000 bed-days; IRR, 0.35; 95% CI, 0.22-0.55), and these reductions persisted during the maintenance period (to 0.4 per 1000 bed-days; IRR, 0.24; 95% CI, 0.13-0.42) (P&lt;.001 for both). Overtreatment of ASB at the comparison site was similar across all periods (odds ratio, 1.32; 95% CI, 0.69-2.52). When analyzed by type of ward, the decrease in ASB overtreatment was significant in long-term care. CONCLUSIONS AND RELEVANCE: A multifaceted intervention targeting health care professionals who diagnose and treat p…","author":[{"dropping-particle":"","family":"Trautner","given":"B W","non-dropping-particle":"","parse-names":false,"suffix":""},{"dropping-particle":"","family":"Grigoryan","given":"L","non-dropping-particle":"","parse-names":false,"suffix":""},{"dropping-particle":"","family":"Petersen","given":"N J","non-dropping-particle":"","parse-names":false,"suffix":""},{"dropping-particle":"","family":"Hysong","given":"S","non-dropping-particle":"","parse-names":false,"suffix":""},{"dropping-particle":"","family":"Cadena","given":"J","non-dropping-particle":"","parse-names":false,"suffix":""},{"dropping-particle":"","family":"Patterson","given":"J E","non-dropping-particle":"","parse-names":false,"suffix":""},{"dropping-particle":"","family":"Naik","given":"A D","non-dropping-particle":"","parse-names":false,"suffix":""}],"container-title":"JAMA Internal Medicine","id":"ITEM-1","issue":"7","issued":{"date-parts":[["2015"]]},"page":"1120-1127","title":"Effectiveness of an Antimicrobial Stewardship Approach for Urinary Catheter-Associated Asymptomatic Bacteriuria","type":"article-journal","volume":"175"},"uris":["http://www.mendeley.com/documents/?uuid=bc5730ee-748c-4d1d-93c1-b8eb5d0772fd"]}],"mendeley":{"formattedCitation":"(81)","plainTextFormattedCitation":"(81)","previouslyFormattedCitation":"(81)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(81)</w:t>
            </w:r>
            <w:r w:rsidRPr="00EC3E91">
              <w:rPr>
                <w:rFonts w:cstheme="minorHAnsi"/>
                <w:sz w:val="20"/>
                <w:szCs w:val="20"/>
                <w:lang w:val="en-US"/>
              </w:rPr>
              <w:fldChar w:fldCharType="end"/>
            </w:r>
          </w:p>
        </w:tc>
        <w:tc>
          <w:tcPr>
            <w:tcW w:w="992" w:type="dxa"/>
          </w:tcPr>
          <w:p w14:paraId="7D8B2C9B" w14:textId="24512335"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5F3B2653" w14:textId="37A6A65D"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7B3A2D45" w14:textId="73F96DAB"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01E79839" w14:textId="3B333AD9"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2CC76267" w14:textId="39B5F7DE"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2B07411E" w14:textId="6B62B3CC" w:rsidR="00FF4BD9" w:rsidRPr="00EC3E91" w:rsidRDefault="00FF4BD9" w:rsidP="001523C5">
            <w:pPr>
              <w:rPr>
                <w:rFonts w:cstheme="minorHAnsi"/>
                <w:sz w:val="20"/>
                <w:szCs w:val="20"/>
                <w:lang w:val="en-US"/>
              </w:rPr>
            </w:pPr>
            <w:r w:rsidRPr="00EC3E91">
              <w:rPr>
                <w:rFonts w:cstheme="minorHAnsi"/>
                <w:sz w:val="20"/>
                <w:szCs w:val="20"/>
                <w:lang w:val="en-US"/>
              </w:rPr>
              <w:t>Inappropriate use of antibiotics for asymptomatic bacteriuria in patients with urinary</w:t>
            </w:r>
          </w:p>
          <w:p w14:paraId="7816DCE3" w14:textId="5059E793" w:rsidR="00FF4BD9" w:rsidRPr="00EC3E91" w:rsidRDefault="00FF4BD9" w:rsidP="001523C5">
            <w:pPr>
              <w:rPr>
                <w:rFonts w:cstheme="minorHAnsi"/>
                <w:sz w:val="20"/>
                <w:szCs w:val="20"/>
                <w:lang w:val="en-US"/>
              </w:rPr>
            </w:pPr>
            <w:r w:rsidRPr="00EC3E91">
              <w:rPr>
                <w:rFonts w:cstheme="minorHAnsi"/>
                <w:sz w:val="20"/>
                <w:szCs w:val="20"/>
                <w:lang w:val="en-US"/>
              </w:rPr>
              <w:t>catheters</w:t>
            </w:r>
          </w:p>
        </w:tc>
        <w:tc>
          <w:tcPr>
            <w:tcW w:w="3969" w:type="dxa"/>
          </w:tcPr>
          <w:p w14:paraId="193486A3" w14:textId="009424C7" w:rsidR="00FF4BD9" w:rsidRPr="00EC3E91" w:rsidRDefault="00FF4BD9" w:rsidP="001523C5">
            <w:pPr>
              <w:rPr>
                <w:rFonts w:cstheme="minorHAnsi"/>
                <w:sz w:val="20"/>
                <w:szCs w:val="20"/>
                <w:lang w:val="en-US"/>
              </w:rPr>
            </w:pPr>
            <w:r w:rsidRPr="00EC3E91">
              <w:rPr>
                <w:rFonts w:cstheme="minorHAnsi"/>
                <w:sz w:val="20"/>
                <w:szCs w:val="20"/>
                <w:lang w:val="en-US"/>
              </w:rPr>
              <w:t>Infectious Diseases Society of America guidelines for the</w:t>
            </w:r>
          </w:p>
          <w:p w14:paraId="15B2EDDB" w14:textId="185F2710" w:rsidR="00FF4BD9" w:rsidRPr="00EC3E91" w:rsidRDefault="00FF4BD9" w:rsidP="00913392">
            <w:pPr>
              <w:rPr>
                <w:rFonts w:cstheme="minorHAnsi"/>
                <w:sz w:val="20"/>
                <w:szCs w:val="20"/>
                <w:lang w:val="en-US"/>
              </w:rPr>
            </w:pPr>
            <w:r w:rsidRPr="00EC3E91">
              <w:rPr>
                <w:rFonts w:cstheme="minorHAnsi"/>
                <w:sz w:val="20"/>
                <w:szCs w:val="20"/>
                <w:lang w:val="en-US"/>
              </w:rPr>
              <w:t xml:space="preserve">diagnosis and treatment of asymptomatic bacteriuria in adults. </w:t>
            </w:r>
          </w:p>
          <w:p w14:paraId="0C5BB3FE" w14:textId="77777777" w:rsidR="00FF4BD9" w:rsidRPr="00EC3E91" w:rsidRDefault="00FF4BD9" w:rsidP="001523C5">
            <w:pPr>
              <w:rPr>
                <w:rFonts w:cstheme="minorHAnsi"/>
                <w:sz w:val="20"/>
                <w:szCs w:val="20"/>
                <w:lang w:val="en-US"/>
              </w:rPr>
            </w:pPr>
          </w:p>
          <w:p w14:paraId="2024EEA5" w14:textId="3D12826F" w:rsidR="00FF4BD9" w:rsidRPr="00EC3E91" w:rsidRDefault="00FF4BD9" w:rsidP="001523C5">
            <w:pPr>
              <w:rPr>
                <w:rFonts w:cstheme="minorHAnsi"/>
                <w:sz w:val="20"/>
                <w:szCs w:val="20"/>
                <w:lang w:val="en-US"/>
              </w:rPr>
            </w:pPr>
            <w:r w:rsidRPr="00EC3E91">
              <w:rPr>
                <w:rFonts w:cstheme="minorHAnsi"/>
                <w:sz w:val="20"/>
                <w:szCs w:val="20"/>
                <w:lang w:val="en-US"/>
              </w:rPr>
              <w:t xml:space="preserve">Infectious Diseases Society of America. Diagnosis, prevention, and treatment of catheter-associated urinary tract infection in adults. </w:t>
            </w:r>
          </w:p>
        </w:tc>
        <w:tc>
          <w:tcPr>
            <w:tcW w:w="2551" w:type="dxa"/>
          </w:tcPr>
          <w:p w14:paraId="43E40549" w14:textId="557E7F14" w:rsidR="00FF4BD9" w:rsidRPr="00EC3E91" w:rsidRDefault="00FF4BD9" w:rsidP="00060412">
            <w:pPr>
              <w:rPr>
                <w:rFonts w:cstheme="minorHAnsi"/>
                <w:sz w:val="20"/>
                <w:szCs w:val="20"/>
                <w:lang w:val="en-US"/>
              </w:rPr>
            </w:pPr>
            <w:r w:rsidRPr="00EC3E91">
              <w:rPr>
                <w:rFonts w:cstheme="minorHAnsi"/>
                <w:sz w:val="20"/>
                <w:szCs w:val="20"/>
                <w:lang w:val="en-US"/>
              </w:rPr>
              <w:t>Remind clinicians, make training dynamic.</w:t>
            </w:r>
          </w:p>
        </w:tc>
      </w:tr>
      <w:tr w:rsidR="00FF4BD9" w:rsidRPr="00E119DD" w14:paraId="2FC7263F" w14:textId="77777777" w:rsidTr="00FF4BD9">
        <w:trPr>
          <w:tblHeader/>
        </w:trPr>
        <w:tc>
          <w:tcPr>
            <w:tcW w:w="709" w:type="dxa"/>
          </w:tcPr>
          <w:p w14:paraId="5AD01177" w14:textId="4C27D52F"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{"citationItems":[{"id":"ITEM-1","itemData":{"ISSN":"2044-5415","abstract":"BACKGROUND: Guidance for appropriate utilisation of transthoracic echocardiograms (TTEs) can be incorporated into ordering prompts, potentially affecting the number of requests. METHODS: We incorporated data from the 2011 Appropriate Use Criteria for Echocardiography, the 2010 National Institute for Clinical Excellence Guideline on Chronic Heart Failure, and American College of Cardiology Choosing Wisely list on TTE use for dyspnoea, oedema and valvular disease into electronic ordering systems at Durham Veterans Affairs Medical Center. Our primary outcome was TTE orders per month. Secondary outcomes included rates of outpatient TTE ordering per 100 visits and frequency of brain natriuretic peptide (BNP) ordering prior to TTE. Outcomes were measured for 20 months before and 12 months after the intervention. RESULTS: The number of TTEs ordered did not decrease (338+/-32 TTEs/month prior vs 320+/-33 afterwards, p=0.12). Rates of outpatient TTE ordering decreased minimally post intervention (2.28 per 100 primary care/cardiology visits prior vs 1.99 afterwards, p&lt;0.01). Effects on TTE ordering and ordering rate significantly interacted with time from intervention (p&lt;0.02 for both), as the small initial effects waned after 6 months. The percentage of TTE orders with preceding BNP increased (36.5% prior vs 42.2% after for inpatients, p=0.01; 10.8% prior vs 14.5% after for outpatients, p&lt;0.01). CONCLUSIONS: Ordering prompts for TTEs initially minimally reduced the number of TTEs ordered and increased BNP measurement at a single institution, but the effect on TTEs ordered was likely insignificant from a utilisation standpoint and decayed over time.","author":[{"dropping-particle":"","family":"Boggan","given":"J C","non-dropping-particle":"","parse-names":false,"suffix":""},{"dropping-particle":"","family":"Schulteis","given":"R D","non-dropping-particle":"","parse-names":false,"suffix":""},{"dropping-particle":"","family":"Donahue","given":"M","non-dropping-particle":"","parse-names":false,"suffix":""},{"dropping-particle":"","family":"Simel","given":"D L","non-dropping-particle":"","parse-names":false,"suffix":""}],"container-title":"BMJ Quality &amp; Safety","id":"ITEM-1","issue":"1","issued":{"date-parts":[["2015"]]},"page":"57-62","title":"Guideline-based decision support has a small, non-sustained effect on transthoracic echocardiography ordering frequency","type":"article-journal","volume":"25"},"uris":["http://www.mendeley.com/documents/?uuid=a3f9cc13-8e36-4df8-b726-2785275b70e9"]}],"mendeley":{"formattedCitation":"(82)","plainTextFormattedCitation":"(82)","previouslyFormattedCitation":"(82)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(82)</w:t>
            </w:r>
            <w:r w:rsidRPr="00EC3E91">
              <w:rPr>
                <w:rFonts w:cstheme="minorHAnsi"/>
                <w:sz w:val="20"/>
                <w:szCs w:val="20"/>
                <w:lang w:val="en-US"/>
              </w:rPr>
              <w:fldChar w:fldCharType="end"/>
            </w:r>
          </w:p>
        </w:tc>
        <w:tc>
          <w:tcPr>
            <w:tcW w:w="992" w:type="dxa"/>
          </w:tcPr>
          <w:p w14:paraId="7B3AE056" w14:textId="120B471D"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1CBD48D8" w14:textId="121D5956"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24A034DA" w14:textId="01033F82"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31185362" w14:textId="4BC63DDB"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0D439552" w14:textId="20DAD9D0" w:rsidR="00FF4BD9" w:rsidRPr="00EC3E91" w:rsidRDefault="00FF4BD9" w:rsidP="00060412">
            <w:pPr>
              <w:rPr>
                <w:rFonts w:cstheme="minorHAnsi"/>
                <w:sz w:val="20"/>
                <w:szCs w:val="20"/>
                <w:lang w:val="en-US"/>
              </w:rPr>
            </w:pPr>
            <w:r w:rsidRPr="00EC3E91">
              <w:rPr>
                <w:rFonts w:cstheme="minorHAnsi"/>
                <w:sz w:val="20"/>
                <w:szCs w:val="20"/>
                <w:lang w:val="en-US"/>
              </w:rPr>
              <w:t>Echocardiography</w:t>
            </w:r>
          </w:p>
        </w:tc>
        <w:tc>
          <w:tcPr>
            <w:tcW w:w="2126" w:type="dxa"/>
          </w:tcPr>
          <w:p w14:paraId="74C41F89" w14:textId="75EAF623" w:rsidR="00FF4BD9" w:rsidRPr="00EC3E91" w:rsidRDefault="00FF4BD9" w:rsidP="00060412">
            <w:pPr>
              <w:rPr>
                <w:rFonts w:cstheme="minorHAnsi"/>
                <w:sz w:val="20"/>
                <w:szCs w:val="20"/>
                <w:lang w:val="en-US"/>
              </w:rPr>
            </w:pPr>
            <w:r w:rsidRPr="00EC3E91">
              <w:rPr>
                <w:rFonts w:cstheme="minorHAnsi"/>
                <w:sz w:val="20"/>
                <w:szCs w:val="20"/>
                <w:lang w:val="en-US"/>
              </w:rPr>
              <w:t>Inappropriate use of echocardiography for mild, asymptomatic native valve disease in adult patients with no change in signs or symptoms’</w:t>
            </w:r>
          </w:p>
        </w:tc>
        <w:tc>
          <w:tcPr>
            <w:tcW w:w="3969" w:type="dxa"/>
          </w:tcPr>
          <w:p w14:paraId="0B99E63B" w14:textId="0818EEFB" w:rsidR="00FF4BD9" w:rsidRPr="00EC3E91" w:rsidRDefault="00FF4BD9" w:rsidP="001523C5">
            <w:pPr>
              <w:rPr>
                <w:rFonts w:cstheme="minorHAnsi"/>
                <w:sz w:val="20"/>
                <w:szCs w:val="20"/>
                <w:lang w:val="en-US"/>
              </w:rPr>
            </w:pPr>
            <w:r w:rsidRPr="00EC3E91">
              <w:rPr>
                <w:rFonts w:cstheme="minorHAnsi"/>
                <w:sz w:val="20"/>
                <w:szCs w:val="20"/>
                <w:lang w:val="en-US"/>
              </w:rPr>
              <w:t xml:space="preserve">Appropriate Use Criteria for Echocardiography: </w:t>
            </w:r>
            <w:r w:rsidR="007C48FF" w:rsidRPr="00EC3E91">
              <w:rPr>
                <w:rFonts w:cstheme="minorHAnsi"/>
                <w:sz w:val="20"/>
                <w:szCs w:val="20"/>
                <w:lang w:val="en-US"/>
              </w:rPr>
              <w:t>A</w:t>
            </w:r>
            <w:r w:rsidRPr="00EC3E91">
              <w:rPr>
                <w:rFonts w:cstheme="minorHAnsi"/>
                <w:sz w:val="20"/>
                <w:szCs w:val="20"/>
                <w:lang w:val="en-US"/>
              </w:rPr>
              <w:t xml:space="preserve"> Report of the American College of Cardiology Foundation Appropriate Use Criteria Task Force. </w:t>
            </w:r>
          </w:p>
          <w:p w14:paraId="2A222918" w14:textId="77777777" w:rsidR="00FF4BD9" w:rsidRPr="00EC3E91" w:rsidRDefault="00FF4BD9" w:rsidP="001523C5">
            <w:pPr>
              <w:rPr>
                <w:rFonts w:cstheme="minorHAnsi"/>
                <w:sz w:val="20"/>
                <w:szCs w:val="20"/>
                <w:lang w:val="en-US"/>
              </w:rPr>
            </w:pPr>
          </w:p>
          <w:p w14:paraId="22FAC62E" w14:textId="0B4F5F24" w:rsidR="00FF4BD9" w:rsidRPr="00EC3E91" w:rsidRDefault="00FF4BD9" w:rsidP="00913392">
            <w:pPr>
              <w:rPr>
                <w:rFonts w:cstheme="minorHAnsi"/>
                <w:sz w:val="20"/>
                <w:szCs w:val="20"/>
                <w:lang w:val="en-US"/>
              </w:rPr>
            </w:pPr>
            <w:r w:rsidRPr="00EC3E91">
              <w:rPr>
                <w:rFonts w:cstheme="minorHAnsi"/>
                <w:sz w:val="20"/>
                <w:szCs w:val="20"/>
                <w:lang w:val="en-US"/>
              </w:rPr>
              <w:t xml:space="preserve">National Institute for Health and Care Excellence. Chronic heart failure: management of chronic heart failure </w:t>
            </w:r>
            <w:r w:rsidR="007C48FF" w:rsidRPr="00EC3E91">
              <w:rPr>
                <w:rFonts w:cstheme="minorHAnsi"/>
                <w:sz w:val="20"/>
                <w:szCs w:val="20"/>
                <w:lang w:val="en-US"/>
              </w:rPr>
              <w:t>in adults</w:t>
            </w:r>
            <w:r w:rsidRPr="00EC3E91">
              <w:rPr>
                <w:rFonts w:cstheme="minorHAnsi"/>
                <w:sz w:val="20"/>
                <w:szCs w:val="20"/>
                <w:lang w:val="en-US"/>
              </w:rPr>
              <w:t xml:space="preserve"> in primary and secondary care. </w:t>
            </w:r>
          </w:p>
        </w:tc>
        <w:tc>
          <w:tcPr>
            <w:tcW w:w="2551" w:type="dxa"/>
          </w:tcPr>
          <w:p w14:paraId="09918C7C" w14:textId="77403890" w:rsidR="00FF4BD9" w:rsidRPr="00EC3E91" w:rsidRDefault="00FF4BD9" w:rsidP="00060412">
            <w:pPr>
              <w:rPr>
                <w:rFonts w:cstheme="minorHAnsi"/>
                <w:sz w:val="20"/>
                <w:szCs w:val="20"/>
                <w:lang w:val="en-US"/>
              </w:rPr>
            </w:pPr>
            <w:r w:rsidRPr="00EC3E91">
              <w:rPr>
                <w:rFonts w:cstheme="minorHAnsi"/>
                <w:sz w:val="20"/>
                <w:szCs w:val="20"/>
                <w:lang w:val="en-US"/>
              </w:rPr>
              <w:t>remind clinicians, use advisory boards and workgroups</w:t>
            </w:r>
          </w:p>
        </w:tc>
      </w:tr>
      <w:tr w:rsidR="00FF4BD9" w:rsidRPr="00E119DD" w14:paraId="6A6FE0D4" w14:textId="77777777" w:rsidTr="00FF4BD9">
        <w:trPr>
          <w:tblHeader/>
        </w:trPr>
        <w:tc>
          <w:tcPr>
            <w:tcW w:w="709" w:type="dxa"/>
          </w:tcPr>
          <w:p w14:paraId="06131762" w14:textId="58E6C2FD"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{"citationItems":[{"id":"ITEM-1","itemData":{"DOI":"10.1080/13607863.2015.1063102","ISSN":"13646915","abstract":"Objectives: This paper reports on the acceptability and effectiveness of the FITS (Focussed Intervention Training and Support) into Practice Programme. This intervention was scaled up from an earlier cluster randomised-controlled trial that had proven successful in significantly decreasing antipsychotic prescribing in care homes.Method: An in depth 10-day education course in person-centred care was delivered over a three-month period, followed by six supervision sessions. Participants were care-home staff designated as Dementia Care Coaches (DCCs) responsible for implementing interventions in 1 or 2 care homes. The course and supervision was provided by educators called Dementia Practice Development Coaches (DPDCs).Effectiveness data included monitoring antipsychotic prescriptions, goal attainment, knowledge, attitudes and implementation questionnaires. Qualitative data included case studies and reflective journals to elucidate issues of implementation.Results: Of the 100 DCCs recruited, 66 DCCs completed the programme. Pre-post questionnaires demonstrated increased knowledge and confidence and improved attitudes to dementia. Twenty per cent of residents were prescribed antipsychotics at baseline which reduced to 14% (31% reduction) with additional dose reductions being reported alongside improved personalised goal attainment. Crucial for FITS into Practice to succeed was the allocation and protection of time for the DCC to attend training and supervision and to carry out implementation tasks in addition to their existing job role. Evaluation data showed that this was a substantial barrier to implementation in a small number of homes.Discussion and conclusions: The FITS into practice programme was well evaluated and resulted in reduction in inappropriate anti-psychotic prescribing. Revisions to the intervention are suggested to maximise successful implementation.","author":[{"dropping-particle":"","family":"Brooker","given":"Dawn J.","non-dropping-particle":"","parse-names":false,"suffix":""},{"dropping-particle":"","family":"Latham","given":"Isabelle","non-dropping-particle":"","parse-names":false,"suffix":""},{"dropping-particle":"","family":"Evans","given":"Simon C.","non-dropping-particle":"","parse-names":false,"suffix":""},{"dropping-particle":"","family":"Jacobson","given":"Nicola","non-dropping-particle":"","parse-names":false,"suffix":""},{"dropping-particle":"","family":"Perry","given":"Wendy","non-dropping-particle":"","parse-names":false,"suffix":""},{"dropping-particle":"","family":"Bray","given":"Jennifer","non-dropping-particle":"","parse-names":false,"suffix":""},{"dropping-particle":"","family":"Ballard","given":"Clive","non-dropping-particle":"","parse-names":false,"suffix":""},{"dropping-particle":"","family":"Fossey","given":"Jane","non-dropping-particle":"","parse-names":false,"suffix":""},{"dropping-particle":"","family":"Pickett","given":"James","non-dropping-particle":"","parse-names":false,"suffix":""}],"container-title":"Aging and Mental Health","id":"ITEM-1","issue":"7","issued":{"date-parts":[["2016"]]},"title":"FITS into practice: Translating research into practice in reducing the use of anti-psychotic medication for people with dementia living in care homes","type":"article-journal","volume":"20"},"uris":["http://www.mendeley.com/documents/?uuid=12b26da0-123e-31a3-83ad-29137a5dde8c"]}],"mendeley":{"formattedCitation":"(83)","plainTextFormattedCitation":"(83)","previouslyFormattedCitation":"(83)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(83)</w:t>
            </w:r>
            <w:r w:rsidRPr="00EC3E91">
              <w:rPr>
                <w:rFonts w:cstheme="minorHAnsi"/>
                <w:sz w:val="20"/>
                <w:szCs w:val="20"/>
                <w:lang w:val="en-US"/>
              </w:rPr>
              <w:fldChar w:fldCharType="end"/>
            </w:r>
          </w:p>
        </w:tc>
        <w:tc>
          <w:tcPr>
            <w:tcW w:w="992" w:type="dxa"/>
          </w:tcPr>
          <w:p w14:paraId="2574AB92" w14:textId="558D4EA1" w:rsidR="00FF4BD9" w:rsidRPr="00EC3E91" w:rsidRDefault="00FF4BD9" w:rsidP="00060412">
            <w:pPr>
              <w:rPr>
                <w:rFonts w:cstheme="minorHAnsi"/>
                <w:sz w:val="20"/>
                <w:szCs w:val="20"/>
                <w:lang w:val="en-US"/>
              </w:rPr>
            </w:pPr>
            <w:r w:rsidRPr="00EC3E91">
              <w:rPr>
                <w:rFonts w:cstheme="minorHAnsi"/>
                <w:sz w:val="20"/>
                <w:szCs w:val="20"/>
                <w:lang w:val="en-US"/>
              </w:rPr>
              <w:t>UK</w:t>
            </w:r>
          </w:p>
        </w:tc>
        <w:tc>
          <w:tcPr>
            <w:tcW w:w="993" w:type="dxa"/>
          </w:tcPr>
          <w:p w14:paraId="07E6D6E2" w14:textId="2E18F725" w:rsidR="00FF4BD9" w:rsidRPr="00EC3E91" w:rsidRDefault="00FF4BD9" w:rsidP="00060412">
            <w:pPr>
              <w:rPr>
                <w:rFonts w:cstheme="minorHAnsi"/>
                <w:sz w:val="20"/>
                <w:szCs w:val="20"/>
                <w:lang w:val="en-US"/>
              </w:rPr>
            </w:pPr>
            <w:r w:rsidRPr="00EC3E91">
              <w:rPr>
                <w:rFonts w:cstheme="minorHAnsi"/>
                <w:sz w:val="20"/>
                <w:szCs w:val="20"/>
                <w:lang w:val="en-US"/>
              </w:rPr>
              <w:t>Aged Care</w:t>
            </w:r>
          </w:p>
        </w:tc>
        <w:tc>
          <w:tcPr>
            <w:tcW w:w="850" w:type="dxa"/>
          </w:tcPr>
          <w:p w14:paraId="3DCE6395" w14:textId="786F2638" w:rsidR="00FF4BD9" w:rsidRPr="00EC3E91" w:rsidRDefault="00FF4BD9" w:rsidP="00060412">
            <w:pPr>
              <w:rPr>
                <w:rFonts w:cstheme="minorHAnsi"/>
                <w:sz w:val="20"/>
                <w:szCs w:val="20"/>
                <w:lang w:val="en-US"/>
              </w:rPr>
            </w:pPr>
            <w:r w:rsidRPr="00EC3E91">
              <w:rPr>
                <w:rFonts w:cstheme="minorHAnsi"/>
                <w:sz w:val="20"/>
                <w:szCs w:val="20"/>
                <w:lang w:val="en-US"/>
              </w:rPr>
              <w:t xml:space="preserve">Mixed Case study </w:t>
            </w:r>
          </w:p>
        </w:tc>
        <w:tc>
          <w:tcPr>
            <w:tcW w:w="851" w:type="dxa"/>
          </w:tcPr>
          <w:p w14:paraId="31CF2FE9" w14:textId="042676E0" w:rsidR="00FF4BD9" w:rsidRPr="00EC3E91" w:rsidRDefault="00FF4BD9" w:rsidP="00060412">
            <w:pPr>
              <w:rPr>
                <w:rFonts w:cstheme="minorHAnsi"/>
                <w:sz w:val="20"/>
                <w:szCs w:val="20"/>
                <w:lang w:val="en-US"/>
              </w:rPr>
            </w:pPr>
            <w:r w:rsidRPr="00EC3E91">
              <w:rPr>
                <w:rFonts w:cstheme="minorHAnsi"/>
                <w:sz w:val="20"/>
                <w:szCs w:val="20"/>
                <w:lang w:val="en-US"/>
              </w:rPr>
              <w:t>Process evaluation</w:t>
            </w:r>
          </w:p>
        </w:tc>
        <w:tc>
          <w:tcPr>
            <w:tcW w:w="1134" w:type="dxa"/>
          </w:tcPr>
          <w:p w14:paraId="746DBCE2" w14:textId="5D398379" w:rsidR="00FF4BD9" w:rsidRPr="00EC3E91" w:rsidRDefault="00FF4BD9" w:rsidP="00060412">
            <w:pPr>
              <w:rPr>
                <w:rFonts w:cstheme="minorHAnsi"/>
                <w:sz w:val="20"/>
                <w:szCs w:val="20"/>
                <w:lang w:val="en-US"/>
              </w:rPr>
            </w:pPr>
            <w:r w:rsidRPr="00EC3E91">
              <w:rPr>
                <w:rFonts w:cstheme="minorHAnsi"/>
                <w:sz w:val="20"/>
                <w:szCs w:val="20"/>
                <w:lang w:val="en-US"/>
              </w:rPr>
              <w:t xml:space="preserve">Antipsychotics </w:t>
            </w:r>
          </w:p>
        </w:tc>
        <w:tc>
          <w:tcPr>
            <w:tcW w:w="2126" w:type="dxa"/>
          </w:tcPr>
          <w:p w14:paraId="30F40FA1" w14:textId="57AAA039" w:rsidR="00FF4BD9" w:rsidRPr="00EC3E91" w:rsidRDefault="00FF4BD9" w:rsidP="00060412">
            <w:pPr>
              <w:rPr>
                <w:rFonts w:cstheme="minorHAnsi"/>
                <w:sz w:val="20"/>
                <w:szCs w:val="20"/>
                <w:lang w:val="en-US"/>
              </w:rPr>
            </w:pPr>
            <w:r w:rsidRPr="00EC3E91">
              <w:rPr>
                <w:rFonts w:cstheme="minorHAnsi"/>
                <w:sz w:val="20"/>
                <w:szCs w:val="20"/>
                <w:lang w:val="en-US"/>
              </w:rPr>
              <w:t>Inappropriate prescribing of antipsychotics in care homes</w:t>
            </w:r>
          </w:p>
        </w:tc>
        <w:tc>
          <w:tcPr>
            <w:tcW w:w="3969" w:type="dxa"/>
          </w:tcPr>
          <w:p w14:paraId="1E087220" w14:textId="1C30A595" w:rsidR="00FF4BD9" w:rsidRPr="00EC3E91" w:rsidRDefault="00FF4BD9" w:rsidP="00913392">
            <w:pPr>
              <w:rPr>
                <w:rFonts w:cstheme="minorHAnsi"/>
                <w:sz w:val="20"/>
                <w:szCs w:val="20"/>
                <w:lang w:val="en-US"/>
              </w:rPr>
            </w:pPr>
            <w:r w:rsidRPr="00EC3E91">
              <w:rPr>
                <w:rFonts w:cstheme="minorHAnsi"/>
                <w:sz w:val="20"/>
                <w:szCs w:val="20"/>
                <w:lang w:val="en-US"/>
              </w:rPr>
              <w:t>Optimising treatment and care for behavioural and psychological symptoms of dementia. Alzheimer’s Society.</w:t>
            </w:r>
          </w:p>
        </w:tc>
        <w:tc>
          <w:tcPr>
            <w:tcW w:w="2551" w:type="dxa"/>
          </w:tcPr>
          <w:p w14:paraId="450EF8E9" w14:textId="402F2E8D" w:rsidR="00FF4BD9" w:rsidRPr="00EC3E91" w:rsidRDefault="00FF4BD9" w:rsidP="00060412">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2210980E" w14:textId="77777777" w:rsidTr="00FF4BD9">
        <w:trPr>
          <w:tblHeader/>
        </w:trPr>
        <w:tc>
          <w:tcPr>
            <w:tcW w:w="709" w:type="dxa"/>
          </w:tcPr>
          <w:p w14:paraId="61110B37" w14:textId="74029416"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{"citationItems":[{"id":"ITEM-1","itemData":{"ISSN":"0002-8614","abstract":"OBJECTIVES: To evaluate the effect of a knowledge translation (KT) strategy to reduce potentially inappropriate medication (PIM) use in hospitalized elderly adults. DESIGN: Segmented regression analysis of an interrupted time series. SETTING: Teaching hospital. PARTICIPANTS: Individuals aged 75 and older discharged from the hospital in 2013/14 (mean age 83.3, 54.5% female). INTERVENTION: The KT strategy comprises the distribution of educational materials, presentations by geriatricians, pharmacist-physician interventions based on alerts from a computerized alert system, and comprehensive geriatric assessments. MEASUREMENTS: Rate of PIM use (number of patient-days with use of at least one PIM/number of patient-days of hospitalization for individuals aged &gt;=75). RESULTS: For 8,622 patients with 14,071 admissions, a total of 145,061 patient-days were analyzed. One or more PIMs were prescribed on 28,776 (19.8%) patient-days; a higher rate was found for individuals aged 75 to 84 (24.0%) than for those aged 85 and older (14.4%) (P &lt; .001), and in women (20.8%) than in men (18.6%) (P &lt; .001). The drug classes most frequently accounting for the PIM were gastrointestinal agents (21%), antihistamines (18%), and antidepressants (17%). An absolute decrease of 3.5% (P &lt; .001) of patient-days with at least one PIM was observed immediately after the intervention. CONCLUSION: A KT strategy resulted in decreased use of PIM in elderly adults in the hospital. Additional interventions will be implemented to maintain or further reduce PIM use.","author":[{"dropping-particle":"","family":"Cossette","given":"B","non-dropping-particle":"","parse-names":false,"suffix":""},{"dropping-particle":"","family":"Bergeron","given":"J","non-dropping-particle":"","parse-names":false,"suffix":""},{"dropping-particle":"","family":"Ricard","given":"G","non-dropping-particle":"","parse-names":false,"suffix":""},{"dropping-particle":"","family":"Ethier","given":"J F","non-dropping-particle":"","parse-names":false,"suffix":""},{"dropping-particle":"","family":"Joly-Mischlich","given":"T","non-dropping-particle":"","parse-names":false,"suffix":""},{"dropping-particle":"","family":"Levine","given":"M","non-dropping-particle":"","parse-names":false,"suffix":""},{"dropping-particle":"","family":"Sene","given":"M","non-dropping-particle":"","parse-names":false,"suffix":""},{"dropping-particle":"","family":"Mallet","given":"L","non-dropping-particle":"","parse-names":false,"suffix":""},{"dropping-particle":"","family":"Lanthier","given":"L","non-dropping-particle":"","parse-names":false,"suffix":""},{"dropping-particle":"","family":"Payette","given":"H","non-dropping-particle":"","parse-names":false,"suffix":""},{"dropping-particle":"","family":"Rodrigue","given":"M C","non-dropping-particle":"","parse-names":false,"suffix":""},{"dropping-particle":"","family":"Brazeau","given":"S","non-dropping-particle":"","parse-names":false,"suffix":""}],"container-title":"Journal of the American Geriatrics Society","id":"ITEM-1","issue":"12","issued":{"date-parts":[["2016"]]},"page":"2487-2494","title":"Knowledge Translation Strategy to Reduce the Use of Potentially Inappropriate Medications in Hospitalized Elderly Adults","type":"article-journal","volume":"64"},"uris":["http://www.mendeley.com/documents/?uuid=6b73d837-3c2a-4d5c-a0d5-1b08bc2c2ab9"]}],"mendeley":{"formattedCitation":"(84)","plainTextFormattedCitation":"(84)","previouslyFormattedCitation":"(84)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(84)</w:t>
            </w:r>
            <w:r w:rsidRPr="00EC3E91">
              <w:rPr>
                <w:rFonts w:cstheme="minorHAnsi"/>
                <w:sz w:val="20"/>
                <w:szCs w:val="20"/>
                <w:lang w:val="en-US"/>
              </w:rPr>
              <w:fldChar w:fldCharType="end"/>
            </w:r>
          </w:p>
        </w:tc>
        <w:tc>
          <w:tcPr>
            <w:tcW w:w="992" w:type="dxa"/>
          </w:tcPr>
          <w:p w14:paraId="65E833E4" w14:textId="3EC23A18" w:rsidR="00FF4BD9" w:rsidRPr="00EC3E91" w:rsidRDefault="00FF4BD9" w:rsidP="00060412">
            <w:pPr>
              <w:rPr>
                <w:rFonts w:cstheme="minorHAnsi"/>
                <w:sz w:val="20"/>
                <w:szCs w:val="20"/>
                <w:lang w:val="en-US"/>
              </w:rPr>
            </w:pPr>
            <w:r w:rsidRPr="00EC3E91">
              <w:rPr>
                <w:rFonts w:cstheme="minorHAnsi"/>
                <w:sz w:val="20"/>
                <w:szCs w:val="20"/>
                <w:lang w:val="en-US"/>
              </w:rPr>
              <w:t xml:space="preserve">Canada </w:t>
            </w:r>
          </w:p>
        </w:tc>
        <w:tc>
          <w:tcPr>
            <w:tcW w:w="993" w:type="dxa"/>
          </w:tcPr>
          <w:p w14:paraId="181B95C9" w14:textId="49CBB6FC"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754DFF55" w14:textId="3228BC7F"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4C494C60" w14:textId="7D3CEEB6"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3303D951" w14:textId="0E751CB3" w:rsidR="00FF4BD9" w:rsidRPr="00EC3E91" w:rsidRDefault="00FF4BD9" w:rsidP="00060412">
            <w:pPr>
              <w:rPr>
                <w:rFonts w:cstheme="minorHAnsi"/>
                <w:sz w:val="20"/>
                <w:szCs w:val="20"/>
                <w:lang w:val="en-US"/>
              </w:rPr>
            </w:pPr>
            <w:r w:rsidRPr="00EC3E91">
              <w:rPr>
                <w:rFonts w:cstheme="minorHAnsi"/>
                <w:sz w:val="20"/>
                <w:szCs w:val="20"/>
                <w:lang w:val="en-US"/>
              </w:rPr>
              <w:t xml:space="preserve"> PIM Elderly </w:t>
            </w:r>
          </w:p>
        </w:tc>
        <w:tc>
          <w:tcPr>
            <w:tcW w:w="2126" w:type="dxa"/>
          </w:tcPr>
          <w:p w14:paraId="35B4B51E" w14:textId="2F4FC380"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 in hospitalized elderly adults</w:t>
            </w:r>
          </w:p>
        </w:tc>
        <w:tc>
          <w:tcPr>
            <w:tcW w:w="3969" w:type="dxa"/>
          </w:tcPr>
          <w:p w14:paraId="70951EAE" w14:textId="6CD6B5E8" w:rsidR="00FF4BD9" w:rsidRPr="00EC3E91" w:rsidRDefault="00FF4BD9" w:rsidP="00913392">
            <w:pPr>
              <w:rPr>
                <w:rFonts w:cstheme="minorHAnsi"/>
                <w:sz w:val="20"/>
                <w:szCs w:val="20"/>
                <w:lang w:val="en-US"/>
              </w:rPr>
            </w:pPr>
            <w:r w:rsidRPr="00EC3E91">
              <w:rPr>
                <w:rFonts w:cstheme="minorHAnsi"/>
                <w:sz w:val="20"/>
                <w:szCs w:val="20"/>
                <w:lang w:val="en-US"/>
              </w:rPr>
              <w:t>Beers Criteria</w:t>
            </w:r>
          </w:p>
        </w:tc>
        <w:tc>
          <w:tcPr>
            <w:tcW w:w="2551" w:type="dxa"/>
          </w:tcPr>
          <w:p w14:paraId="23C6F0CC" w14:textId="0BCDA072" w:rsidR="00FF4BD9" w:rsidRPr="00EC3E91" w:rsidRDefault="00FF4BD9" w:rsidP="00905EC7">
            <w:pPr>
              <w:rPr>
                <w:rFonts w:cstheme="minorHAnsi"/>
                <w:sz w:val="20"/>
                <w:szCs w:val="20"/>
                <w:lang w:val="en-US"/>
              </w:rPr>
            </w:pPr>
            <w:r w:rsidRPr="00EC3E91">
              <w:rPr>
                <w:rFonts w:cstheme="minorHAnsi"/>
                <w:sz w:val="20"/>
                <w:szCs w:val="20"/>
                <w:lang w:val="en-US"/>
              </w:rPr>
              <w:t>Develop educational materials, conduct educational meetings, develop and organize quality monitoring systems</w:t>
            </w:r>
          </w:p>
        </w:tc>
      </w:tr>
      <w:tr w:rsidR="00FF4BD9" w:rsidRPr="00E119DD" w14:paraId="3B64831C" w14:textId="77777777" w:rsidTr="00FF4BD9">
        <w:trPr>
          <w:tblHeader/>
        </w:trPr>
        <w:tc>
          <w:tcPr>
            <w:tcW w:w="709" w:type="dxa"/>
          </w:tcPr>
          <w:p w14:paraId="71A611AC" w14:textId="5AE9D0BC"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There has been an increase in the use of imaging modalities to diagnose appendicitis despite evidence that can help identify children at especially high or low risk of appendicitis who may not benefit. We hypothesized that the passive diffusion of a standardized care pathway (including diagnostic imaging recommendations) would improve the diagnostic workup of appendicitis by safely decreasing the use of unnecessary imaging when compared with historical controls and that an electronic, real-time decision support tool would decrease unnecessary imaging. METHODS: We used an interrupted time series trial to compare proportions of patients who underwent diagnostic imaging (computed tomography [CT] and ultrasound) between 3 time periods: baseline historical controls, after passive diffusion of a diagnostic workup clinical pathway, and after introduction of an electronic medical record-embedded clinical decision support tool that provides point-of-care imaging recommendations (active intervention). RESULTS: The moderate- and high-risk groups showed lower proportions of CT in the passive and active intervention time periods compared with the historical control group. Proportions of patients undergoing ultrasound in all 3 risk groups showed an increase from the historical baseline. Time series analysis confirmed that time trends within any individual time period were not significant; thus, incidental secular trends over time did not appear to explain the decreased use of CT. CONCLUSIONS: Passive and active decision support tools minimized unnecessary CT imaging; long-term effects remain an important area of study.","author":[{"dropping-particle":"","family":"Depinet","given":"H","non-dropping-particle":"","parse-names":false,"suffix":""},{"dropping-particle":"","family":"Allmen","given":"D","non-dropping-particle":"von","parse-names":false,"suffix":""},{"dropping-particle":"","family":"Towbin","given":"A","non-dropping-particle":"","parse-names":false,"suffix":""},{"dropping-particle":"","family":"Hornung","given":"R","non-dropping-particle":"","parse-names":false,"suffix":""},{"dropping-particle":"","family":"Ho","given":"M","non-dropping-particle":"","parse-names":false,"suffix":""},{"dropping-particle":"","family":"Aless","given":"","non-dropping-particle":"","parse-names":false,"suffix":""},{"dropping-particle":"","family":"Rini","given":"E","non-dropping-particle":"","parse-names":false,"suffix":""}],"container-title":"Pediatrics","id":"ITEM-1","issue":"3","issued":{"date-parts":[["2016"]]},"title":"Risk Stratification to Decrease Unnecessary Diagnostic Imaging for Acute Appendicitis","type":"article-journal","volume":"138"},"uris":["http://www.mendeley.com/documents/?uuid=990dfdfc-c065-4393-9066-bf025732715b"]}],"mendeley":{"formattedCitation":"(85)","plainTextFormattedCitation":"(85)","previouslyFormattedCitation":"(85)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(85)</w:t>
            </w:r>
            <w:r w:rsidRPr="00EC3E91">
              <w:rPr>
                <w:rFonts w:cstheme="minorHAnsi"/>
                <w:sz w:val="20"/>
                <w:szCs w:val="20"/>
                <w:lang w:val="en-US"/>
              </w:rPr>
              <w:fldChar w:fldCharType="end"/>
            </w:r>
          </w:p>
        </w:tc>
        <w:tc>
          <w:tcPr>
            <w:tcW w:w="992" w:type="dxa"/>
          </w:tcPr>
          <w:p w14:paraId="0B00E35B" w14:textId="59B2FFD8"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3C1ED4E1" w14:textId="5CFC02A6"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05D985C5" w14:textId="7B0C8659"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04ED9BBB" w14:textId="10D20167"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2A7BFB26" w14:textId="4A6EC4C0" w:rsidR="00FF4BD9" w:rsidRPr="00EC3E91" w:rsidRDefault="00226199" w:rsidP="00060412">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715EACB4" w14:textId="6A445C81" w:rsidR="00FF4BD9" w:rsidRPr="00EC3E91" w:rsidRDefault="00746D40" w:rsidP="00060412">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imaging</w:t>
            </w:r>
          </w:p>
        </w:tc>
        <w:tc>
          <w:tcPr>
            <w:tcW w:w="3969" w:type="dxa"/>
          </w:tcPr>
          <w:p w14:paraId="581475AB" w14:textId="135CB387" w:rsidR="00FF4BD9" w:rsidRPr="00EC3E91" w:rsidRDefault="00FF4BD9" w:rsidP="00913392">
            <w:pPr>
              <w:rPr>
                <w:rFonts w:cstheme="minorHAnsi"/>
                <w:sz w:val="20"/>
                <w:szCs w:val="20"/>
                <w:lang w:val="en-US"/>
              </w:rPr>
            </w:pPr>
            <w:r w:rsidRPr="00EC3E91">
              <w:rPr>
                <w:rFonts w:cstheme="minorHAnsi"/>
                <w:sz w:val="20"/>
                <w:szCs w:val="20"/>
                <w:lang w:val="en-US"/>
              </w:rPr>
              <w:t xml:space="preserve">American College of Emergency Physicians. Clinical policy: critical issues in the evaluation and management of emergency department patients with suspected appendicitis. </w:t>
            </w:r>
          </w:p>
        </w:tc>
        <w:tc>
          <w:tcPr>
            <w:tcW w:w="2551" w:type="dxa"/>
          </w:tcPr>
          <w:p w14:paraId="23F2F9C3" w14:textId="12AEEDCD" w:rsidR="00FF4BD9" w:rsidRPr="00EC3E91" w:rsidRDefault="00FF4BD9" w:rsidP="00060412">
            <w:pPr>
              <w:rPr>
                <w:rFonts w:cstheme="minorHAnsi"/>
                <w:sz w:val="20"/>
                <w:szCs w:val="20"/>
                <w:lang w:val="en-US"/>
              </w:rPr>
            </w:pPr>
            <w:r w:rsidRPr="00EC3E91">
              <w:rPr>
                <w:rFonts w:cstheme="minorHAnsi"/>
                <w:sz w:val="20"/>
                <w:szCs w:val="20"/>
                <w:lang w:val="en-US"/>
              </w:rPr>
              <w:t xml:space="preserve">Assess and redesign workflow, conduct educational meeting, develop educational material, remind clinicians, use advisory boards and workgroups. </w:t>
            </w:r>
          </w:p>
        </w:tc>
      </w:tr>
      <w:tr w:rsidR="00FF4BD9" w:rsidRPr="00E119DD" w14:paraId="2E034FB9" w14:textId="77777777" w:rsidTr="00FF4BD9">
        <w:trPr>
          <w:tblHeader/>
        </w:trPr>
        <w:tc>
          <w:tcPr>
            <w:tcW w:w="709" w:type="dxa"/>
          </w:tcPr>
          <w:p w14:paraId="1A0697C6" w14:textId="1C38960B"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{"citationItems":[{"id":"ITEM-1","itemData":{"abstract":"Antimicrobial resistance is a growing public health concern. Antimicrobial stewardship and multi-disciplinary intervention can prevent inappropriate antimicrobial use and improve patient care. Special populations, especially older adults and patients with mental health disorders, can be particularly in need of such intervention. The purpose of this project was to assess the impact of pharmacist intervention on appropriateness of antimicrobial prescribing on a geriatric psychiatric unit (GPU). Patients &gt;=18 years old prescribed oral antibiotics during GPU admission were included. Antimicrobial appropriateness was assessed pre- and post-pharmacist intervention. During the six-month pre- and post-intervention phase, 63 and 70 patients prescribed antibiotics were identified, respectively. Subjects in the post-intervention group had significantly less inappropriate doses for indication compared to the pre-intervention group (10.6% vs. 23.9%, p = 0.02), and significantly less antibiotics prescribed for an inappropriate duration (15.8% vs. 32.4%, p &lt; 0.01). There were no significant differences for use of appropriate drug for indication or appropriate dose for renal function between groups. Significantly more patients in the post intervention group had medications prescribed with appropriate dose, duration, and indication (51% vs. 66%, p = 0.04). Pharmacist intervention was associated with decreased rates of inappropriate antimicrobial prescribing on a geriatric psychiatric unit.","author":[{"dropping-particle":"","family":"Ellis","given":"K","non-dropping-particle":"","parse-names":false,"suffix":""},{"dropping-particle":"","family":"Rubal-Peace","given":"G","non-dropping-particle":"","parse-names":false,"suffix":""},{"dropping-particle":"","family":"Chang","given":"V","non-dropping-particle":"","parse-names":false,"suffix":""},{"dropping-particle":"","family":"Liang","given":"E","non-dropping-particle":"","parse-names":false,"suffix":""},{"dropping-particle":"","family":"Wong","given":"N","non-dropping-particle":"","parse-names":false,"suffix":""},{"dropping-particle":"","family":"Campbell","given":"S","non-dropping-particle":"","parse-names":false,"suffix":""}],"container-title":"Antibiotics","id":"ITEM-1","issue":"1","issued":{"date-parts":[["2016"]]},"page":"19","title":"Antimicrobial Stewardship for a Geriatric Behavioral Health Population","type":"article-journal","volume":"5"},"uris":["http://www.mendeley.com/documents/?uuid=0accd688-b08c-49d7-a75b-a45a4b469b7a"]}],"mendeley":{"formattedCitation":"(86)","plainTextFormattedCitation":"(86)","previouslyFormattedCitation":"(86)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(86)</w:t>
            </w:r>
            <w:r w:rsidRPr="00EC3E91">
              <w:rPr>
                <w:rFonts w:cstheme="minorHAnsi"/>
                <w:sz w:val="20"/>
                <w:szCs w:val="20"/>
                <w:lang w:val="en-US"/>
              </w:rPr>
              <w:fldChar w:fldCharType="end"/>
            </w:r>
          </w:p>
        </w:tc>
        <w:tc>
          <w:tcPr>
            <w:tcW w:w="992" w:type="dxa"/>
          </w:tcPr>
          <w:p w14:paraId="09F94F2A" w14:textId="51AE2933"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3C5EB5A1" w14:textId="2BEDBA64"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186AC43F" w14:textId="1F96882A"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52F767CC" w14:textId="79C47A88"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7855DED0" w14:textId="5C3FAF27" w:rsidR="00FF4BD9" w:rsidRPr="00EC3E91" w:rsidRDefault="00FF4BD9" w:rsidP="00060412">
            <w:pPr>
              <w:rPr>
                <w:rFonts w:cstheme="minorHAnsi"/>
                <w:sz w:val="20"/>
                <w:szCs w:val="20"/>
                <w:lang w:val="en-US"/>
              </w:rPr>
            </w:pPr>
            <w:r w:rsidRPr="00EC3E91">
              <w:rPr>
                <w:rFonts w:cstheme="minorHAnsi"/>
                <w:sz w:val="20"/>
                <w:szCs w:val="20"/>
                <w:lang w:val="en-US"/>
              </w:rPr>
              <w:t xml:space="preserve">Antibiotics </w:t>
            </w:r>
          </w:p>
        </w:tc>
        <w:tc>
          <w:tcPr>
            <w:tcW w:w="2126" w:type="dxa"/>
          </w:tcPr>
          <w:p w14:paraId="1151CC60" w14:textId="797C0E90" w:rsidR="00FF4BD9" w:rsidRPr="00EC3E91" w:rsidRDefault="00FF4BD9" w:rsidP="00060412">
            <w:pPr>
              <w:rPr>
                <w:rFonts w:cstheme="minorHAnsi"/>
                <w:sz w:val="20"/>
                <w:szCs w:val="20"/>
                <w:lang w:val="en-US"/>
              </w:rPr>
            </w:pPr>
            <w:r w:rsidRPr="00EC3E91">
              <w:rPr>
                <w:rFonts w:cstheme="minorHAnsi"/>
                <w:sz w:val="20"/>
                <w:szCs w:val="20"/>
                <w:lang w:val="en-US"/>
              </w:rPr>
              <w:t>Inappropriate use of antibiotics</w:t>
            </w:r>
          </w:p>
        </w:tc>
        <w:tc>
          <w:tcPr>
            <w:tcW w:w="3969" w:type="dxa"/>
          </w:tcPr>
          <w:p w14:paraId="0A1A2744" w14:textId="42EFCA06" w:rsidR="00FF4BD9" w:rsidRPr="00EC3E91" w:rsidRDefault="00FF4BD9" w:rsidP="00913392">
            <w:pPr>
              <w:rPr>
                <w:rFonts w:cstheme="minorHAnsi"/>
                <w:sz w:val="20"/>
                <w:szCs w:val="20"/>
                <w:lang w:val="en-US"/>
              </w:rPr>
            </w:pPr>
            <w:r w:rsidRPr="00EC3E91">
              <w:rPr>
                <w:rFonts w:cstheme="minorHAnsi"/>
                <w:sz w:val="20"/>
                <w:szCs w:val="20"/>
                <w:lang w:val="en-US"/>
              </w:rPr>
              <w:t xml:space="preserve">Infectious Diseases Society of America (IDSA) guidelines and the Global Initiative for Chronic Obstructive Lung Disease (GOLD) guidelines for </w:t>
            </w:r>
            <w:r w:rsidR="007C48FF" w:rsidRPr="00EC3E91">
              <w:rPr>
                <w:rFonts w:cstheme="minorHAnsi"/>
                <w:sz w:val="20"/>
                <w:szCs w:val="20"/>
                <w:lang w:val="en-US"/>
              </w:rPr>
              <w:t>appropriate</w:t>
            </w:r>
            <w:r w:rsidRPr="00EC3E91">
              <w:rPr>
                <w:rFonts w:cstheme="minorHAnsi"/>
                <w:sz w:val="20"/>
                <w:szCs w:val="20"/>
                <w:lang w:val="en-US"/>
              </w:rPr>
              <w:t xml:space="preserve"> Type of Infection, drug selection and duration.</w:t>
            </w:r>
          </w:p>
        </w:tc>
        <w:tc>
          <w:tcPr>
            <w:tcW w:w="2551" w:type="dxa"/>
          </w:tcPr>
          <w:p w14:paraId="5CA3F45B" w14:textId="48939FF0" w:rsidR="00FF4BD9" w:rsidRPr="00EC3E91" w:rsidRDefault="00FF4BD9" w:rsidP="00060412">
            <w:pPr>
              <w:rPr>
                <w:rFonts w:cstheme="minorHAnsi"/>
                <w:sz w:val="20"/>
                <w:szCs w:val="20"/>
                <w:lang w:val="en-US"/>
              </w:rPr>
            </w:pPr>
            <w:r w:rsidRPr="00EC3E91">
              <w:rPr>
                <w:rFonts w:cstheme="minorHAnsi"/>
                <w:sz w:val="20"/>
                <w:szCs w:val="20"/>
                <w:lang w:val="en-US"/>
              </w:rPr>
              <w:t>Develop and organize quality monitoring system.</w:t>
            </w:r>
          </w:p>
          <w:p w14:paraId="28610B82" w14:textId="18E233B5" w:rsidR="00FF4BD9" w:rsidRPr="00EC3E91" w:rsidRDefault="00FF4BD9" w:rsidP="00060412">
            <w:pPr>
              <w:rPr>
                <w:rFonts w:cstheme="minorHAnsi"/>
                <w:sz w:val="20"/>
                <w:szCs w:val="20"/>
                <w:lang w:val="en-US"/>
              </w:rPr>
            </w:pPr>
          </w:p>
        </w:tc>
      </w:tr>
      <w:tr w:rsidR="00FF4BD9" w:rsidRPr="00E119DD" w14:paraId="0DB88F0B" w14:textId="77777777" w:rsidTr="00FF4BD9">
        <w:trPr>
          <w:tblHeader/>
        </w:trPr>
        <w:tc>
          <w:tcPr>
            <w:tcW w:w="709" w:type="dxa"/>
          </w:tcPr>
          <w:p w14:paraId="50162959" w14:textId="5EBA650D"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{"citationItems":[{"id":"ITEM-1","itemData":{"ISSN":"1554-7477","abstract":"QUESTION ASKED: Centers for Medicare and Medicaid Services (CMS) is making small adjustments to physician reimbursement to improve the value of care delivered to Medicare beneficiaries under fee-for-service. Using localized prostate cancer as a model, we examined whether these small reimbursement changes were enough to increase the value of cancer care. SUMMARY ANSWER: Small variations in fee-for-service reimbursement for costly physician-administered prostate cancer drugs in the early 2000s did not reduce low-value care, suggesting that small payment changes may not be enough to motivate improvements in care quality. Moreover, patient clinical characteristics and practice organization were associated with low-value care (Table 3). METHODS: We conducted a natural experiment exploiting unintended differences in regional Medicare carriers' payment of Part B drug claims. Using data from SEER registries that are linked to Medicare claims, we conducted multilevel analysis to assess whether the reimbursement variation affected urologists' inappropriate use of gonadotropin-releasing hormone (GnRH) agonists. These drugs are often used, and misused, in prostate cancer treatment. BIAS, CONFOUNDING FACTOR(S), DRAWBACKS: We conducted our study among urologists. Much of cancer care is delivered by medical and radiation oncologists and our results may not be generalizable to these providers. Future studies should address these groups specifically to compare how reimbursement changes, both small and large, affect prescribing of GnRH agonists to complete our understanding of the clinical and practice contexts in which reimbursement does or does not change clinical decision making. REAL-LIFE IMPLICATIONS: CMS' efforts to align reimbursement with high quality care should continue. However, our findings suggest that small adjustments to reimbursement on the order of 2% to 3% may be insufficient to improve the value of care delivered by urologists treating localized prostate cancer. Other efforts may also be needed to change physicians' behavior, such as CMS' identification of low-performing practices through publication of quality ratings and targeted, physician-centered interventions to support health care providers who are not adherent to guidelines.","author":[{"dropping-particle":"","family":"Ellis","given":"S D","non-dropping-particle":"","parse-names":false,"suffix":""},{"dropping-particle":"","family":"Chen","given":"R C","non-dropping-particle":"","parse-names":false,"suffix":""},{"dropping-particle":"","family":"Dusetzina","given":"S B","non-dropping-particle":"","parse-names":false,"suffix":""},{"dropping-particle":"","family":"Wheeler","given":"S B","non-dropping-particle":"","parse-names":false,"suffix":""},{"dropping-particle":"","family":"Jackson","given":"G L","non-dropping-particle":"","parse-names":false,"suffix":""},{"dropping-particle":"","family":"Nielsen","given":"M E","non-dropping-particle":"","parse-names":false,"suffix":""},{"dropping-particle":"","family":"Carpenter","given":"W R","non-dropping-particle":"","parse-names":false,"suffix":""},{"dropping-particle":"","family":"Weinberger","given":"M","non-dropping-particle":"","parse-names":false,"suffix":""}],"container-title":"Journal of Oncology Practice","id":"ITEM-1","issue":"4","issued":{"date-parts":[["2016"]]},"page":"e423-e436","title":"Are small reimbursement changes enough to change cancer care? reimbursement variation in prostate cancer treatment","type":"article-journal","volume":"12"},"uris":["http://www.mendeley.com/documents/?uuid=a37d1bee-1a02-4ac2-880e-e0a07623554b"]}],"mendeley":{"formattedCitation":"(87)","plainTextFormattedCitation":"(87)","previouslyFormattedCitation":"(87)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(87)</w:t>
            </w:r>
            <w:r w:rsidRPr="00EC3E91">
              <w:rPr>
                <w:rFonts w:cstheme="minorHAnsi"/>
                <w:sz w:val="20"/>
                <w:szCs w:val="20"/>
                <w:lang w:val="en-US"/>
              </w:rPr>
              <w:fldChar w:fldCharType="end"/>
            </w:r>
          </w:p>
        </w:tc>
        <w:tc>
          <w:tcPr>
            <w:tcW w:w="992" w:type="dxa"/>
          </w:tcPr>
          <w:p w14:paraId="7D3D1D8F" w14:textId="0C2292D0" w:rsidR="00FF4BD9" w:rsidRPr="00EC3E91" w:rsidRDefault="00FF4BD9" w:rsidP="00060412">
            <w:pPr>
              <w:rPr>
                <w:rFonts w:cstheme="minorHAnsi"/>
                <w:sz w:val="20"/>
                <w:szCs w:val="20"/>
                <w:lang w:val="en-US"/>
              </w:rPr>
            </w:pPr>
            <w:r w:rsidRPr="00EC3E91">
              <w:rPr>
                <w:rFonts w:cstheme="minorHAnsi"/>
                <w:sz w:val="20"/>
                <w:szCs w:val="20"/>
                <w:lang w:val="en-US"/>
              </w:rPr>
              <w:t>US</w:t>
            </w:r>
          </w:p>
        </w:tc>
        <w:tc>
          <w:tcPr>
            <w:tcW w:w="993" w:type="dxa"/>
          </w:tcPr>
          <w:p w14:paraId="2CA3FC2C" w14:textId="7F5C8167" w:rsidR="00FF4BD9" w:rsidRPr="00EC3E91" w:rsidRDefault="00FF4BD9" w:rsidP="00060412">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2A0DFC54" w14:textId="43A87CE7" w:rsidR="00FF4BD9" w:rsidRPr="00EC3E91" w:rsidRDefault="00FF4BD9" w:rsidP="00060412">
            <w:pPr>
              <w:rPr>
                <w:rFonts w:cstheme="minorHAnsi"/>
                <w:sz w:val="20"/>
                <w:szCs w:val="20"/>
                <w:lang w:val="en-US"/>
              </w:rPr>
            </w:pPr>
            <w:r w:rsidRPr="00EC3E91">
              <w:rPr>
                <w:rFonts w:cstheme="minorHAnsi"/>
                <w:sz w:val="20"/>
                <w:szCs w:val="20"/>
                <w:lang w:val="en-US"/>
              </w:rPr>
              <w:t xml:space="preserve">Quant Cohort </w:t>
            </w:r>
          </w:p>
        </w:tc>
        <w:tc>
          <w:tcPr>
            <w:tcW w:w="851" w:type="dxa"/>
          </w:tcPr>
          <w:p w14:paraId="7595DBE8" w14:textId="2E753F66"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112258BB" w14:textId="11176CD6" w:rsidR="00FF4BD9" w:rsidRPr="00EC3E91" w:rsidRDefault="00FF4BD9" w:rsidP="00060412">
            <w:pPr>
              <w:rPr>
                <w:rFonts w:cstheme="minorHAnsi"/>
                <w:sz w:val="20"/>
                <w:szCs w:val="20"/>
                <w:lang w:val="en-US"/>
              </w:rPr>
            </w:pPr>
            <w:r w:rsidRPr="00EC3E91">
              <w:rPr>
                <w:rFonts w:cstheme="minorHAnsi"/>
                <w:sz w:val="20"/>
                <w:szCs w:val="20"/>
                <w:lang w:val="en-US"/>
              </w:rPr>
              <w:t xml:space="preserve">Radiotherapy </w:t>
            </w:r>
          </w:p>
        </w:tc>
        <w:tc>
          <w:tcPr>
            <w:tcW w:w="2126" w:type="dxa"/>
          </w:tcPr>
          <w:p w14:paraId="6DB2C4BD" w14:textId="554CD62E" w:rsidR="00FF4BD9" w:rsidRPr="00EC3E91" w:rsidRDefault="00FF4BD9" w:rsidP="00060412">
            <w:pPr>
              <w:rPr>
                <w:rFonts w:cstheme="minorHAnsi"/>
                <w:sz w:val="20"/>
                <w:szCs w:val="20"/>
                <w:lang w:val="en-US"/>
              </w:rPr>
            </w:pPr>
            <w:r w:rsidRPr="00EC3E91">
              <w:rPr>
                <w:rFonts w:cstheme="minorHAnsi"/>
                <w:sz w:val="20"/>
                <w:szCs w:val="20"/>
                <w:lang w:val="en-US"/>
              </w:rPr>
              <w:t>Inappropriate use of androgen-deprivation therapy for patients with early prostate cancer</w:t>
            </w:r>
          </w:p>
        </w:tc>
        <w:tc>
          <w:tcPr>
            <w:tcW w:w="3969" w:type="dxa"/>
          </w:tcPr>
          <w:p w14:paraId="6B99CF06" w14:textId="0F35745D" w:rsidR="00FF4BD9" w:rsidRPr="00EC3E91" w:rsidRDefault="00FF4BD9" w:rsidP="00AE1E5B">
            <w:pPr>
              <w:rPr>
                <w:rFonts w:cstheme="minorHAnsi"/>
                <w:sz w:val="20"/>
                <w:szCs w:val="20"/>
                <w:lang w:val="en-US"/>
              </w:rPr>
            </w:pPr>
            <w:r w:rsidRPr="00EC3E91">
              <w:rPr>
                <w:rFonts w:cstheme="minorHAnsi"/>
                <w:sz w:val="20"/>
                <w:szCs w:val="20"/>
                <w:lang w:val="en-US"/>
              </w:rPr>
              <w:t xml:space="preserve">NCCN practice guidelines for prostate cancer. </w:t>
            </w:r>
          </w:p>
          <w:p w14:paraId="5F0A5F0C" w14:textId="77777777" w:rsidR="00FF4BD9" w:rsidRPr="00EC3E91" w:rsidRDefault="00FF4BD9" w:rsidP="00AE1E5B">
            <w:pPr>
              <w:rPr>
                <w:rFonts w:cstheme="minorHAnsi"/>
                <w:sz w:val="20"/>
                <w:szCs w:val="20"/>
                <w:lang w:val="en-US"/>
              </w:rPr>
            </w:pPr>
          </w:p>
          <w:p w14:paraId="7E327972" w14:textId="48E44690" w:rsidR="00FF4BD9" w:rsidRPr="00EC3E91" w:rsidRDefault="00FF4BD9" w:rsidP="00913392">
            <w:pPr>
              <w:rPr>
                <w:rFonts w:cstheme="minorHAnsi"/>
                <w:sz w:val="20"/>
                <w:szCs w:val="20"/>
                <w:lang w:val="en-US"/>
              </w:rPr>
            </w:pPr>
            <w:r w:rsidRPr="00EC3E91">
              <w:rPr>
                <w:rFonts w:cstheme="minorHAnsi"/>
                <w:sz w:val="20"/>
                <w:szCs w:val="20"/>
                <w:lang w:val="en-US"/>
              </w:rPr>
              <w:t xml:space="preserve">NCCN Practice Guidelines in Oncology </w:t>
            </w:r>
          </w:p>
        </w:tc>
        <w:tc>
          <w:tcPr>
            <w:tcW w:w="2551" w:type="dxa"/>
          </w:tcPr>
          <w:p w14:paraId="716A151B" w14:textId="1CFFC77E" w:rsidR="00FF4BD9" w:rsidRPr="00EC3E91" w:rsidRDefault="00FF4BD9" w:rsidP="00060412">
            <w:pPr>
              <w:rPr>
                <w:rFonts w:cstheme="minorHAnsi"/>
                <w:sz w:val="20"/>
                <w:szCs w:val="20"/>
                <w:lang w:val="en-US"/>
              </w:rPr>
            </w:pPr>
            <w:r w:rsidRPr="00EC3E91">
              <w:rPr>
                <w:rFonts w:cstheme="minorHAnsi"/>
                <w:sz w:val="20"/>
                <w:szCs w:val="20"/>
                <w:lang w:val="en-US"/>
              </w:rPr>
              <w:t xml:space="preserve">Use other payment schemes </w:t>
            </w:r>
          </w:p>
        </w:tc>
      </w:tr>
      <w:tr w:rsidR="00FF4BD9" w:rsidRPr="00E119DD" w14:paraId="22242DEF" w14:textId="77777777" w:rsidTr="00FF4BD9">
        <w:trPr>
          <w:tblHeader/>
        </w:trPr>
        <w:tc>
          <w:tcPr>
            <w:tcW w:w="709" w:type="dxa"/>
          </w:tcPr>
          <w:p w14:paraId="7C545190" w14:textId="2707B8E4"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{"citationItems":[{"id":"ITEM-1","itemData":{"ISSN":"0009-9120","abstract":"OBJECTIVES: There is increasing recognition of the importance of appropriate laboratory test utilization. We investigate the effect of a multifaceted educational approach that includes physician feedback on individual test ordering, in conjunction with targeted restriction, on the utilization of selected laboratory tests. DESIGN AND METHODS: Scientific evidence was compiled on the usefulness and limitations of tests suspected of being over utilized in our laboratories. A variety of approaches were used to deliver education on each of the targeted tests, with greater focus on primary care physicians (PCPs). Feedback on requesting behavior of these tests was also communicated to the latter group which included an educational component. Laboratory based restriction of testing was also exercised, including the unbundling of our electrolyte panel. RESULTS: PCP requesting patterns for the selected tests were found to be markedly skewed. The interventions implemented over the study period resulted in a substantial 51% reduction in overall ordering of five of the targeted tests equating to an annual marginal cost saving of $60,124. Unbundling of the electrolyte panel resulted in marginal cost savings that equated annually to $42,500 on chloride and $48,000 on total CO2. CONCLUSIONS: A multifaceted educational approach combined with feedback on utilization and laboratory driven gate-keeping significantly reduced the number of laboratory tests suspected of being redundant or unjustifiably requested. Laboratory professionals are well positioned to manage demand on laboratory tests by utilizing evidence base in developing specific test ordering directives and gate-keeping rules.","author":[{"dropping-particle":"","family":"Elnenaei","given":"M O","non-dropping-particle":"","parse-names":false,"suffix":""},{"dropping-particle":"","family":"Campbell","given":"S G","non-dropping-particle":"","parse-names":false,"suffix":""},{"dropping-particle":"","family":"Thoni","given":"A J","non-dropping-particle":"","parse-names":false,"suffix":""},{"dropping-particle":"","family":"Lou","given":"A","non-dropping-particle":"","parse-names":false,"suffix":""},{"dropping-particle":"","family":"Crocker","given":"B D","non-dropping-particle":"","parse-names":false,"suffix":""},{"dropping-particle":"","family":"Nassar","given":"B A","non-dropping-particle":"","parse-names":false,"suffix":""}],"container-title":"Clinical Biochemistry","id":"ITEM-1","issue":"3","issued":{"date-parts":[["2016"]]},"page":"208-212","title":"An effective utilization management strategy by dual approach of influencing physician ordering and gate keeping","type":"article-journal","volume":"49"},"uris":["http://www.mendeley.com/documents/?uuid=b9fa38bd-9b9c-43a8-a209-8095c9276140"]}],"mendeley":{"formattedCitation":"(88)","plainTextFormattedCitation":"(88)","previouslyFormattedCitation":"(88)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(88)</w:t>
            </w:r>
            <w:r w:rsidRPr="00EC3E91">
              <w:rPr>
                <w:rFonts w:cstheme="minorHAnsi"/>
                <w:sz w:val="20"/>
                <w:szCs w:val="20"/>
                <w:lang w:val="en-US"/>
              </w:rPr>
              <w:fldChar w:fldCharType="end"/>
            </w:r>
          </w:p>
        </w:tc>
        <w:tc>
          <w:tcPr>
            <w:tcW w:w="992" w:type="dxa"/>
          </w:tcPr>
          <w:p w14:paraId="49CA06D6" w14:textId="04EEAAED" w:rsidR="00FF4BD9" w:rsidRPr="00EC3E91" w:rsidRDefault="00FF4BD9" w:rsidP="00060412">
            <w:pPr>
              <w:rPr>
                <w:rFonts w:cstheme="minorHAnsi"/>
                <w:sz w:val="20"/>
                <w:szCs w:val="20"/>
                <w:lang w:val="en-US"/>
              </w:rPr>
            </w:pPr>
            <w:r w:rsidRPr="00EC3E91">
              <w:rPr>
                <w:rFonts w:cstheme="minorHAnsi"/>
                <w:sz w:val="20"/>
                <w:szCs w:val="20"/>
                <w:lang w:val="en-US"/>
              </w:rPr>
              <w:t xml:space="preserve">Canada </w:t>
            </w:r>
          </w:p>
        </w:tc>
        <w:tc>
          <w:tcPr>
            <w:tcW w:w="993" w:type="dxa"/>
          </w:tcPr>
          <w:p w14:paraId="66750D97" w14:textId="6B0D70BF" w:rsidR="00FF4BD9" w:rsidRPr="00EC3E91" w:rsidRDefault="00FF4BD9" w:rsidP="00060412">
            <w:pPr>
              <w:rPr>
                <w:rFonts w:cstheme="minorHAnsi"/>
                <w:sz w:val="20"/>
                <w:szCs w:val="20"/>
                <w:lang w:val="en-US"/>
              </w:rPr>
            </w:pPr>
            <w:r w:rsidRPr="00EC3E91">
              <w:rPr>
                <w:rFonts w:cstheme="minorHAnsi"/>
                <w:sz w:val="20"/>
                <w:szCs w:val="20"/>
                <w:lang w:val="en-US"/>
              </w:rPr>
              <w:t xml:space="preserve">Primary Care </w:t>
            </w:r>
          </w:p>
        </w:tc>
        <w:tc>
          <w:tcPr>
            <w:tcW w:w="850" w:type="dxa"/>
          </w:tcPr>
          <w:p w14:paraId="33974F7E" w14:textId="331B2923" w:rsidR="00FF4BD9" w:rsidRPr="00EC3E91" w:rsidRDefault="00FF4BD9" w:rsidP="00060412">
            <w:pPr>
              <w:rPr>
                <w:rFonts w:cstheme="minorHAnsi"/>
                <w:sz w:val="20"/>
                <w:szCs w:val="20"/>
                <w:lang w:val="en-US"/>
              </w:rPr>
            </w:pPr>
            <w:r w:rsidRPr="00EC3E91">
              <w:rPr>
                <w:rFonts w:cstheme="minorHAnsi"/>
                <w:sz w:val="20"/>
                <w:szCs w:val="20"/>
                <w:lang w:val="en-US"/>
              </w:rPr>
              <w:t>Quant pre-post</w:t>
            </w:r>
          </w:p>
        </w:tc>
        <w:tc>
          <w:tcPr>
            <w:tcW w:w="851" w:type="dxa"/>
          </w:tcPr>
          <w:p w14:paraId="4ED1755B" w14:textId="14FE6EA9"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54900311" w14:textId="1D503EB0" w:rsidR="00FF4BD9" w:rsidRPr="00EC3E91" w:rsidRDefault="00FF4BD9" w:rsidP="00060412">
            <w:pPr>
              <w:rPr>
                <w:rFonts w:cstheme="minorHAnsi"/>
                <w:sz w:val="20"/>
                <w:szCs w:val="20"/>
                <w:lang w:val="en-US"/>
              </w:rPr>
            </w:pPr>
            <w:r w:rsidRPr="00EC3E91">
              <w:rPr>
                <w:rFonts w:cstheme="minorHAnsi"/>
                <w:sz w:val="20"/>
                <w:szCs w:val="20"/>
                <w:lang w:val="en-US"/>
              </w:rPr>
              <w:t xml:space="preserve">Lab tests </w:t>
            </w:r>
          </w:p>
        </w:tc>
        <w:tc>
          <w:tcPr>
            <w:tcW w:w="2126" w:type="dxa"/>
          </w:tcPr>
          <w:p w14:paraId="33D2894E" w14:textId="432FDFAD" w:rsidR="00FF4BD9" w:rsidRPr="00EC3E91" w:rsidRDefault="00746D40" w:rsidP="00060412">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use of selected clinical chemistry tests</w:t>
            </w:r>
          </w:p>
        </w:tc>
        <w:tc>
          <w:tcPr>
            <w:tcW w:w="3969" w:type="dxa"/>
          </w:tcPr>
          <w:p w14:paraId="2EEA3EEB" w14:textId="478EB85D" w:rsidR="00FF4BD9" w:rsidRPr="00EC3E91" w:rsidRDefault="00FF4BD9" w:rsidP="003741D8">
            <w:pPr>
              <w:rPr>
                <w:rFonts w:cstheme="minorHAnsi"/>
                <w:sz w:val="20"/>
                <w:szCs w:val="20"/>
                <w:lang w:val="en-US"/>
              </w:rPr>
            </w:pPr>
            <w:r w:rsidRPr="00EC3E91">
              <w:rPr>
                <w:rFonts w:cstheme="minorHAnsi"/>
                <w:sz w:val="20"/>
                <w:szCs w:val="20"/>
                <w:lang w:val="en-US"/>
              </w:rPr>
              <w:t xml:space="preserve">Evidence of the clinical usefulness of each of the tests in this study was derived from literature searches in addition to various national guidelines that were based on extensive reviews. </w:t>
            </w:r>
          </w:p>
        </w:tc>
        <w:tc>
          <w:tcPr>
            <w:tcW w:w="2551" w:type="dxa"/>
          </w:tcPr>
          <w:p w14:paraId="6B7C7F15" w14:textId="089A23CA" w:rsidR="00FF4BD9" w:rsidRPr="00EC3E91" w:rsidRDefault="00FF4BD9" w:rsidP="00060412">
            <w:pPr>
              <w:rPr>
                <w:rFonts w:cstheme="minorHAnsi"/>
                <w:sz w:val="20"/>
                <w:szCs w:val="20"/>
                <w:lang w:val="en-US"/>
              </w:rPr>
            </w:pPr>
            <w:r w:rsidRPr="00EC3E91">
              <w:rPr>
                <w:rFonts w:cstheme="minorHAnsi"/>
                <w:sz w:val="20"/>
                <w:szCs w:val="20"/>
                <w:lang w:val="en-US"/>
              </w:rPr>
              <w:t>Conduct educational meetings, audit and feedback, develop educational material, change physical structure and equipment, distribute educational materials.</w:t>
            </w:r>
          </w:p>
        </w:tc>
      </w:tr>
      <w:tr w:rsidR="00FF4BD9" w:rsidRPr="00E119DD" w14:paraId="4563F1E3" w14:textId="77777777" w:rsidTr="00FF4BD9">
        <w:trPr>
          <w:tblHeader/>
        </w:trPr>
        <w:tc>
          <w:tcPr>
            <w:tcW w:w="709" w:type="dxa"/>
          </w:tcPr>
          <w:p w14:paraId="6102F37A" w14:textId="3E41D1FA" w:rsidR="00FF4BD9" w:rsidRPr="00EC3E91" w:rsidRDefault="00FF4BD9" w:rsidP="00060412">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{"citationItems":[{"id":"ITEM-1","itemData":{"abstract":"We assessed the impact of a reflex urine culture protocol, an intervention aimed to reduce unnecessary urine culturing, in intensive care units at a tertiary care hospital. Significant decreases in urine culturing rates and reported rates of catheter-associated urinary tract infection followed implementation of the protocol.","author":[{"dropping-particle":"","family":"Epstein","given":"L","non-dropping-particle":"","parse-names":false,"suffix":""},{"dropping-particle":"","family":"Edwards","given":"J R","non-dropping-particle":"","parse-names":false,"suffix":""},{"dropping-particle":"","family":"Halpin","given":"A L","non-dropping-particle":"","parse-names":false,"suffix":""},{"dropping-particle":"","family":"Preas","given":"M A","non-dropping-particle":"","parse-names":false,"suffix":""},{"dropping-particle":"","family":"Blythe","given":"D","non-dropping-particle":"","parse-names":false,"suffix":""},{"dropping-particle":"","family":"Harris","given":"A D","non-dropping-particle":"","parse-names":false,"suffix":""},{"dropping-particle":"","family":"Hunt","given":"D","non-dropping-particle":"","parse-names":false,"suffix":""},{"dropping-particle":"","family":"Johnson","given":"J K","non-dropping-particle":"","parse-names":false,"suffix":""},{"dropping-particle":"","family":"Filippell","given":"M","non-dropping-particle":"","parse-names":false,"suffix":""},{"dropping-particle":"V","family":"Gould","given":"C","non-dropping-particle":"","parse-names":false,"suffix":""},{"dropping-particle":"","family":"Leekha","given":"S","non-dropping-particle":"","parse-names":false,"suffix":""}],"container-title":"Infection Control and Hospital Epidemiology","id":"ITEM-1","issue":"5","issued":{"date-parts":[["2016"]]},"page":"606-609","title":"Evaluation of a novel intervention to reduce unnecessary urine cultures in intensive care units at a Tertiary Care Hospital in Maryland, 2011-2014","type":"article-journal","volume":"37"},"uris":["http://www.mendeley.com/documents/?uuid=4703889a-c81d-46ae-8113-902f12b581b4"]}],"mendeley":{"formattedCitation":"(89)","plainTextFormattedCitation":"(89)","previouslyFormattedCitation":"(89)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(89)</w:t>
            </w:r>
            <w:r w:rsidRPr="00EC3E91">
              <w:rPr>
                <w:rFonts w:cstheme="minorHAnsi"/>
                <w:sz w:val="20"/>
                <w:szCs w:val="20"/>
                <w:lang w:val="en-US"/>
              </w:rPr>
              <w:fldChar w:fldCharType="end"/>
            </w:r>
          </w:p>
        </w:tc>
        <w:tc>
          <w:tcPr>
            <w:tcW w:w="992" w:type="dxa"/>
          </w:tcPr>
          <w:p w14:paraId="49437E5D" w14:textId="3D4A0C74" w:rsidR="00FF4BD9" w:rsidRPr="00EC3E91" w:rsidRDefault="00FF4BD9" w:rsidP="00060412">
            <w:pPr>
              <w:rPr>
                <w:rFonts w:cstheme="minorHAnsi"/>
                <w:sz w:val="20"/>
                <w:szCs w:val="20"/>
                <w:lang w:val="en-US"/>
              </w:rPr>
            </w:pPr>
            <w:r w:rsidRPr="00EC3E91">
              <w:rPr>
                <w:rFonts w:cstheme="minorHAnsi"/>
                <w:sz w:val="20"/>
                <w:szCs w:val="20"/>
                <w:lang w:val="en-US"/>
              </w:rPr>
              <w:t xml:space="preserve">US </w:t>
            </w:r>
          </w:p>
        </w:tc>
        <w:tc>
          <w:tcPr>
            <w:tcW w:w="993" w:type="dxa"/>
          </w:tcPr>
          <w:p w14:paraId="3D5396F8" w14:textId="5CC56DC9"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4AD3721F" w14:textId="40E32651" w:rsidR="00FF4BD9" w:rsidRPr="00EC3E91" w:rsidRDefault="00FF4BD9" w:rsidP="00060412">
            <w:pPr>
              <w:rPr>
                <w:rFonts w:cstheme="minorHAnsi"/>
                <w:sz w:val="20"/>
                <w:szCs w:val="20"/>
                <w:lang w:val="en-US"/>
              </w:rPr>
            </w:pPr>
            <w:r w:rsidRPr="00EC3E91">
              <w:rPr>
                <w:rFonts w:cstheme="minorHAnsi"/>
                <w:sz w:val="20"/>
                <w:szCs w:val="20"/>
                <w:lang w:val="en-US"/>
              </w:rPr>
              <w:t xml:space="preserve">Quant pre-post </w:t>
            </w:r>
          </w:p>
        </w:tc>
        <w:tc>
          <w:tcPr>
            <w:tcW w:w="851" w:type="dxa"/>
          </w:tcPr>
          <w:p w14:paraId="2CCDFAC9" w14:textId="6EC3C46C" w:rsidR="00FF4BD9" w:rsidRPr="00EC3E91" w:rsidRDefault="00FF4BD9" w:rsidP="00060412">
            <w:pPr>
              <w:rPr>
                <w:rFonts w:cstheme="minorHAnsi"/>
                <w:sz w:val="20"/>
                <w:szCs w:val="20"/>
                <w:lang w:val="en-US"/>
              </w:rPr>
            </w:pPr>
            <w:r w:rsidRPr="00EC3E91">
              <w:rPr>
                <w:rFonts w:cstheme="minorHAnsi"/>
                <w:sz w:val="20"/>
                <w:szCs w:val="20"/>
                <w:lang w:val="en-US"/>
              </w:rPr>
              <w:t>Efficacy/Effectiveness</w:t>
            </w:r>
          </w:p>
        </w:tc>
        <w:tc>
          <w:tcPr>
            <w:tcW w:w="1134" w:type="dxa"/>
          </w:tcPr>
          <w:p w14:paraId="751ABD98" w14:textId="4F8FF680" w:rsidR="00FF4BD9" w:rsidRPr="00EC3E91" w:rsidRDefault="00FF4BD9" w:rsidP="00060412">
            <w:pPr>
              <w:rPr>
                <w:rFonts w:cstheme="minorHAnsi"/>
                <w:sz w:val="20"/>
                <w:szCs w:val="20"/>
                <w:lang w:val="en-US"/>
              </w:rPr>
            </w:pPr>
            <w:r w:rsidRPr="00EC3E91">
              <w:rPr>
                <w:rFonts w:cstheme="minorHAnsi"/>
                <w:sz w:val="20"/>
                <w:szCs w:val="20"/>
                <w:lang w:val="en-US"/>
              </w:rPr>
              <w:t>Lab tests</w:t>
            </w:r>
          </w:p>
        </w:tc>
        <w:tc>
          <w:tcPr>
            <w:tcW w:w="2126" w:type="dxa"/>
          </w:tcPr>
          <w:p w14:paraId="1DE8627D" w14:textId="4D2CE48C" w:rsidR="00FF4BD9" w:rsidRPr="00EC3E91" w:rsidRDefault="00746D40" w:rsidP="00060412">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urine cultures</w:t>
            </w:r>
          </w:p>
        </w:tc>
        <w:tc>
          <w:tcPr>
            <w:tcW w:w="3969" w:type="dxa"/>
          </w:tcPr>
          <w:p w14:paraId="77170908" w14:textId="45458A26" w:rsidR="00FF4BD9" w:rsidRPr="00EC3E91" w:rsidRDefault="00FF4BD9" w:rsidP="003741D8">
            <w:pPr>
              <w:rPr>
                <w:rFonts w:cstheme="minorHAnsi"/>
                <w:sz w:val="20"/>
                <w:szCs w:val="20"/>
                <w:lang w:val="en-US"/>
              </w:rPr>
            </w:pPr>
            <w:r w:rsidRPr="00EC3E91">
              <w:rPr>
                <w:rFonts w:cstheme="minorHAnsi"/>
                <w:sz w:val="20"/>
                <w:szCs w:val="20"/>
                <w:lang w:val="en-US"/>
              </w:rPr>
              <w:t>CAUTIs. US Centers for Disease Control and Prevention.</w:t>
            </w:r>
          </w:p>
        </w:tc>
        <w:tc>
          <w:tcPr>
            <w:tcW w:w="2551" w:type="dxa"/>
          </w:tcPr>
          <w:p w14:paraId="49C27DE1" w14:textId="0CB72792" w:rsidR="00FF4BD9" w:rsidRPr="00EC3E91" w:rsidRDefault="00FF4BD9" w:rsidP="00060412">
            <w:pPr>
              <w:rPr>
                <w:rFonts w:cstheme="minorHAnsi"/>
                <w:sz w:val="20"/>
                <w:szCs w:val="20"/>
                <w:lang w:val="en-US"/>
              </w:rPr>
            </w:pPr>
            <w:r w:rsidRPr="00EC3E91">
              <w:rPr>
                <w:rFonts w:cstheme="minorHAnsi"/>
                <w:sz w:val="20"/>
                <w:szCs w:val="20"/>
                <w:lang w:val="en-US"/>
              </w:rPr>
              <w:t>facilitate relay of clinical data</w:t>
            </w:r>
          </w:p>
        </w:tc>
      </w:tr>
      <w:tr w:rsidR="00FF4BD9" w:rsidRPr="00E119DD" w14:paraId="635E4C79" w14:textId="77777777" w:rsidTr="00FF4BD9">
        <w:trPr>
          <w:tblHeader/>
        </w:trPr>
        <w:tc>
          <w:tcPr>
            <w:tcW w:w="709" w:type="dxa"/>
          </w:tcPr>
          <w:p w14:paraId="26436071" w14:textId="5A6DEEF8" w:rsidR="00FF4BD9" w:rsidRPr="00EC3E91" w:rsidRDefault="00FF4BD9" w:rsidP="00060412">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{"citationItems":[{"id":"ITEM-1","itemData":{"abstract":"AIMS: The aim of the study was to evaluate the effect of an e-learning educational program meant to foster the quality of drug prescription in hospitalized elderly patients. METHODS: Twenty geriatric and internal medicine wards were randomized to intervention (e-learning educational program) or control (basic geriatric pharmacology notions). Logistic regression analysis was used in order to assess the effect of the intervention on the use of potentially inappropriate medication (PIM, primary outcome) at hospital discharge. Secondary outcomes were a reduced prevalence of at least one potential drug-drug interaction (DDI) and potentially severe DDI at discharge. Mortality rate and incidence of re-hospitalizations were other secondary outcomes assessed at the 12-month follow-up. RESULTS: A total of 697 patients (347 in the intervention and 350 in the control arms) were enrolled. No difference in the prevalence of PIM at discharge was found between arms (OR 1.29 95%CI 0.87-1.91). We also found no decrease in the prevalence of DDI (OR 0.67 95%CI 0.34-1.28) and potentially severe DDI (OR 0.86 95%CI 0.63-1.15) at discharge, nor in mortality rates and incidence of re-hospitalization at 12-month follow-up. CONCLUSIONS: This e-learning educational program had no clear effect on the quality of drug prescription and clinical outcomes in hospitalized elderly patients. Given the high prevalence of PIMs and potential DDIs recorded in the frame of this study, other approaches should be developed in order to improve the quality of drug prescription in this population.","author":[{"dropping-particle":"","family":"Franchi","given":"C","non-dropping-particle":"","parse-names":false,"suffix":""},{"dropping-particle":"","family":"Tettamanti","given":"M","non-dropping-particle":"","parse-names":false,"suffix":""},{"dropping-particle":"","family":"Djade","given":"C D","non-dropping-particle":"","parse-names":false,"suffix":""},{"dropping-particle":"","family":"Pasina","given":"L","non-dropping-particle":"","parse-names":false,"suffix":""},{"dropping-particle":"","family":"Mannucci","given":"P M","non-dropping-particle":"","parse-names":false,"suffix":""},{"dropping-particle":"","family":"Onder","given":"G","non-dropping-particle":"","parse-names":false,"suffix":""},{"dropping-particle":"","family":"Gussoni","given":"G","non-dropping-particle":"","parse-names":false,"suffix":""},{"dropping-particle":"","family":"Manfellotto","given":"D","non-dropping-particle":"","parse-names":false,"suffix":""},{"dropping-particle":"","family":"Bonassi","given":"S","non-dropping-particle":"","parse-names":false,"suffix":""},{"dropping-particle":"","family":"Salerno","given":"F","non-dropping-particle":"","parse-names":false,"suffix":""},{"dropping-particle":"","family":"Nobili","given":"A","non-dropping-particle":"","parse-names":false,"suffix":""},{"dropping-particle":"","family":"Investigators","given":"Elicadhe","non-dropping-particle":"","parse-names":false,"suffix":""}],"container-title":"British Journal of Clinical Pharmacology","id":"ITEM-1","issue":"1","issued":{"date-parts":[["2016"]]},"page":"53-63","title":"E-learning in order to improve drug prescription for hospitalized older patients: a cluster-randomized controlled study","type":"article-journal","volume":"82"},"uris":["http://www.mendeley.com/documents/?uuid=1186cabc-b69d-4efc-bc39-c707a33eff09"]}],"mendeley":{"formattedCitation":"(90)","plainTextFormattedCitation":"(90)","previouslyFormattedCitation":"(90)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(90)</w:t>
            </w:r>
            <w:r w:rsidRPr="00EC3E91">
              <w:rPr>
                <w:rFonts w:cstheme="minorHAnsi"/>
                <w:sz w:val="20"/>
                <w:szCs w:val="20"/>
                <w:lang w:val="en-US"/>
              </w:rPr>
              <w:fldChar w:fldCharType="end"/>
            </w:r>
          </w:p>
        </w:tc>
        <w:tc>
          <w:tcPr>
            <w:tcW w:w="992" w:type="dxa"/>
          </w:tcPr>
          <w:p w14:paraId="01D793C4" w14:textId="28DFFF0E" w:rsidR="00FF4BD9" w:rsidRPr="00EC3E91" w:rsidRDefault="00FF4BD9" w:rsidP="00060412">
            <w:pPr>
              <w:rPr>
                <w:rFonts w:cstheme="minorHAnsi"/>
                <w:sz w:val="20"/>
                <w:szCs w:val="20"/>
                <w:lang w:val="en-US"/>
              </w:rPr>
            </w:pPr>
            <w:r w:rsidRPr="00EC3E91">
              <w:rPr>
                <w:rFonts w:cstheme="minorHAnsi"/>
                <w:sz w:val="20"/>
                <w:szCs w:val="20"/>
                <w:lang w:val="en-US"/>
              </w:rPr>
              <w:t xml:space="preserve">Italy </w:t>
            </w:r>
          </w:p>
        </w:tc>
        <w:tc>
          <w:tcPr>
            <w:tcW w:w="993" w:type="dxa"/>
          </w:tcPr>
          <w:p w14:paraId="464C68F8" w14:textId="407BF9B5" w:rsidR="00FF4BD9" w:rsidRPr="00EC3E91" w:rsidRDefault="00FF4BD9" w:rsidP="00060412">
            <w:pPr>
              <w:rPr>
                <w:rFonts w:cstheme="minorHAnsi"/>
                <w:sz w:val="20"/>
                <w:szCs w:val="20"/>
                <w:lang w:val="en-US"/>
              </w:rPr>
            </w:pPr>
            <w:r w:rsidRPr="00EC3E91">
              <w:rPr>
                <w:rFonts w:cstheme="minorHAnsi"/>
                <w:sz w:val="20"/>
                <w:szCs w:val="20"/>
                <w:lang w:val="en-US"/>
              </w:rPr>
              <w:t xml:space="preserve">Hospital </w:t>
            </w:r>
          </w:p>
        </w:tc>
        <w:tc>
          <w:tcPr>
            <w:tcW w:w="850" w:type="dxa"/>
          </w:tcPr>
          <w:p w14:paraId="7C63D6B9" w14:textId="330AB9B6" w:rsidR="00FF4BD9" w:rsidRPr="00EC3E91" w:rsidRDefault="00FF4BD9" w:rsidP="00060412">
            <w:pPr>
              <w:rPr>
                <w:rFonts w:cstheme="minorHAnsi"/>
                <w:sz w:val="20"/>
                <w:szCs w:val="20"/>
                <w:lang w:val="en-US"/>
              </w:rPr>
            </w:pPr>
            <w:r w:rsidRPr="00EC3E91">
              <w:rPr>
                <w:rFonts w:cstheme="minorHAnsi"/>
                <w:sz w:val="20"/>
                <w:szCs w:val="20"/>
                <w:lang w:val="en-US"/>
              </w:rPr>
              <w:t>Quant RCT</w:t>
            </w:r>
          </w:p>
        </w:tc>
        <w:tc>
          <w:tcPr>
            <w:tcW w:w="851" w:type="dxa"/>
          </w:tcPr>
          <w:p w14:paraId="1D3165E1" w14:textId="28555854" w:rsidR="00FF4BD9" w:rsidRPr="00EC3E91" w:rsidRDefault="00FF4BD9" w:rsidP="00060412">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0B1E2728" w14:textId="0A4EDF71" w:rsidR="00FF4BD9" w:rsidRPr="00EC3E91" w:rsidRDefault="00FF4BD9" w:rsidP="00060412">
            <w:pPr>
              <w:rPr>
                <w:rFonts w:cstheme="minorHAnsi"/>
                <w:sz w:val="20"/>
                <w:szCs w:val="20"/>
                <w:lang w:val="en-US"/>
              </w:rPr>
            </w:pPr>
            <w:r w:rsidRPr="00EC3E91">
              <w:rPr>
                <w:rFonts w:cstheme="minorHAnsi"/>
                <w:sz w:val="20"/>
                <w:szCs w:val="20"/>
                <w:lang w:val="en-US"/>
              </w:rPr>
              <w:t xml:space="preserve">PIM Elderly </w:t>
            </w:r>
          </w:p>
        </w:tc>
        <w:tc>
          <w:tcPr>
            <w:tcW w:w="2126" w:type="dxa"/>
          </w:tcPr>
          <w:p w14:paraId="1ED0E8C6" w14:textId="5410A4B1" w:rsidR="00FF4BD9" w:rsidRPr="00EC3E91" w:rsidRDefault="00FF4BD9" w:rsidP="00060412">
            <w:pPr>
              <w:rPr>
                <w:rFonts w:cstheme="minorHAnsi"/>
                <w:sz w:val="20"/>
                <w:szCs w:val="20"/>
                <w:lang w:val="en-US"/>
              </w:rPr>
            </w:pPr>
            <w:r w:rsidRPr="00EC3E91">
              <w:rPr>
                <w:rFonts w:cstheme="minorHAnsi"/>
                <w:sz w:val="20"/>
                <w:szCs w:val="20"/>
                <w:lang w:val="en-US"/>
              </w:rPr>
              <w:t>Potentially inappropriate medication for hospitalized elderly adults</w:t>
            </w:r>
          </w:p>
        </w:tc>
        <w:tc>
          <w:tcPr>
            <w:tcW w:w="3969" w:type="dxa"/>
          </w:tcPr>
          <w:p w14:paraId="4F7EB318" w14:textId="30932823" w:rsidR="00FF4BD9" w:rsidRPr="00EC3E91" w:rsidRDefault="00FF4BD9" w:rsidP="003741D8">
            <w:pPr>
              <w:rPr>
                <w:rFonts w:cstheme="minorHAnsi"/>
                <w:sz w:val="20"/>
                <w:szCs w:val="20"/>
                <w:lang w:val="en-US"/>
              </w:rPr>
            </w:pPr>
            <w:r w:rsidRPr="00EC3E91">
              <w:rPr>
                <w:rFonts w:cstheme="minorHAnsi"/>
                <w:sz w:val="20"/>
                <w:szCs w:val="20"/>
                <w:lang w:val="en-US"/>
              </w:rPr>
              <w:t>Beers Criteria</w:t>
            </w:r>
          </w:p>
        </w:tc>
        <w:tc>
          <w:tcPr>
            <w:tcW w:w="2551" w:type="dxa"/>
          </w:tcPr>
          <w:p w14:paraId="4AA97E47" w14:textId="36B8BAB6" w:rsidR="00FF4BD9" w:rsidRPr="00EC3E91" w:rsidRDefault="00FF4BD9" w:rsidP="00060412">
            <w:pPr>
              <w:rPr>
                <w:rFonts w:cstheme="minorHAnsi"/>
                <w:sz w:val="20"/>
                <w:szCs w:val="20"/>
                <w:lang w:val="en-US"/>
              </w:rPr>
            </w:pPr>
            <w:r w:rsidRPr="00EC3E91">
              <w:rPr>
                <w:rFonts w:cstheme="minorHAnsi"/>
                <w:sz w:val="20"/>
                <w:szCs w:val="20"/>
                <w:lang w:val="en-US"/>
              </w:rPr>
              <w:t>make training dynamic, remind clinicians</w:t>
            </w:r>
          </w:p>
        </w:tc>
      </w:tr>
      <w:tr w:rsidR="00FF4BD9" w:rsidRPr="00E119DD" w14:paraId="7CEA88A8" w14:textId="77777777" w:rsidTr="00FF4BD9">
        <w:trPr>
          <w:tblHeader/>
        </w:trPr>
        <w:tc>
          <w:tcPr>
            <w:tcW w:w="709" w:type="dxa"/>
          </w:tcPr>
          <w:p w14:paraId="33A8A044" w14:textId="19DAD81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 The purpose of this study was to evaluate the impact of a collaborative radiology utilization management program on the disposition of cases according to provider specialty. MATERIALS AND METHODS: A utilization management program directed by a radiology benefit management company provided peer-to-peer decision support for providers ordering advanced outpatient imaging studies. After a radiologist reviewed the cases, based upon provider specialty, the rates of the following dispositions were analyzed: study approved by consensus, study changed by consensus, study not performed by consensus, study approved (no consensus), and study administratively not performed (no callback). Aggregated rates of study changed or not performed by consensus (withdrawals) were used to assess the effect of provider-radiologist collaboration. The rate of no callback was used to assess sentinel effect. The combined rate of withdrawals and no callback represented the overall impact of radiologist participation. The project period was 5 years. RESULTS: A total of 168,915 studies were reviewed: 58.6% were approved, 6.8% were changed, and 13.5% were withdrawn by consensus; 6.0% were approved without consensus; 15.2% were withdrawn because of no callback; 35.5% initially ordered were not performed at the time they were ordered. Family practice (25.3%) and internal medicine (23.8%) had the highest aggregated rates of study changed or withdrawn by consensus. Thoracic surgery (13.3%), neurosurgery (11.2%), and orthopedic surgery (9.3%) had the lowest rates. Internal medicine (18.0%), neurology (17.7%), and family practice (17.4%) had the highest rates of study withdrawn owing to no callback. Pediatrics (7.1%) and ophthalmology (7.3%) had the lowest rates. The overall impact was greatest for family practice (42.7%), internal medicine (41.8%), and neurology (33.4%) and least for orthopedic surgery (22.8%) and neurosurgery (24.0%). CONCLUSION: Radiologist participation had substantial impact regardless of provider specialty. The impact was greatest on primary care providers who are heavier users of radiology.","author":[{"dropping-particle":"","family":"Friedman","given":"D P","non-dropping-particle":"","parse-names":false,"suffix":""},{"dropping-particle":"","family":"Smith","given":"N S","non-dropping-particle":"","parse-names":false,"suffix":""}],"container-title":"AJR. American Journal of Roentgenology","id":"ITEM-1","issue":"1","issued":{"date-parts":[["2016"]]},"page":"121-125","title":"Impact of a Collaborative Radiology Utilization Management Program: Does the Specialty of the Referring Provider Matter?","type":"article-journal","volume":"207"},"uris":["http://www.mendeley.com/documents/?uuid=2451a5f9-833f-418d-9d54-4fd3fb12229a"]}],"mendeley":{"formattedCitation":"(91)","plainTextFormattedCitation":"(91)","previouslyFormattedCitation":"(91)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(91)</w:t>
            </w:r>
            <w:r w:rsidRPr="00EC3E91">
              <w:rPr>
                <w:rFonts w:cstheme="minorHAnsi"/>
                <w:sz w:val="20"/>
                <w:szCs w:val="20"/>
                <w:lang w:val="en-US"/>
              </w:rPr>
              <w:fldChar w:fldCharType="end"/>
            </w:r>
          </w:p>
        </w:tc>
        <w:tc>
          <w:tcPr>
            <w:tcW w:w="992" w:type="dxa"/>
          </w:tcPr>
          <w:p w14:paraId="6719102A" w14:textId="51B90232"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478E15B1" w14:textId="2459FBD3"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30E2F980" w14:textId="4A07150C" w:rsidR="00FF4BD9" w:rsidRPr="00EC3E91" w:rsidRDefault="00FF4BD9" w:rsidP="009549DD">
            <w:pPr>
              <w:rPr>
                <w:rFonts w:cstheme="minorHAnsi"/>
                <w:sz w:val="20"/>
                <w:szCs w:val="20"/>
                <w:lang w:val="en-US"/>
              </w:rPr>
            </w:pPr>
            <w:r w:rsidRPr="00EC3E91">
              <w:rPr>
                <w:rFonts w:cstheme="minorHAnsi"/>
                <w:sz w:val="20"/>
                <w:szCs w:val="20"/>
                <w:lang w:val="en-US"/>
              </w:rPr>
              <w:t xml:space="preserve">Quant Cross sectional </w:t>
            </w:r>
          </w:p>
        </w:tc>
        <w:tc>
          <w:tcPr>
            <w:tcW w:w="851" w:type="dxa"/>
          </w:tcPr>
          <w:p w14:paraId="0E8A60F2" w14:textId="568C45DC"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6DB5D54A" w14:textId="1BE10A03"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73C46C9E" w14:textId="0E2A832B" w:rsidR="00FF4BD9" w:rsidRPr="00EC3E91" w:rsidRDefault="007C48FF" w:rsidP="009549DD">
            <w:pPr>
              <w:rPr>
                <w:rFonts w:cstheme="minorHAnsi"/>
                <w:sz w:val="20"/>
                <w:szCs w:val="20"/>
                <w:lang w:val="en-US"/>
              </w:rPr>
            </w:pPr>
            <w:r w:rsidRPr="00EC3E91">
              <w:rPr>
                <w:rFonts w:cstheme="minorHAnsi"/>
                <w:sz w:val="20"/>
                <w:szCs w:val="20"/>
                <w:lang w:val="en-US"/>
              </w:rPr>
              <w:t xml:space="preserve">Inappropriate </w:t>
            </w:r>
            <w:r w:rsidR="005A7558" w:rsidRPr="00EC3E91">
              <w:rPr>
                <w:rFonts w:cstheme="minorHAnsi"/>
                <w:sz w:val="20"/>
                <w:szCs w:val="20"/>
                <w:lang w:val="en-US"/>
              </w:rPr>
              <w:t>advanced outpatient</w:t>
            </w:r>
            <w:r w:rsidR="00FF4BD9" w:rsidRPr="00EC3E91">
              <w:rPr>
                <w:rFonts w:cstheme="minorHAnsi"/>
                <w:sz w:val="20"/>
                <w:szCs w:val="20"/>
                <w:lang w:val="en-US"/>
              </w:rPr>
              <w:t xml:space="preserve"> imaging studies (CT, MRI, PET, </w:t>
            </w:r>
            <w:r w:rsidR="008E3BEF" w:rsidRPr="00EC3E91">
              <w:rPr>
                <w:rFonts w:cstheme="minorHAnsi"/>
                <w:sz w:val="20"/>
                <w:szCs w:val="20"/>
                <w:lang w:val="en-US"/>
              </w:rPr>
              <w:t>nuclear medicine</w:t>
            </w:r>
            <w:r w:rsidR="00FF4BD9" w:rsidRPr="00EC3E91">
              <w:rPr>
                <w:rFonts w:cstheme="minorHAnsi"/>
                <w:sz w:val="20"/>
                <w:szCs w:val="20"/>
                <w:lang w:val="en-US"/>
              </w:rPr>
              <w:t>)</w:t>
            </w:r>
          </w:p>
        </w:tc>
        <w:tc>
          <w:tcPr>
            <w:tcW w:w="3969" w:type="dxa"/>
          </w:tcPr>
          <w:p w14:paraId="5187E99A" w14:textId="3D54DBEB" w:rsidR="00FF4BD9" w:rsidRPr="00EC3E91" w:rsidRDefault="00FF4BD9" w:rsidP="009549DD">
            <w:pPr>
              <w:rPr>
                <w:rFonts w:cstheme="minorHAnsi"/>
                <w:sz w:val="20"/>
                <w:szCs w:val="20"/>
                <w:lang w:val="en-US"/>
              </w:rPr>
            </w:pPr>
            <w:r w:rsidRPr="00EC3E91">
              <w:rPr>
                <w:rFonts w:cstheme="minorHAnsi"/>
                <w:sz w:val="20"/>
                <w:szCs w:val="20"/>
                <w:lang w:val="en-US"/>
              </w:rPr>
              <w:t>Practice Guidelines of the American College of Physicians, Practice Guidelines of the American Academy of Neurology, and American College of Radiology Appropriateness Criteria</w:t>
            </w:r>
          </w:p>
        </w:tc>
        <w:tc>
          <w:tcPr>
            <w:tcW w:w="2551" w:type="dxa"/>
          </w:tcPr>
          <w:p w14:paraId="66198AB1" w14:textId="3C8C6BDC" w:rsidR="00FF4BD9" w:rsidRPr="00EC3E91" w:rsidRDefault="00FF4BD9" w:rsidP="00675E77">
            <w:pPr>
              <w:rPr>
                <w:rFonts w:cstheme="minorHAnsi"/>
                <w:sz w:val="20"/>
                <w:szCs w:val="20"/>
                <w:lang w:val="en-US"/>
              </w:rPr>
            </w:pPr>
            <w:r w:rsidRPr="00EC3E91">
              <w:rPr>
                <w:rFonts w:cstheme="minorHAnsi"/>
                <w:sz w:val="20"/>
                <w:szCs w:val="20"/>
                <w:lang w:val="en-US"/>
              </w:rPr>
              <w:t xml:space="preserve">Distribute </w:t>
            </w:r>
            <w:r w:rsidR="007C48FF" w:rsidRPr="00EC3E91">
              <w:rPr>
                <w:rFonts w:cstheme="minorHAnsi"/>
                <w:sz w:val="20"/>
                <w:szCs w:val="20"/>
                <w:lang w:val="en-US"/>
              </w:rPr>
              <w:t>educational</w:t>
            </w:r>
            <w:r w:rsidRPr="00EC3E91">
              <w:rPr>
                <w:rFonts w:cstheme="minorHAnsi"/>
                <w:sz w:val="20"/>
                <w:szCs w:val="20"/>
                <w:lang w:val="en-US"/>
              </w:rPr>
              <w:t xml:space="preserve"> materials, make training dynamic, [ACCOUNTABILITY TOOL].</w:t>
            </w:r>
          </w:p>
        </w:tc>
      </w:tr>
      <w:tr w:rsidR="00FF4BD9" w:rsidRPr="00E119DD" w14:paraId="21D74D24" w14:textId="77777777" w:rsidTr="00FF4BD9">
        <w:trPr>
          <w:tblHeader/>
        </w:trPr>
        <w:tc>
          <w:tcPr>
            <w:tcW w:w="709" w:type="dxa"/>
          </w:tcPr>
          <w:p w14:paraId="4C898580" w14:textId="7AE3A225"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{"citationItems":[{"id":"ITEM-1","itemData":{"ISSN":"0002-9149","abstract":"The rising use of imaging cardiac stress tests has led to potentially unnecessary testing. Interventions designed to reduce inappropriate stress testing have focused on the ambulatory setting. We developed a computerized order entry tool intended to reduce the use of imaging cardiac stress tests and improve appropriate use in hospitalized patients. The tool was evaluated using preimplementation and postimplementation cohorts at a single urban academic teaching hospital. All hospitalized patients referred for testing were included. The co-primary outcomes were the use of imaging stress tests as a percentage of all stress tests and the percentage of inappropriate tests, compared between the 2 cohorts. There were 478 patients in the precohort and 463 in the postcohort. The indication was chest pain in 66% and preoperative in 18% and was not significantly different between groups. The use of nonimaging stress tests increased from 4% in the pregroup to 15% in the postgroup (p &lt;0.001). Among very low-risk chest pain patients, the use of nonimaging stress tests increased from 7% to 25% (p &lt;0.001). Inappropriate testing did not change significantly between groups (12% vs 11%). Inappropriate tests were most often preoperative evaluations (83%). In conclusion, our computerized ordering tool significantly increased the use of nonimaging cardiac stress tests and reduced the use of imaging tests yet was not able to reduce inappropriate use. Our study highlights the differences in cardiac stress testing between hospitalized and ambulatory patients.","author":[{"dropping-particle":"","family":"Gertz","given":"Z M","non-dropping-particle":"","parse-names":false,"suffix":""},{"dropping-particle":"","family":"O'Donnell","given":"W","non-dropping-particle":"","parse-names":false,"suffix":""},{"dropping-particle":"","family":"Raina","given":"A","non-dropping-particle":"","parse-names":false,"suffix":""},{"dropping-particle":"","family":"Balderston","given":"J R","non-dropping-particle":"","parse-names":false,"suffix":""},{"dropping-particle":"","family":"Litwack","given":"A J","non-dropping-particle":"","parse-names":false,"suffix":""},{"dropping-particle":"","family":"Goldberg","given":"L R","non-dropping-particle":"","parse-names":false,"suffix":""}],"container-title":"American Journal of Cardiology","id":"ITEM-1","issue":"8","issued":{"date-parts":[["2016"]]},"page":"1123-1127","title":"Implementation of a Computerized Order Entry Tool to Reduce the Inappropriate and Unnecessary Use of Cardiac Stress Tests With Imaging in Hospitalized Patients","type":"article-journal","volume":"118"},"uris":["http://www.mendeley.com/documents/?uuid=a190cbf4-130f-4ce3-879c-4396047541d7"]}],"mendeley":{"formattedCitation":"(92)","plainTextFormattedCitation":"(92)","previouslyFormattedCitation":"(92)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(92)</w:t>
            </w:r>
            <w:r w:rsidRPr="00EC3E91">
              <w:rPr>
                <w:rFonts w:cstheme="minorHAnsi"/>
                <w:sz w:val="20"/>
                <w:szCs w:val="20"/>
                <w:lang w:val="en-US"/>
              </w:rPr>
              <w:fldChar w:fldCharType="end"/>
            </w:r>
          </w:p>
        </w:tc>
        <w:tc>
          <w:tcPr>
            <w:tcW w:w="992" w:type="dxa"/>
          </w:tcPr>
          <w:p w14:paraId="52D34BB4" w14:textId="5C0043EC"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0F0C07D1" w14:textId="123C83E2"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5B94A515" w14:textId="206E8033"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708DED65" w14:textId="706ACD73"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0FD92292" w14:textId="0282AE97" w:rsidR="00FF4BD9" w:rsidRPr="00EC3E91" w:rsidRDefault="00FF4BD9" w:rsidP="009549DD">
            <w:pPr>
              <w:rPr>
                <w:rFonts w:cstheme="minorHAnsi"/>
                <w:sz w:val="20"/>
                <w:szCs w:val="20"/>
                <w:lang w:val="en-US"/>
              </w:rPr>
            </w:pPr>
            <w:r w:rsidRPr="00EC3E91">
              <w:rPr>
                <w:rFonts w:cstheme="minorHAnsi"/>
                <w:sz w:val="20"/>
                <w:szCs w:val="20"/>
                <w:lang w:val="en-US"/>
              </w:rPr>
              <w:t>Cardiac testing</w:t>
            </w:r>
          </w:p>
        </w:tc>
        <w:tc>
          <w:tcPr>
            <w:tcW w:w="2126" w:type="dxa"/>
          </w:tcPr>
          <w:p w14:paraId="180FFDA7" w14:textId="4DBF4A29" w:rsidR="00FF4BD9" w:rsidRPr="00EC3E91" w:rsidRDefault="00746D40" w:rsidP="009549DD">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Use of Cardiac Stress Tests </w:t>
            </w:r>
            <w:r w:rsidR="00F90A4D" w:rsidRPr="00EC3E91">
              <w:rPr>
                <w:rFonts w:cstheme="minorHAnsi"/>
                <w:sz w:val="20"/>
                <w:szCs w:val="20"/>
                <w:lang w:val="en-US"/>
              </w:rPr>
              <w:t>with</w:t>
            </w:r>
            <w:r w:rsidR="00FF4BD9" w:rsidRPr="00EC3E91">
              <w:rPr>
                <w:rFonts w:cstheme="minorHAnsi"/>
                <w:sz w:val="20"/>
                <w:szCs w:val="20"/>
                <w:lang w:val="en-US"/>
              </w:rPr>
              <w:t xml:space="preserve"> Imaging</w:t>
            </w:r>
          </w:p>
        </w:tc>
        <w:tc>
          <w:tcPr>
            <w:tcW w:w="3969" w:type="dxa"/>
          </w:tcPr>
          <w:p w14:paraId="1F68CFD8" w14:textId="26AA2AAB" w:rsidR="00FF4BD9" w:rsidRPr="00EC3E91" w:rsidRDefault="00FF4BD9" w:rsidP="009549DD">
            <w:pPr>
              <w:rPr>
                <w:rFonts w:cstheme="minorHAnsi"/>
                <w:sz w:val="20"/>
                <w:szCs w:val="20"/>
                <w:lang w:val="en-US"/>
              </w:rPr>
            </w:pPr>
            <w:r w:rsidRPr="00EC3E91">
              <w:rPr>
                <w:rFonts w:cstheme="minorHAnsi"/>
                <w:sz w:val="20"/>
                <w:szCs w:val="20"/>
                <w:lang w:val="en-US"/>
              </w:rPr>
              <w:t xml:space="preserve">Appropriate use criteria for </w:t>
            </w:r>
            <w:r w:rsidR="00F90A4D" w:rsidRPr="00EC3E91">
              <w:rPr>
                <w:rFonts w:cstheme="minorHAnsi"/>
                <w:sz w:val="20"/>
                <w:szCs w:val="20"/>
                <w:lang w:val="en-US"/>
              </w:rPr>
              <w:t>cardiac radionuclide</w:t>
            </w:r>
            <w:r w:rsidRPr="00EC3E91">
              <w:rPr>
                <w:rFonts w:cstheme="minorHAnsi"/>
                <w:sz w:val="20"/>
                <w:szCs w:val="20"/>
                <w:lang w:val="en-US"/>
              </w:rPr>
              <w:t xml:space="preserve"> imaging: a report of the American College of Cardiology </w:t>
            </w:r>
          </w:p>
          <w:p w14:paraId="0E6F9B30" w14:textId="05D3B712" w:rsidR="00FF4BD9" w:rsidRPr="00EC3E91" w:rsidRDefault="00FF4BD9" w:rsidP="009549DD">
            <w:pPr>
              <w:rPr>
                <w:rFonts w:cstheme="minorHAnsi"/>
                <w:sz w:val="20"/>
                <w:szCs w:val="20"/>
                <w:lang w:val="en-US"/>
              </w:rPr>
            </w:pPr>
            <w:r w:rsidRPr="00EC3E91">
              <w:rPr>
                <w:rFonts w:cstheme="minorHAnsi"/>
                <w:sz w:val="20"/>
                <w:szCs w:val="20"/>
                <w:lang w:val="en-US"/>
              </w:rPr>
              <w:t xml:space="preserve">Appropriate use criteria Task Force. </w:t>
            </w:r>
          </w:p>
          <w:p w14:paraId="6AA14AC4" w14:textId="77777777" w:rsidR="00FF4BD9" w:rsidRPr="00EC3E91" w:rsidRDefault="00FF4BD9" w:rsidP="009549DD">
            <w:pPr>
              <w:rPr>
                <w:rFonts w:cstheme="minorHAnsi"/>
                <w:sz w:val="20"/>
                <w:szCs w:val="20"/>
                <w:lang w:val="en-US"/>
              </w:rPr>
            </w:pPr>
          </w:p>
          <w:p w14:paraId="3882B580" w14:textId="1BE7DF99" w:rsidR="00FF4BD9" w:rsidRPr="00EC3E91" w:rsidRDefault="00FF4BD9" w:rsidP="003741D8">
            <w:pPr>
              <w:rPr>
                <w:rFonts w:cstheme="minorHAnsi"/>
                <w:sz w:val="20"/>
                <w:szCs w:val="20"/>
                <w:lang w:val="en-US"/>
              </w:rPr>
            </w:pPr>
            <w:r w:rsidRPr="00EC3E91">
              <w:rPr>
                <w:rFonts w:cstheme="minorHAnsi"/>
                <w:sz w:val="20"/>
                <w:szCs w:val="20"/>
                <w:lang w:val="en-US"/>
              </w:rPr>
              <w:t>Appropriate use criteria for echocardiography: a report of the American College of Cardiology Foundation appropriate use criteria Task Force.</w:t>
            </w:r>
          </w:p>
        </w:tc>
        <w:tc>
          <w:tcPr>
            <w:tcW w:w="2551" w:type="dxa"/>
          </w:tcPr>
          <w:p w14:paraId="0979D46F" w14:textId="46379C88" w:rsidR="00FF4BD9" w:rsidRPr="00EC3E91" w:rsidRDefault="00FF4BD9" w:rsidP="009549DD">
            <w:pPr>
              <w:rPr>
                <w:rFonts w:cstheme="minorHAnsi"/>
                <w:sz w:val="20"/>
                <w:szCs w:val="20"/>
                <w:lang w:val="en-US"/>
              </w:rPr>
            </w:pPr>
            <w:r w:rsidRPr="00EC3E91">
              <w:rPr>
                <w:rFonts w:cstheme="minorHAnsi"/>
                <w:sz w:val="20"/>
                <w:szCs w:val="20"/>
                <w:lang w:val="en-US"/>
              </w:rPr>
              <w:t>change physical structure and equipment</w:t>
            </w:r>
          </w:p>
        </w:tc>
      </w:tr>
      <w:tr w:rsidR="00FF4BD9" w:rsidRPr="00E119DD" w14:paraId="2406F4E2" w14:textId="77777777" w:rsidTr="00FF4BD9">
        <w:trPr>
          <w:tblHeader/>
        </w:trPr>
        <w:tc>
          <w:tcPr>
            <w:tcW w:w="709" w:type="dxa"/>
          </w:tcPr>
          <w:p w14:paraId="5BB71500" w14:textId="473CC4F1"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{"citationItems":[{"id":"ITEM-1","itemData":{"ISSN":"2044-6055","abstract":"OBJECTIVE: To elicit prescribers' preferences for behavioural economics interventions designed to reduce inappropriate antibiotic prescribing, and compare these to actual behaviour. DESIGN: Discrete choice experiment (DCE). SETTING: 47 primary care centres in Boston and Los Angeles. PARTICIPANTS: 234 primary care providers, with an average 20 years of practice. MAIN OUTCOMES AND MEASURES: Results of a behavioural economic intervention trial were compared to prescribers' stated preferences for the same interventions relative to monetary and time rewards for improved prescribing outcomes. In the randomised controlled trial (RCT) component, the 3 computerised prescription order entry-triggered interventions studied included: Suggested Alternatives (SA), an alert that populated non-antibiotic treatment options if an inappropriate antibiotic was prescribed; Accountable Justifications (JA), which prompted the prescriber to enter a justification for an inappropriately prescribed antibiotic that would then be documented in the patient's chart; and Peer Comparison (PC), an email periodically sent to each prescriber comparing his/her antibiotic prescribing rate with those who had the lowest rates of inappropriate antibiotic prescribing. A DCE study component was administered to determine whether prescribers felt SA, JA, PC, pay-for-performance or additional clinic time would most effectively reduce their inappropriate antibiotic prescribing. Willingness-to-pay (WTP) was calculated for each intervention. RESULTS: In the RCT, PC and JA were found to be the most effective interventions to reduce inappropriate antibiotic prescribing, whereas SA was not significantly different from controls. In the DCE however, regardless of treatment intervention received during the RCT, prescribers overwhelmingly preferred SA, followed by PC, then JA. WTP estimates indicated that each intervention would be significantly cheaper to implement than pay-for-performance incentives of $200/month. CONCLUSIONS: Prescribing behaviour and stated preferences are not concordant, suggesting that relying on stated preferences alone to inform intervention design may eliminate effective interventions. TRIAL REGISTRATION NUMBER: NCT01454947; Results.","author":[{"dropping-particle":"","family":"Gong","given":"C L","non-dropping-particle":"","parse-names":false,"suffix":""},{"dropping-particle":"","family":"Hay","given":"J W","non-dropping-particle":"","parse-names":false,"suffix":""},{"dropping-particle":"","family":"Meeker","given":"D","non-dropping-particle":"","parse-names":false,"suffix":""},{"dropping-particle":"","family":"Doctor","given":"J N","non-dropping-particle":"","parse-names":false,"suffix":""}],"container-title":"BMJ Open","id":"ITEM-1","issue":"9","issued":{"date-parts":[["2016"]]},"page":"e012739","title":"Prescriber preferences for behavioural economics interventions to improve treatment of acute respiratory infections: a discrete choice experiment","type":"article-journal","volume":"6"},"uris":["http://www.mendeley.com/documents/?uuid=d9d85c8b-e310-4cde-9fe1-6a0dead29d16"]}],"mendeley":{"formattedCitation":"(93)","plainTextFormattedCitation":"(93)","previouslyFormattedCitation":"(93)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(93)</w:t>
            </w:r>
            <w:r w:rsidRPr="00EC3E91">
              <w:rPr>
                <w:rFonts w:cstheme="minorHAnsi"/>
                <w:sz w:val="20"/>
                <w:szCs w:val="20"/>
                <w:lang w:val="en-US"/>
              </w:rPr>
              <w:fldChar w:fldCharType="end"/>
            </w:r>
          </w:p>
        </w:tc>
        <w:tc>
          <w:tcPr>
            <w:tcW w:w="992" w:type="dxa"/>
          </w:tcPr>
          <w:p w14:paraId="19AD8050" w14:textId="3690C917"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30203256" w14:textId="3B2C3AAF"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5E37ECB3" w14:textId="185B4D20" w:rsidR="00FF4BD9" w:rsidRPr="00EC3E91" w:rsidRDefault="00FF4BD9" w:rsidP="009549DD">
            <w:pPr>
              <w:rPr>
                <w:rFonts w:cstheme="minorHAnsi"/>
                <w:sz w:val="20"/>
                <w:szCs w:val="20"/>
                <w:lang w:val="en-US"/>
              </w:rPr>
            </w:pPr>
            <w:r w:rsidRPr="00EC3E91">
              <w:rPr>
                <w:rFonts w:cstheme="minorHAnsi"/>
                <w:sz w:val="20"/>
                <w:szCs w:val="20"/>
                <w:lang w:val="en-US"/>
              </w:rPr>
              <w:t xml:space="preserve">Quant Cross sectional </w:t>
            </w:r>
          </w:p>
        </w:tc>
        <w:tc>
          <w:tcPr>
            <w:tcW w:w="851" w:type="dxa"/>
          </w:tcPr>
          <w:p w14:paraId="2280789A" w14:textId="04F381EE" w:rsidR="00FF4BD9" w:rsidRPr="00EC3E91" w:rsidRDefault="00FF4BD9" w:rsidP="009549DD">
            <w:pPr>
              <w:rPr>
                <w:rFonts w:cstheme="minorHAnsi"/>
                <w:sz w:val="20"/>
                <w:szCs w:val="20"/>
                <w:lang w:val="en-US"/>
              </w:rPr>
            </w:pPr>
            <w:r w:rsidRPr="00EC3E91">
              <w:rPr>
                <w:rFonts w:cstheme="minorHAnsi"/>
                <w:sz w:val="20"/>
                <w:szCs w:val="20"/>
                <w:lang w:val="en-US"/>
              </w:rPr>
              <w:t>Process evaluation</w:t>
            </w:r>
          </w:p>
        </w:tc>
        <w:tc>
          <w:tcPr>
            <w:tcW w:w="1134" w:type="dxa"/>
          </w:tcPr>
          <w:p w14:paraId="359F832A" w14:textId="122BEFC9"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4377A638" w14:textId="4C1265CF"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w:t>
            </w:r>
          </w:p>
        </w:tc>
        <w:tc>
          <w:tcPr>
            <w:tcW w:w="3969" w:type="dxa"/>
          </w:tcPr>
          <w:p w14:paraId="4E39179D" w14:textId="6865493C" w:rsidR="00FF4BD9" w:rsidRPr="00EC3E91" w:rsidRDefault="00FF4BD9" w:rsidP="009549DD">
            <w:pPr>
              <w:rPr>
                <w:rFonts w:cstheme="minorHAnsi"/>
                <w:sz w:val="20"/>
                <w:szCs w:val="20"/>
                <w:lang w:val="en-US"/>
              </w:rPr>
            </w:pPr>
            <w:r w:rsidRPr="00EC3E91">
              <w:rPr>
                <w:rFonts w:cstheme="minorHAnsi"/>
                <w:sz w:val="20"/>
                <w:szCs w:val="20"/>
                <w:lang w:val="en-US"/>
              </w:rPr>
              <w:t>Clinical practice guideline for the diagnosis and management of group A streptococcal pharyngitis: By the Infectious Diseases Society of America.</w:t>
            </w:r>
          </w:p>
          <w:p w14:paraId="7F4BC4F0" w14:textId="77777777" w:rsidR="00FF4BD9" w:rsidRPr="00EC3E91" w:rsidRDefault="00FF4BD9" w:rsidP="009549DD">
            <w:pPr>
              <w:rPr>
                <w:rFonts w:cstheme="minorHAnsi"/>
                <w:sz w:val="20"/>
                <w:szCs w:val="20"/>
                <w:lang w:val="en-US"/>
              </w:rPr>
            </w:pPr>
          </w:p>
          <w:p w14:paraId="18CF2267" w14:textId="6BEE997A" w:rsidR="00FF4BD9" w:rsidRPr="00EC3E91" w:rsidRDefault="00FF4BD9" w:rsidP="009549DD">
            <w:pPr>
              <w:rPr>
                <w:rFonts w:cstheme="minorHAnsi"/>
                <w:sz w:val="20"/>
                <w:szCs w:val="20"/>
                <w:lang w:val="en-US"/>
              </w:rPr>
            </w:pPr>
            <w:r w:rsidRPr="00EC3E91">
              <w:rPr>
                <w:rFonts w:cstheme="minorHAnsi"/>
                <w:sz w:val="20"/>
                <w:szCs w:val="20"/>
                <w:lang w:val="en-US"/>
              </w:rPr>
              <w:t>Diagnosis and management of cough ACCP evidence-based clinical practice guidelines.</w:t>
            </w:r>
          </w:p>
          <w:p w14:paraId="5D677C98" w14:textId="77777777" w:rsidR="00FF4BD9" w:rsidRPr="00EC3E91" w:rsidRDefault="00FF4BD9" w:rsidP="009549DD">
            <w:pPr>
              <w:rPr>
                <w:rFonts w:cstheme="minorHAnsi"/>
                <w:sz w:val="20"/>
                <w:szCs w:val="20"/>
                <w:lang w:val="en-US"/>
              </w:rPr>
            </w:pPr>
          </w:p>
          <w:p w14:paraId="60308284" w14:textId="1EBDC469" w:rsidR="00FF4BD9" w:rsidRPr="00EC3E91" w:rsidRDefault="00FF4BD9" w:rsidP="003741D8">
            <w:pPr>
              <w:rPr>
                <w:rFonts w:cstheme="minorHAnsi"/>
                <w:sz w:val="20"/>
                <w:szCs w:val="20"/>
                <w:lang w:val="en-US"/>
              </w:rPr>
            </w:pPr>
            <w:r w:rsidRPr="00EC3E91">
              <w:rPr>
                <w:rFonts w:cstheme="minorHAnsi"/>
                <w:sz w:val="20"/>
                <w:szCs w:val="20"/>
                <w:lang w:val="en-US"/>
              </w:rPr>
              <w:t>Infectious Diseases Society of America/American Thoracic Society consensus guidelines on the management of community-acquired pneumonia in adults.</w:t>
            </w:r>
          </w:p>
        </w:tc>
        <w:tc>
          <w:tcPr>
            <w:tcW w:w="2551" w:type="dxa"/>
          </w:tcPr>
          <w:p w14:paraId="400BE96E" w14:textId="0CF4026D" w:rsidR="00FF4BD9" w:rsidRPr="00EC3E91" w:rsidRDefault="00FF4BD9" w:rsidP="009549DD">
            <w:pPr>
              <w:rPr>
                <w:rFonts w:cstheme="minorHAnsi"/>
                <w:sz w:val="20"/>
                <w:szCs w:val="20"/>
                <w:lang w:val="en-US"/>
              </w:rPr>
            </w:pPr>
            <w:r w:rsidRPr="00EC3E91">
              <w:rPr>
                <w:rFonts w:cstheme="minorHAnsi"/>
                <w:sz w:val="20"/>
                <w:szCs w:val="20"/>
                <w:lang w:val="en-US"/>
              </w:rPr>
              <w:t>remind clinicians, [ACCOUNTABILITY TOOL], audit and provide feedback, make training dynamic</w:t>
            </w:r>
          </w:p>
        </w:tc>
      </w:tr>
      <w:tr w:rsidR="00FF4BD9" w:rsidRPr="00E119DD" w14:paraId="1F704883" w14:textId="77777777" w:rsidTr="00FF4BD9">
        <w:trPr>
          <w:tblHeader/>
        </w:trPr>
        <w:tc>
          <w:tcPr>
            <w:tcW w:w="709" w:type="dxa"/>
          </w:tcPr>
          <w:p w14:paraId="39ED465D" w14:textId="4839C96F"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{"citationItems":[{"id":"ITEM-1","itemData":{"abstract":"BACKGROUND: Although bronchiolitis poses a significant health problem in low- and middle-income countries (LMICs), to the best of our knowledge, to date it has not been determined whether evidence-based bronchiolitis clinical practice guidelines (CPGs) complemented by standardized educational strategies reduce the use of unnecessary diagnostic tests and medications and improve clinically important outcomes in LMICs. METHODS: In an uncontrolled before and after study, we assessed the impact of the implementation of an evidence-based bronchiolitis CPG on physician behavior and the care of infants with bronchiolitis by comparing pre-guideline (March to August 2014) and post-guideline (March to August 2015) use of diagnostic tests and medications through an electronic medical record review in a children's hospital in Bogota, Colombia. We also sought to assess the impact of the implementation of the CPG on clinically important outcomes such as lengths of stay, hospital admissions, intensive care admissions, and hospital readmissions. RESULTS: Data from 662 cases of bronchiolitis (pre-guideline period) were compared with the data from 703 cases (post-guideline period). On comparing the pre- and post-guideline periods, it was seen that there was a significant increase in the proportion of patients with an appropriate diagnosis and treatment of bronchiolitis (36.4% versus 44.5%, p = 0.003), and there were statistically significant decreases in the use of a hemogram (33.2% versus 26.6%, p=0.010), procalcitonin (3.9% versus 1.6%, p=0.018), nebulized beta-2 agonists (45.6% versus 3.4%, p &lt; 0.001), nebulized anticholinergics (3.3% versus 1.4%, p= 0.029), and nebulized epinephrine (16.2% versus 7.8%, p &lt; 0.001). Likewise, a significant increase in the use of nebulized hypertonic saline was seen (79.6% versus 91.7%, p &lt; 0.001). However, implementation of the CPG for bronchiolitis was not associated with significant changes in clinically important outcomes. CONCLUSIONS: The development and implementation of a good quality bronchiolitis CPG is associated with a significant increase in the proportion of cases with an appropriate diagnosis and treatment of the disease in the context of a university-based hospital located in the capital of an LMIC. However, we could not demonstrate an improvement in clinically important outcomes such as any of the bronchiolitis severity parameters.","author":[{"dropping-particle":"","family":"Henao-Villada","given":"R","non-dropping-particle":"","parse-names":false,"suffix":""},{"dropping-particle":"","family":"Sossa-Briceno","given":"M P","non-dropping-particle":"","parse-names":false,"suffix":""},{"dropping-particle":"","family":"Rodriguez-Martinez","given":"C E","non-dropping-particle":"","parse-names":false,"suffix":""}],"container-title":"Therapeutic Advances in Respiratory Disease","id":"ITEM-1","issue":"5","issued":{"date-parts":[["2016"]]},"page":"425-434","title":"Impact of the implementation of an evidence-based guideline on diagnostic testing, management, and clinical outcomes for infants with bronchiolitis","type":"article-journal","volume":"10"},"uris":["http://www.mendeley.com/documents/?uuid=a79505a6-2371-4f2a-982f-696edab562a6"]}],"mendeley":{"formattedCitation":"(94)","plainTextFormattedCitation":"(94)","previouslyFormattedCitation":"(94)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(94)</w:t>
            </w:r>
            <w:r w:rsidRPr="00EC3E91">
              <w:rPr>
                <w:rFonts w:cstheme="minorHAnsi"/>
                <w:sz w:val="20"/>
                <w:szCs w:val="20"/>
                <w:lang w:val="en-US"/>
              </w:rPr>
              <w:fldChar w:fldCharType="end"/>
            </w:r>
          </w:p>
        </w:tc>
        <w:tc>
          <w:tcPr>
            <w:tcW w:w="992" w:type="dxa"/>
          </w:tcPr>
          <w:p w14:paraId="5EB12378" w14:textId="18584144" w:rsidR="00FF4BD9" w:rsidRPr="00EC3E91" w:rsidRDefault="00FF4BD9" w:rsidP="009549DD">
            <w:pPr>
              <w:rPr>
                <w:rFonts w:cstheme="minorHAnsi"/>
                <w:sz w:val="20"/>
                <w:szCs w:val="20"/>
                <w:lang w:val="en-US"/>
              </w:rPr>
            </w:pPr>
            <w:r w:rsidRPr="00EC3E91">
              <w:rPr>
                <w:rFonts w:cstheme="minorHAnsi"/>
                <w:sz w:val="20"/>
                <w:szCs w:val="20"/>
                <w:lang w:val="en-US"/>
              </w:rPr>
              <w:t xml:space="preserve">Colombia </w:t>
            </w:r>
          </w:p>
        </w:tc>
        <w:tc>
          <w:tcPr>
            <w:tcW w:w="993" w:type="dxa"/>
          </w:tcPr>
          <w:p w14:paraId="4CAA8996" w14:textId="1F89D099"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456D14E9" w14:textId="7445A26C"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04C80B2F" w14:textId="12A967CE"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961CA11" w14:textId="612FEDE1"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r w:rsidR="00226199">
              <w:rPr>
                <w:rFonts w:cstheme="minorHAnsi"/>
                <w:sz w:val="20"/>
                <w:szCs w:val="20"/>
                <w:lang w:val="en-US"/>
              </w:rPr>
              <w:t>Imaging</w:t>
            </w:r>
            <w:r w:rsidRPr="00EC3E91">
              <w:rPr>
                <w:rFonts w:cstheme="minorHAnsi"/>
                <w:sz w:val="20"/>
                <w:szCs w:val="20"/>
                <w:lang w:val="en-US"/>
              </w:rPr>
              <w:t xml:space="preserve">, other medications </w:t>
            </w:r>
          </w:p>
        </w:tc>
        <w:tc>
          <w:tcPr>
            <w:tcW w:w="2126" w:type="dxa"/>
          </w:tcPr>
          <w:p w14:paraId="0791A64D" w14:textId="65CDEC89" w:rsidR="00FF4BD9" w:rsidRPr="00EC3E91" w:rsidRDefault="00746D40" w:rsidP="009549DD">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use of diagnostic </w:t>
            </w:r>
            <w:r w:rsidR="006F41AC" w:rsidRPr="00EC3E91">
              <w:rPr>
                <w:rFonts w:cstheme="minorHAnsi"/>
                <w:sz w:val="20"/>
                <w:szCs w:val="20"/>
                <w:lang w:val="en-US"/>
              </w:rPr>
              <w:t>tests, inappropriate</w:t>
            </w:r>
            <w:r w:rsidR="00FF4BD9" w:rsidRPr="00EC3E91">
              <w:rPr>
                <w:rFonts w:cstheme="minorHAnsi"/>
                <w:sz w:val="20"/>
                <w:szCs w:val="20"/>
                <w:lang w:val="en-US"/>
              </w:rPr>
              <w:t xml:space="preserve"> use of chest radiography and routine use of inhaled bronchodilators</w:t>
            </w:r>
          </w:p>
        </w:tc>
        <w:tc>
          <w:tcPr>
            <w:tcW w:w="3969" w:type="dxa"/>
          </w:tcPr>
          <w:p w14:paraId="79A58D52" w14:textId="7088DC2E" w:rsidR="00FF4BD9" w:rsidRPr="00EC3E91" w:rsidRDefault="00FF4BD9" w:rsidP="003741D8">
            <w:pPr>
              <w:rPr>
                <w:rFonts w:cstheme="minorHAnsi"/>
                <w:sz w:val="20"/>
                <w:szCs w:val="20"/>
                <w:lang w:val="en-US"/>
              </w:rPr>
            </w:pPr>
            <w:r w:rsidRPr="00EC3E91">
              <w:rPr>
                <w:rFonts w:cstheme="minorHAnsi"/>
                <w:sz w:val="20"/>
                <w:szCs w:val="20"/>
                <w:lang w:val="en-US"/>
              </w:rPr>
              <w:t xml:space="preserve">Clinical practice guideline on acute bronchiolitis: clinical practice guidelines in the Spanish national healthcare system. </w:t>
            </w:r>
          </w:p>
        </w:tc>
        <w:tc>
          <w:tcPr>
            <w:tcW w:w="2551" w:type="dxa"/>
          </w:tcPr>
          <w:p w14:paraId="5F2B6937" w14:textId="1F0AB222" w:rsidR="00FF4BD9" w:rsidRPr="00EC3E91" w:rsidRDefault="00FF4BD9" w:rsidP="009549DD">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6961CFED" w14:textId="77777777" w:rsidTr="00FF4BD9">
        <w:trPr>
          <w:tblHeader/>
        </w:trPr>
        <w:tc>
          <w:tcPr>
            <w:tcW w:w="709" w:type="dxa"/>
          </w:tcPr>
          <w:p w14:paraId="319A81CA" w14:textId="6E379654"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Inappropriate overuse of antibiotics contributes to antimicrobial resistance (AMR), yet policy implementation to reduce inappropriate antibiotic use is poor in low and middle-income countries. AIMS: To determine whether public sector inappropriate antibiotic use is lower in countries reporting implementation of selected essential medicines policies. MATERIALS AND METHODS: Results from independently conducted antibiotic use surveys in countries that did, and did not report implementation of policies to reduce inappropriate antibiotic prescribing, were compared. Survey data on four validated indicators of inappropriate antibiotic use and 16 self-reported policy implementation variables from WHO databases were extracted. The average difference for indicators between countries reporting versus not reporting implementation of specific policies was calculated. For 16 selected policies we regressed the four antibiotic use variables on the numbers of policies the countries reported implementing. RESULTS: Data were available for 55 countries. Of 16 policies studied, four (having a national Ministry of Health unit on promoting rational use of medicines, a national drug information centre and provincial and hospital drugs and therapeutics committees) were associated with statistically significant reductions in antibiotic use of &gt;=20% in upper respiratory infection (URTI). A national strategy to contain antibiotic resistance was associated with a 30% reduction in use of antibiotics in acute diarrheal illness. Policies seemed to be associated with greater effects in antibiotic use for URTI and diarrhea compared with antibiotic use in all patients. There were negative correlations between the numbers of policies reported implemented and the percentage of acute diarrhoea cases treated with antibiotics (r = -0.484, p = 0.007) and the percentage of URTI cases treated with antibiotics (r = -0.472, p = 0.005). Major study limitations were the reliance on self-reported policy implementation data and antibiotic use data from linited surveys. CONCLUSIONS: Selected essential medicines policies were associated with lower antibiotic use in low and middle income countries.","author":[{"dropping-particle":"","family":"Holloway","given":"K A","non-dropping-particle":"","parse-names":false,"suffix":""},{"dropping-particle":"","family":"Rosella","given":"L","non-dropping-particle":"","parse-names":false,"suffix":""},{"dropping-particle":"","family":"Henry","given":"D","non-dropping-particle":"","parse-names":false,"suffix":""}],"container-title":"PLoS ONE","id":"ITEM-1","issue":"3","issued":{"date-parts":[["2016"]]},"page":"e0152020","title":"The Impact of WHO Essential Medicines Policies on Inappropriate Use of Antibiotics","type":"article-journal","volume":"11"},"uris":["http://www.mendeley.com/documents/?uuid=f05b02ee-bbb1-40f0-b186-2b102fa1a4db"]}],"mendeley":{"formattedCitation":"(95)","plainTextFormattedCitation":"(95)","previouslyFormattedCitation":"(95)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(95)</w:t>
            </w:r>
            <w:r w:rsidRPr="00EC3E91">
              <w:rPr>
                <w:rFonts w:cstheme="minorHAnsi"/>
                <w:sz w:val="20"/>
                <w:szCs w:val="20"/>
                <w:lang w:val="en-US"/>
              </w:rPr>
              <w:fldChar w:fldCharType="end"/>
            </w:r>
          </w:p>
        </w:tc>
        <w:tc>
          <w:tcPr>
            <w:tcW w:w="992" w:type="dxa"/>
          </w:tcPr>
          <w:p w14:paraId="0F71DEB4" w14:textId="1A0FF739"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countries </w:t>
            </w:r>
          </w:p>
        </w:tc>
        <w:tc>
          <w:tcPr>
            <w:tcW w:w="993" w:type="dxa"/>
          </w:tcPr>
          <w:p w14:paraId="1E795B56" w14:textId="3B5D0191"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30B1B1B5" w14:textId="44564791" w:rsidR="00FF4BD9" w:rsidRPr="00EC3E91" w:rsidRDefault="00FF4BD9" w:rsidP="009549DD">
            <w:pPr>
              <w:rPr>
                <w:rFonts w:cstheme="minorHAnsi"/>
                <w:sz w:val="20"/>
                <w:szCs w:val="20"/>
                <w:lang w:val="en-US"/>
              </w:rPr>
            </w:pPr>
            <w:r w:rsidRPr="00EC3E91">
              <w:rPr>
                <w:rFonts w:cstheme="minorHAnsi"/>
                <w:sz w:val="20"/>
                <w:szCs w:val="20"/>
                <w:lang w:val="en-US"/>
              </w:rPr>
              <w:t xml:space="preserve">Quant Cross sectional </w:t>
            </w:r>
          </w:p>
        </w:tc>
        <w:tc>
          <w:tcPr>
            <w:tcW w:w="851" w:type="dxa"/>
          </w:tcPr>
          <w:p w14:paraId="2BFB40D3" w14:textId="4BD100C7"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60F2B0D9" w14:textId="4654CB2C"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597758A3" w14:textId="3DEEFE9C"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0BB77B47" w14:textId="6E171EDB" w:rsidR="00FF4BD9" w:rsidRPr="00EC3E91" w:rsidRDefault="00FF4BD9" w:rsidP="009E113E">
            <w:pPr>
              <w:rPr>
                <w:rFonts w:cstheme="minorHAnsi"/>
                <w:sz w:val="20"/>
                <w:szCs w:val="20"/>
                <w:lang w:val="en-US"/>
              </w:rPr>
            </w:pPr>
            <w:r w:rsidRPr="00EC3E91">
              <w:rPr>
                <w:rFonts w:cstheme="minorHAnsi"/>
                <w:sz w:val="20"/>
                <w:szCs w:val="20"/>
                <w:lang w:val="en-US"/>
              </w:rPr>
              <w:t xml:space="preserve">WHO Global Strategy for containment of antibiotic resistance. </w:t>
            </w:r>
          </w:p>
          <w:p w14:paraId="1900FBDB" w14:textId="77777777" w:rsidR="00FF4BD9" w:rsidRPr="00EC3E91" w:rsidRDefault="00FF4BD9" w:rsidP="009E113E">
            <w:pPr>
              <w:rPr>
                <w:rFonts w:cstheme="minorHAnsi"/>
                <w:sz w:val="20"/>
                <w:szCs w:val="20"/>
                <w:lang w:val="en-US"/>
              </w:rPr>
            </w:pPr>
          </w:p>
          <w:p w14:paraId="55CAC8B7" w14:textId="15602692" w:rsidR="00FF4BD9" w:rsidRPr="00EC3E91" w:rsidRDefault="00FF4BD9" w:rsidP="009E113E">
            <w:pPr>
              <w:rPr>
                <w:rFonts w:cstheme="minorHAnsi"/>
                <w:sz w:val="20"/>
                <w:szCs w:val="20"/>
                <w:lang w:val="en-US"/>
              </w:rPr>
            </w:pPr>
            <w:r w:rsidRPr="00EC3E91">
              <w:rPr>
                <w:rFonts w:cstheme="minorHAnsi"/>
                <w:sz w:val="20"/>
                <w:szCs w:val="20"/>
                <w:lang w:val="en-US"/>
              </w:rPr>
              <w:t xml:space="preserve">WHO Global Action plan on antibiotic resistance. </w:t>
            </w:r>
          </w:p>
          <w:p w14:paraId="5F82EB3F" w14:textId="77777777" w:rsidR="00FF4BD9" w:rsidRPr="00EC3E91" w:rsidRDefault="00FF4BD9" w:rsidP="009E113E">
            <w:pPr>
              <w:rPr>
                <w:rFonts w:cstheme="minorHAnsi"/>
                <w:sz w:val="20"/>
                <w:szCs w:val="20"/>
                <w:lang w:val="en-US"/>
              </w:rPr>
            </w:pPr>
          </w:p>
          <w:p w14:paraId="52903CF4" w14:textId="1FA1E3CD" w:rsidR="00FF4BD9" w:rsidRPr="00EC3E91" w:rsidRDefault="00FF4BD9" w:rsidP="003741D8">
            <w:pPr>
              <w:rPr>
                <w:rFonts w:cstheme="minorHAnsi"/>
                <w:sz w:val="20"/>
                <w:szCs w:val="20"/>
                <w:lang w:val="en-US"/>
              </w:rPr>
            </w:pPr>
            <w:r w:rsidRPr="00EC3E91">
              <w:rPr>
                <w:rFonts w:cstheme="minorHAnsi"/>
                <w:sz w:val="20"/>
                <w:szCs w:val="20"/>
                <w:lang w:val="en-US"/>
              </w:rPr>
              <w:t xml:space="preserve">WHO Global Action plan on antibiotic resistance. </w:t>
            </w:r>
          </w:p>
        </w:tc>
        <w:tc>
          <w:tcPr>
            <w:tcW w:w="2551" w:type="dxa"/>
          </w:tcPr>
          <w:p w14:paraId="027F5162" w14:textId="3F299270" w:rsidR="00FF4BD9" w:rsidRPr="00EC3E91" w:rsidRDefault="00FF4BD9" w:rsidP="00675E77">
            <w:pPr>
              <w:rPr>
                <w:rFonts w:cstheme="minorHAnsi"/>
                <w:sz w:val="20"/>
                <w:szCs w:val="20"/>
                <w:lang w:val="en-US"/>
              </w:rPr>
            </w:pPr>
            <w:r w:rsidRPr="00EC3E91">
              <w:rPr>
                <w:rFonts w:cstheme="minorHAnsi"/>
                <w:sz w:val="20"/>
                <w:szCs w:val="20"/>
                <w:lang w:val="en-US"/>
              </w:rPr>
              <w:t>[POLICY AND REGULATIONS</w:t>
            </w:r>
            <w:r w:rsidR="0032148D" w:rsidRPr="00EC3E91">
              <w:rPr>
                <w:rFonts w:cstheme="minorHAnsi"/>
                <w:sz w:val="20"/>
                <w:szCs w:val="20"/>
                <w:lang w:val="en-US"/>
              </w:rPr>
              <w:t>], distribute</w:t>
            </w:r>
            <w:r w:rsidRPr="00EC3E91">
              <w:rPr>
                <w:rFonts w:cstheme="minorHAnsi"/>
                <w:sz w:val="20"/>
                <w:szCs w:val="20"/>
                <w:lang w:val="en-US"/>
              </w:rPr>
              <w:t xml:space="preserve"> educational materials, conduct </w:t>
            </w:r>
            <w:r w:rsidR="0032148D" w:rsidRPr="00EC3E91">
              <w:rPr>
                <w:rFonts w:cstheme="minorHAnsi"/>
                <w:sz w:val="20"/>
                <w:szCs w:val="20"/>
                <w:lang w:val="en-US"/>
              </w:rPr>
              <w:t>educational</w:t>
            </w:r>
            <w:r w:rsidRPr="00EC3E91">
              <w:rPr>
                <w:rFonts w:cstheme="minorHAnsi"/>
                <w:sz w:val="20"/>
                <w:szCs w:val="20"/>
                <w:lang w:val="en-US"/>
              </w:rPr>
              <w:t xml:space="preserve"> meeting, use mass media, alter incentive/allowance structures, alter patient/consumer </w:t>
            </w:r>
            <w:r w:rsidR="0032148D" w:rsidRPr="00EC3E91">
              <w:rPr>
                <w:rFonts w:cstheme="minorHAnsi"/>
                <w:sz w:val="20"/>
                <w:szCs w:val="20"/>
                <w:lang w:val="en-US"/>
              </w:rPr>
              <w:t>fees, start</w:t>
            </w:r>
            <w:r w:rsidRPr="00EC3E91">
              <w:rPr>
                <w:rFonts w:cstheme="minorHAnsi"/>
                <w:sz w:val="20"/>
                <w:szCs w:val="20"/>
                <w:lang w:val="en-US"/>
              </w:rPr>
              <w:t xml:space="preserve"> a dissemination organization</w:t>
            </w:r>
          </w:p>
        </w:tc>
      </w:tr>
      <w:tr w:rsidR="00FF4BD9" w:rsidRPr="00EC3E91" w14:paraId="1D6BEADB" w14:textId="77777777" w:rsidTr="00FF4BD9">
        <w:trPr>
          <w:tblHeader/>
        </w:trPr>
        <w:tc>
          <w:tcPr>
            <w:tcW w:w="709" w:type="dxa"/>
          </w:tcPr>
          <w:p w14:paraId="6872A132" w14:textId="1040E13D"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{"citationItems":[{"id":"ITEM-1","itemData":{"abstract":"PURPOSE OF THE STUDY: Domperidone is associated with QTc prolongation, predisposing to the development of ventricular arrhythmias. In 2014, The Medicines and Healthcare Regulatory Agency (MHRA) recommended restricting its use. We assessed whether these recommendations have been implemented in a general practice. STUDY DESIGN: We conducted a prospective study using the general practitioner (GP) computer database on patients who had at least one repeat prescription for domperidone in 12 months. Data were presented to the doctors and the survey was repeated 7 months later. RESULTS: Sixty-four patients (mean age 61.3+/-16.4 years) were identified who had received at least one repeat prescription of domperidone. Twenty patients were being prescribed over the recommended daily dose. Nineteen patients were coprescribed medications known to prolong the QTc interval and two CYP3A4 inhibitors. The repeat survey performed 7 months later demonstrated a 70% reduction in the number of patients prescribed domperidone to a total of 19 (three patients prescribed above the recommended dose) none of which had a history of cardiac disease or were being coprescribed drugs known to prolong the QTc interval. CONCLUSIONS: Following the publication of the MHRA recommendations and presentation of our initial survey, there has been a significant reduction in the number of patients treated with domperidone and those coprescribed drugs known to prolong the QTc interval. We suggest that regular review of GP practice database should be performed to identify those patients prescribed domperidone and at risk of life-threatening arrhythmias and measures taken to use alternative pharmacological agents.","author":[{"dropping-particle":"","family":"Ioannou","given":"A","non-dropping-particle":"","parse-names":false,"suffix":""},{"dropping-particle":"","family":"Jain","given":"A","non-dropping-particle":"","parse-names":false,"suffix":""},{"dropping-particle":"","family":"Kassianos","given":"G","non-dropping-particle":"","parse-names":false,"suffix":""},{"dropping-particle":"","family":"Missouris","given":"C","non-dropping-particle":"","parse-names":false,"suffix":""}],"container-title":"Postgraduate Medical Journal","id":"ITEM-1","issue":"1089","issued":{"date-parts":[["2016"]]},"page":"390-392","title":"Survey of the use of domperidone and the association with QTc prolongation in general practice","type":"article-journal","volume":"92"},"uris":["http://www.mendeley.com/documents/?uuid=6c0d81cc-1bd8-4a82-ad41-1b80ca764d09"]}],"mendeley":{"formattedCitation":"(96)","plainTextFormattedCitation":"(96)","previouslyFormattedCitation":"(96)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(96)</w:t>
            </w:r>
            <w:r w:rsidRPr="00EC3E91">
              <w:rPr>
                <w:rFonts w:cstheme="minorHAnsi"/>
                <w:sz w:val="20"/>
                <w:szCs w:val="20"/>
                <w:lang w:val="en-US"/>
              </w:rPr>
              <w:fldChar w:fldCharType="end"/>
            </w:r>
          </w:p>
        </w:tc>
        <w:tc>
          <w:tcPr>
            <w:tcW w:w="992" w:type="dxa"/>
          </w:tcPr>
          <w:p w14:paraId="109EF3CD" w14:textId="51B82A30" w:rsidR="00FF4BD9" w:rsidRPr="00EC3E91" w:rsidRDefault="00FF4BD9" w:rsidP="009549DD">
            <w:pPr>
              <w:rPr>
                <w:rFonts w:cstheme="minorHAnsi"/>
                <w:sz w:val="20"/>
                <w:szCs w:val="20"/>
                <w:lang w:val="en-US"/>
              </w:rPr>
            </w:pPr>
            <w:r w:rsidRPr="00EC3E91">
              <w:rPr>
                <w:rFonts w:cstheme="minorHAnsi"/>
                <w:sz w:val="20"/>
                <w:szCs w:val="20"/>
                <w:lang w:val="en-US"/>
              </w:rPr>
              <w:t xml:space="preserve">UK </w:t>
            </w:r>
          </w:p>
        </w:tc>
        <w:tc>
          <w:tcPr>
            <w:tcW w:w="993" w:type="dxa"/>
          </w:tcPr>
          <w:p w14:paraId="3CFBC3E2" w14:textId="4B5BBFAF"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219688B9" w14:textId="66161FB0"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707EFF5" w14:textId="108A62B7"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68D602B" w14:textId="01BC6272" w:rsidR="00FF4BD9" w:rsidRPr="00EC3E91" w:rsidRDefault="00FF4BD9" w:rsidP="009549DD">
            <w:pPr>
              <w:rPr>
                <w:rFonts w:cstheme="minorHAnsi"/>
                <w:sz w:val="20"/>
                <w:szCs w:val="20"/>
                <w:lang w:val="en-US"/>
              </w:rPr>
            </w:pPr>
            <w:r w:rsidRPr="00EC3E91">
              <w:rPr>
                <w:rFonts w:cstheme="minorHAnsi"/>
                <w:sz w:val="20"/>
                <w:szCs w:val="20"/>
                <w:lang w:val="en-US"/>
              </w:rPr>
              <w:t>Domperidone</w:t>
            </w:r>
          </w:p>
        </w:tc>
        <w:tc>
          <w:tcPr>
            <w:tcW w:w="2126" w:type="dxa"/>
          </w:tcPr>
          <w:p w14:paraId="28AF4D7B" w14:textId="2F0E6F6B" w:rsidR="00FF4BD9" w:rsidRPr="00EC3E91" w:rsidRDefault="0032148D" w:rsidP="009549DD">
            <w:pPr>
              <w:rPr>
                <w:rFonts w:cstheme="minorHAnsi"/>
                <w:sz w:val="20"/>
                <w:szCs w:val="20"/>
                <w:lang w:val="en-US"/>
              </w:rPr>
            </w:pPr>
            <w:r w:rsidRPr="00EC3E91">
              <w:rPr>
                <w:rFonts w:cstheme="minorHAnsi"/>
                <w:sz w:val="20"/>
                <w:szCs w:val="20"/>
                <w:lang w:val="en-US"/>
              </w:rPr>
              <w:t>Over prescription</w:t>
            </w:r>
            <w:r w:rsidR="00FF4BD9" w:rsidRPr="00EC3E91">
              <w:rPr>
                <w:rFonts w:cstheme="minorHAnsi"/>
                <w:sz w:val="20"/>
                <w:szCs w:val="20"/>
                <w:lang w:val="en-US"/>
              </w:rPr>
              <w:t xml:space="preserve"> of domperidone</w:t>
            </w:r>
          </w:p>
        </w:tc>
        <w:tc>
          <w:tcPr>
            <w:tcW w:w="3969" w:type="dxa"/>
          </w:tcPr>
          <w:p w14:paraId="683C24E6" w14:textId="33FEA5BC" w:rsidR="00FF4BD9" w:rsidRPr="00EC3E91" w:rsidRDefault="00FF4BD9" w:rsidP="009E113E">
            <w:pPr>
              <w:rPr>
                <w:rFonts w:cstheme="minorHAnsi"/>
                <w:sz w:val="20"/>
                <w:szCs w:val="20"/>
                <w:lang w:val="en-US"/>
              </w:rPr>
            </w:pPr>
            <w:r w:rsidRPr="00EC3E91">
              <w:rPr>
                <w:rFonts w:cstheme="minorHAnsi"/>
                <w:sz w:val="20"/>
                <w:szCs w:val="20"/>
                <w:lang w:val="en-US"/>
              </w:rPr>
              <w:t>New advice for domperidone by the Medicines and Healthcare products Regulatory Agency</w:t>
            </w:r>
          </w:p>
        </w:tc>
        <w:tc>
          <w:tcPr>
            <w:tcW w:w="2551" w:type="dxa"/>
          </w:tcPr>
          <w:p w14:paraId="666074C1" w14:textId="59049454" w:rsidR="00FF4BD9" w:rsidRPr="00EC3E91" w:rsidRDefault="00FF4BD9" w:rsidP="009549DD">
            <w:pPr>
              <w:rPr>
                <w:rFonts w:cstheme="minorHAnsi"/>
                <w:sz w:val="20"/>
                <w:szCs w:val="20"/>
                <w:lang w:val="en-US"/>
              </w:rPr>
            </w:pPr>
            <w:r w:rsidRPr="00EC3E91">
              <w:rPr>
                <w:rFonts w:cstheme="minorHAnsi"/>
                <w:sz w:val="20"/>
                <w:szCs w:val="20"/>
                <w:lang w:val="en-US"/>
              </w:rPr>
              <w:t xml:space="preserve">Audit and provide feedback </w:t>
            </w:r>
          </w:p>
        </w:tc>
      </w:tr>
      <w:tr w:rsidR="00FF4BD9" w:rsidRPr="00E119DD" w14:paraId="720F8A81" w14:textId="77777777" w:rsidTr="00FF4BD9">
        <w:trPr>
          <w:tblHeader/>
        </w:trPr>
        <w:tc>
          <w:tcPr>
            <w:tcW w:w="709" w:type="dxa"/>
          </w:tcPr>
          <w:p w14:paraId="501D85C3" w14:textId="3BCD601E"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{"citationItems":[{"id":"ITEM-1","itemData":{"abstract":"UNLABELLED: Reducing overuse of tests such as dual-energy X-ray absorptiometry (DXA) scans in younger women is an important quality issue. We evaluated trends in DXA ordering before and after Choosing Wisely recommendations were released. We found no significant difference in ordering trends suggesting that other initiatives are needed to change behavior. INTRODUCTION: Reducing overuse of tests such as dual-energy X-ray absorptiometry (DXA) scans in younger women is an important quality issue, but trends in care are difficult to change. We evaluated (1) trends in DXA ordering before and after the Choosing Wisely recommendation release and (2) patterns of key characteristics that indicate a potentially appropriate DXA scan order. METHODS: We performed a retrospective longitudinal analysis of electronic health record data at a multi-specialty, ambulatory care network of 34 practices across Maryland and Washington, DC. Since the Choosing Wisely DXA recommendation was released April 2012, the study periods were April-December 2011 (pre-initiative) and April-December 2012 (post-initiative). Women between 50 and 64 years with primary care encounters, and primary care providers who saw ten or more women in the study population in both pre and post periods were included. RESULTS: For 42,320 eligible patients, the mean provider ordering rate was 2.6 % pre-initiative and 2.0 % post-initiative; there was no significant difference in trend over time. Over 70 % of the population had no characteristics associated with potentially appropriate DXA ordering. Low body mass index, current smoker status, and osteopenia were the most common characteristics indicating potentially appropriate DXA orders. Patients with any of these three characteristics had DXA ordering rates between 3-20 %. CONCLUSIONS: The trend in provider ordering rates of DXA scans did not decrease after the release of the DXA Choosing Wisely recommendation. Targeted initiatives addressing providers with high ordering rates will be needed to change behavior.","author":[{"dropping-particle":"","family":"Lasser","given":"E C","non-dropping-particle":"","parse-names":false,"suffix":""},{"dropping-particle":"","family":"Pfoh","given":"E R","non-dropping-particle":"","parse-names":false,"suffix":""},{"dropping-particle":"","family":"Chang","given":"H Y","non-dropping-particle":"","parse-names":false,"suffix":""},{"dropping-particle":"","family":"Chan","given":"K S","non-dropping-particle":"","parse-names":false,"suffix":""},{"dropping-particle":"","family":"Bailey","given":"J C","non-dropping-particle":"","parse-names":false,"suffix":""},{"dropping-particle":"","family":"Kharrazi","given":"H","non-dropping-particle":"","parse-names":false,"suffix":""},{"dropping-particle":"","family":"Weiner","given":"J P","non-dropping-particle":"","parse-names":false,"suffix":""},{"dropping-particle":"","family":"Dy","given":"S M","non-dropping-particle":"","parse-names":false,"suffix":""}],"container-title":"Osteoporosis International","id":"ITEM-1","issue":"7","issued":{"date-parts":[["2016"]]},"page":"2311-2316","title":"Has Choosing Wisely affected rates of dual-energy X-ray absorptiometry use?","type":"article-journal","volume":"27"},"uris":["http://www.mendeley.com/documents/?uuid=2f6013ba-1836-40c3-9fe4-58f67af6aba6"]}],"mendeley":{"formattedCitation":"(97)","plainTextFormattedCitation":"(97)","previouslyFormattedCitation":"(97)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(97)</w:t>
            </w:r>
            <w:r w:rsidRPr="00EC3E91">
              <w:rPr>
                <w:rFonts w:cstheme="minorHAnsi"/>
                <w:sz w:val="20"/>
                <w:szCs w:val="20"/>
                <w:lang w:val="en-US"/>
              </w:rPr>
              <w:fldChar w:fldCharType="end"/>
            </w:r>
          </w:p>
        </w:tc>
        <w:tc>
          <w:tcPr>
            <w:tcW w:w="992" w:type="dxa"/>
          </w:tcPr>
          <w:p w14:paraId="17A15825" w14:textId="2FD93013"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23BF2FCD" w14:textId="26C696F4"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78999353" w14:textId="415E6549"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6B5DEC6" w14:textId="412C28CD"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A302313" w14:textId="6BBA1891"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23BE853E" w14:textId="50DE28EC" w:rsidR="00FF4BD9" w:rsidRPr="00EC3E91" w:rsidRDefault="00FF4BD9" w:rsidP="009549DD">
            <w:pPr>
              <w:rPr>
                <w:rFonts w:cstheme="minorHAnsi"/>
                <w:sz w:val="20"/>
                <w:szCs w:val="20"/>
                <w:lang w:val="en-US"/>
              </w:rPr>
            </w:pPr>
            <w:r w:rsidRPr="00EC3E91">
              <w:rPr>
                <w:rFonts w:cstheme="minorHAnsi"/>
                <w:sz w:val="20"/>
                <w:szCs w:val="20"/>
                <w:lang w:val="en-US"/>
              </w:rPr>
              <w:t>Osteoporosis screening with dual-energy X-ray absorptiometry (DXA) scans.</w:t>
            </w:r>
          </w:p>
        </w:tc>
        <w:tc>
          <w:tcPr>
            <w:tcW w:w="3969" w:type="dxa"/>
          </w:tcPr>
          <w:p w14:paraId="050EA398" w14:textId="419293EA" w:rsidR="00FF4BD9" w:rsidRPr="00EC3E91" w:rsidRDefault="00FF4BD9" w:rsidP="009E113E">
            <w:pPr>
              <w:rPr>
                <w:rFonts w:cstheme="minorHAnsi"/>
                <w:sz w:val="20"/>
                <w:szCs w:val="20"/>
                <w:lang w:val="en-US"/>
              </w:rPr>
            </w:pPr>
            <w:r w:rsidRPr="00EC3E91">
              <w:rPr>
                <w:rFonts w:cstheme="minorHAnsi"/>
                <w:sz w:val="20"/>
                <w:szCs w:val="20"/>
                <w:lang w:val="en-US"/>
              </w:rPr>
              <w:t xml:space="preserve">Osteoporosis screening by the US Preventive Services Task Force </w:t>
            </w:r>
          </w:p>
          <w:p w14:paraId="1DA6BBD0" w14:textId="77777777" w:rsidR="00FF4BD9" w:rsidRPr="00EC3E91" w:rsidRDefault="00FF4BD9" w:rsidP="009E113E">
            <w:pPr>
              <w:rPr>
                <w:rFonts w:cstheme="minorHAnsi"/>
                <w:sz w:val="20"/>
                <w:szCs w:val="20"/>
                <w:lang w:val="en-US"/>
              </w:rPr>
            </w:pPr>
          </w:p>
          <w:p w14:paraId="5F0A6062" w14:textId="50F4AEAC" w:rsidR="00FF4BD9" w:rsidRPr="00EC3E91" w:rsidRDefault="00FF4BD9" w:rsidP="003741D8">
            <w:pPr>
              <w:rPr>
                <w:rFonts w:cstheme="minorHAnsi"/>
                <w:sz w:val="20"/>
                <w:szCs w:val="20"/>
                <w:lang w:val="en-US"/>
              </w:rPr>
            </w:pPr>
            <w:r w:rsidRPr="00EC3E91">
              <w:rPr>
                <w:rFonts w:cstheme="minorHAnsi"/>
                <w:sz w:val="20"/>
                <w:szCs w:val="20"/>
                <w:lang w:val="en-US"/>
              </w:rPr>
              <w:t>Choosing Wisely</w:t>
            </w:r>
          </w:p>
        </w:tc>
        <w:tc>
          <w:tcPr>
            <w:tcW w:w="2551" w:type="dxa"/>
          </w:tcPr>
          <w:p w14:paraId="2C2066AB" w14:textId="30360F74"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tc>
      </w:tr>
      <w:tr w:rsidR="00FF4BD9" w:rsidRPr="00E119DD" w14:paraId="087F36BB" w14:textId="77777777" w:rsidTr="00FF4BD9">
        <w:trPr>
          <w:tblHeader/>
        </w:trPr>
        <w:tc>
          <w:tcPr>
            <w:tcW w:w="709" w:type="dxa"/>
          </w:tcPr>
          <w:p w14:paraId="594175A4" w14:textId="7A912F2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{"citationItems":[{"id":"ITEM-1","itemData":{"ISSN":"2151-4658","abstract":"OBJECTIVE: To assess the effect of a simple intervention on antinuclear antibody (ANA) test overuse by rheumatologists. METHODS: This was an explorative, pragmatic, before-and-after, controlled implementation study among rheumatologists working at 3 rheumatology departments in secondary and tertiary care centers in The Netherlands. The intervention was given in all study centers separately and combined education with feedback. Six outcome measures describe the intervention effects: the ANA/new patient ratio (APR), difference with the target APR, percentage of positive ANA tests, percentage of repeated ANA testing, percentage of ANA-associated diseases, and APR variation between rheumatologists. Outcomes were compared between the pre- and postintervention period (both 12 months) using (multilevel) logistic regression or F testing. Results are reported together for centers 1 and 2, and separately for center 3, because ANA tests could not be linked to an individual rheumatologist in center 3. RESULTS: The APR decreased from 0.37 to 0.11 after the intervention in centers 1 and 2 (odds ratio [OR] 0.19, 95% confidence interval [95% CI] 0.17-0.22, P &lt; 0.001) and from 0.45 to 0.30 in center 3 (OR 0.53, 95% CI 0.45-0.62, P &lt; 0.001). The percentage of repeated ANA requests in all centers and the APR variation for centers 1 and 2 decreased significantly. Only in center 3 did the percentage of ANA-associated diseases increase significantly. CONCLUSION: A simple intervention resulted in a relevant and significant decrease in the numbers of ANA tests requested by rheumatologists, together with an improvement on 3 other outcome measures.","author":[{"dropping-particle":"","family":"Lesuis","given":"N","non-dropping-particle":"","parse-names":false,"suffix":""},{"dropping-particle":"","family":"Hulscher","given":"M E","non-dropping-particle":"","parse-names":false,"suffix":""},{"dropping-particle":"","family":"Piek","given":"E","non-dropping-particle":"","parse-names":false,"suffix":""},{"dropping-particle":"","family":"Demirel","given":"H","non-dropping-particle":"","parse-names":false,"suffix":""},{"dropping-particle":"","family":"Laan-Baalbergen","given":"N","non-dropping-particle":"van der","parse-names":false,"suffix":""},{"dropping-particle":"","family":"Meek","given":"I","non-dropping-particle":"","parse-names":false,"suffix":""},{"dropping-particle":"","family":"Vollenhoven","given":"R F","non-dropping-particle":"van","parse-names":false,"suffix":""},{"dropping-particle":"","family":"Broeder","given":"A A","non-dropping-particle":"den","parse-names":false,"suffix":""}],"container-title":"Arthritis care &amp; research","id":"ITEM-1","issue":"4","issued":{"date-parts":[["2016"]]},"page":"562-569","title":"Choosing Wisely in Daily Practice: An Intervention Study on Antinuclear Antibody Testing by Rheumatologists","type":"article-journal","volume":"68"},"uris":["http://www.mendeley.com/documents/?uuid=bcb9e65b-08e9-4751-976f-7af3d5acb857"]}],"mendeley":{"formattedCitation":"(98)","plainTextFormattedCitation":"(98)","previouslyFormattedCitation":"(98)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(98)</w:t>
            </w:r>
            <w:r w:rsidRPr="00EC3E91">
              <w:rPr>
                <w:rFonts w:cstheme="minorHAnsi"/>
                <w:sz w:val="20"/>
                <w:szCs w:val="20"/>
                <w:lang w:val="en-US"/>
              </w:rPr>
              <w:fldChar w:fldCharType="end"/>
            </w:r>
          </w:p>
        </w:tc>
        <w:tc>
          <w:tcPr>
            <w:tcW w:w="992" w:type="dxa"/>
          </w:tcPr>
          <w:p w14:paraId="3F4AFB4E" w14:textId="18DD4333" w:rsidR="00FF4BD9" w:rsidRPr="00EC3E91" w:rsidRDefault="00FF4BD9" w:rsidP="009549DD">
            <w:pPr>
              <w:rPr>
                <w:rFonts w:cstheme="minorHAnsi"/>
                <w:sz w:val="20"/>
                <w:szCs w:val="20"/>
                <w:lang w:val="en-US"/>
              </w:rPr>
            </w:pPr>
            <w:r w:rsidRPr="00EC3E91">
              <w:rPr>
                <w:rFonts w:cstheme="minorHAnsi"/>
                <w:sz w:val="20"/>
                <w:szCs w:val="20"/>
                <w:lang w:val="en-US"/>
              </w:rPr>
              <w:t>Netherlands</w:t>
            </w:r>
          </w:p>
        </w:tc>
        <w:tc>
          <w:tcPr>
            <w:tcW w:w="993" w:type="dxa"/>
          </w:tcPr>
          <w:p w14:paraId="3A97BA4D" w14:textId="570744A0"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69D2E314" w14:textId="5D4B5AB6"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5A5E5E91" w14:textId="7F88B8A1"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15EB485" w14:textId="51C8BE8F" w:rsidR="00FF4BD9" w:rsidRPr="00EC3E91" w:rsidRDefault="00FF4BD9" w:rsidP="009549DD">
            <w:pPr>
              <w:rPr>
                <w:rFonts w:cstheme="minorHAnsi"/>
                <w:sz w:val="20"/>
                <w:szCs w:val="20"/>
                <w:lang w:val="en-US"/>
              </w:rPr>
            </w:pPr>
            <w:r w:rsidRPr="00EC3E91">
              <w:rPr>
                <w:rFonts w:cstheme="minorHAnsi"/>
                <w:sz w:val="20"/>
                <w:szCs w:val="20"/>
                <w:lang w:val="en-US"/>
              </w:rPr>
              <w:t>Lab tests</w:t>
            </w:r>
          </w:p>
        </w:tc>
        <w:tc>
          <w:tcPr>
            <w:tcW w:w="2126" w:type="dxa"/>
          </w:tcPr>
          <w:p w14:paraId="594035F8" w14:textId="4FE83A41" w:rsidR="00FF4BD9" w:rsidRPr="00EC3E91" w:rsidRDefault="00FF4BD9" w:rsidP="009549DD">
            <w:pPr>
              <w:rPr>
                <w:rFonts w:cstheme="minorHAnsi"/>
                <w:sz w:val="20"/>
                <w:szCs w:val="20"/>
                <w:lang w:val="en-US"/>
              </w:rPr>
            </w:pPr>
            <w:r w:rsidRPr="00EC3E91">
              <w:rPr>
                <w:rFonts w:cstheme="minorHAnsi"/>
                <w:sz w:val="20"/>
                <w:szCs w:val="20"/>
                <w:lang w:val="en-US"/>
              </w:rPr>
              <w:t>antinuclear antibody (ANA) test overuse</w:t>
            </w:r>
          </w:p>
        </w:tc>
        <w:tc>
          <w:tcPr>
            <w:tcW w:w="3969" w:type="dxa"/>
          </w:tcPr>
          <w:p w14:paraId="0F635B6A" w14:textId="35DB5F17" w:rsidR="00FF4BD9" w:rsidRPr="00EC3E91" w:rsidRDefault="00FF4BD9" w:rsidP="003741D8">
            <w:pPr>
              <w:rPr>
                <w:rFonts w:cstheme="minorHAnsi"/>
                <w:sz w:val="20"/>
                <w:szCs w:val="20"/>
                <w:lang w:val="en-US"/>
              </w:rPr>
            </w:pPr>
            <w:r w:rsidRPr="00EC3E91">
              <w:rPr>
                <w:rFonts w:cstheme="minorHAnsi"/>
                <w:sz w:val="20"/>
                <w:szCs w:val="20"/>
                <w:lang w:val="en-US"/>
              </w:rPr>
              <w:t>Choosing Wisely</w:t>
            </w:r>
          </w:p>
        </w:tc>
        <w:tc>
          <w:tcPr>
            <w:tcW w:w="2551" w:type="dxa"/>
          </w:tcPr>
          <w:p w14:paraId="71B6AFB2" w14:textId="69D0172E" w:rsidR="00FF4BD9" w:rsidRPr="00EC3E91" w:rsidRDefault="00FF4BD9" w:rsidP="009549DD">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35A7989E" w14:textId="77777777" w:rsidTr="00FF4BD9">
        <w:trPr>
          <w:tblHeader/>
        </w:trPr>
        <w:tc>
          <w:tcPr>
            <w:tcW w:w="709" w:type="dxa"/>
          </w:tcPr>
          <w:p w14:paraId="1363492D" w14:textId="49A01B44"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{"citationItems":[{"id":"ITEM-1","itemData":{"ISSN":"1931-4485","abstract":"Acute bronchitis is a predominantly viral illness and, according to clinical practice guidelines, should not be treated with antibiotics. Despite clear guidelines, acute bronchitis continues to be the most common acute respiratory illness for which antibiotics are incorrectly prescribed. Although the national benchmark for antibiotic prescribing for adults with acute bronchitis is 0%, a preliminary record review before implementing the intervention at the project setting showed that 96% (N = 30) of adults with acute bronchitis in this setting were prescribed an antibiotic. This quality improvement project utilized a single-group, pre-post design. The setting for this project was a large urgent care network with numerous locations in central North Carolina. The purpose was to determine whether nurse practitioners and physician assistants, after participating in a multifaceted provider education session, would reduce inappropriate antibiotic prescribing for healthy adults with acute uncomplicated bronchitis. Twenty providers attended 1 of 4 training sessions offered in October and November 2015. The face-to-face interactive training sessions focused on factors associated with inappropriate antibiotic prescribing, current clinical practice guidelines, and patient communication skills. Retrospective medical record review of 217 pretraining and 335 posttraining encounters for acute bronchitis by 19 eligible participating providers demonstrated a 61.9% reduction in immediate antibiotic prescribing from 91.7% to 29.8%. Delayed prescribing, which accounted for a small percentage of the total prescriptions given, had a small but significant increase of 9.3% after training. Overall, this multifaceted, interactive provider training resulted in significant reductions in inappropriate prescriptions.","author":[{"dropping-particle":"","family":"Link","given":"T L","non-dropping-particle":"","parse-names":false,"suffix":""},{"dropping-particle":"","family":"Townsend","given":"M L","non-dropping-particle":"","parse-names":false,"suffix":""},{"dropping-particle":"","family":"Leung","given":"E","non-dropping-particle":"","parse-names":false,"suffix":""},{"dropping-particle":"","family":"Kommu","given":"S","non-dropping-particle":"","parse-names":false,"suffix":""},{"dropping-particle":"","family":"Vega","given":"R Y","non-dropping-particle":"","parse-names":false,"suffix":""},{"dropping-particle":"","family":"Hendrix","given":"C C","non-dropping-particle":"","parse-names":false,"suffix":""}],"container-title":"Advanced Emergency Nursing Journal","id":"ITEM-1","issue":"4","issued":{"date-parts":[["2016"]]},"page":"327-335","title":"Reducing Inappropriate Antibiotic Prescribing for Adults With Acute Bronchitis in an Urgent Care Setting: A Quality Improvement Initiative","type":"article-journal","volume":"38"},"uris":["http://www.mendeley.com/documents/?uuid=3631b4f8-6a40-46f9-82a0-715179df7506"]}],"mendeley":{"formattedCitation":"(99)","plainTextFormattedCitation":"(99)","previouslyFormattedCitation":"(99)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(99)</w:t>
            </w:r>
            <w:r w:rsidRPr="00EC3E91">
              <w:rPr>
                <w:rFonts w:cstheme="minorHAnsi"/>
                <w:sz w:val="20"/>
                <w:szCs w:val="20"/>
                <w:lang w:val="en-US"/>
              </w:rPr>
              <w:fldChar w:fldCharType="end"/>
            </w:r>
          </w:p>
        </w:tc>
        <w:tc>
          <w:tcPr>
            <w:tcW w:w="992" w:type="dxa"/>
          </w:tcPr>
          <w:p w14:paraId="62FB0163" w14:textId="120B5B72"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52711C17" w14:textId="085D32A2"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584F7220" w14:textId="1FE2DD5B"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7ADA124F" w14:textId="6F1174F7"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1AFD54FE" w14:textId="60ED237F"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03B24428" w14:textId="24D04D6B"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62D73B9C" w14:textId="3BDBB2B9" w:rsidR="00FF4BD9" w:rsidRPr="00EC3E91" w:rsidRDefault="00FF4BD9" w:rsidP="003741D8">
            <w:pPr>
              <w:rPr>
                <w:rFonts w:cstheme="minorHAnsi"/>
                <w:sz w:val="20"/>
                <w:szCs w:val="20"/>
                <w:lang w:val="en-US"/>
              </w:rPr>
            </w:pPr>
            <w:r w:rsidRPr="00EC3E91">
              <w:rPr>
                <w:rFonts w:cstheme="minorHAnsi"/>
                <w:sz w:val="20"/>
                <w:szCs w:val="20"/>
                <w:lang w:val="en-US"/>
              </w:rPr>
              <w:t>ACCP evidence-based clinical practice guidelines.</w:t>
            </w:r>
          </w:p>
          <w:p w14:paraId="7616C72E" w14:textId="77777777" w:rsidR="00FF4BD9" w:rsidRPr="00EC3E91" w:rsidRDefault="00FF4BD9" w:rsidP="004F6CF6">
            <w:pPr>
              <w:rPr>
                <w:rFonts w:cstheme="minorHAnsi"/>
                <w:sz w:val="20"/>
                <w:szCs w:val="20"/>
                <w:lang w:val="en-US"/>
              </w:rPr>
            </w:pPr>
          </w:p>
          <w:p w14:paraId="042DF1F2" w14:textId="2EFC248D" w:rsidR="00FF4BD9" w:rsidRPr="00EC3E91" w:rsidRDefault="00FF4BD9" w:rsidP="003741D8">
            <w:pPr>
              <w:rPr>
                <w:rFonts w:cstheme="minorHAnsi"/>
                <w:sz w:val="20"/>
                <w:szCs w:val="20"/>
                <w:lang w:val="en-US"/>
              </w:rPr>
            </w:pPr>
            <w:r w:rsidRPr="00EC3E91">
              <w:rPr>
                <w:rFonts w:cstheme="minorHAnsi"/>
                <w:sz w:val="20"/>
                <w:szCs w:val="20"/>
                <w:lang w:val="en-US"/>
              </w:rPr>
              <w:t xml:space="preserve">Principles of appropriate antibiotic use for treatment of uncomplicated acute bronchitis: From the Annals of Internal Medicine (Journal). </w:t>
            </w:r>
          </w:p>
          <w:p w14:paraId="71A78583" w14:textId="77777777" w:rsidR="00FF4BD9" w:rsidRPr="00EC3E91" w:rsidRDefault="00FF4BD9" w:rsidP="004F6CF6">
            <w:pPr>
              <w:rPr>
                <w:rFonts w:cstheme="minorHAnsi"/>
                <w:sz w:val="20"/>
                <w:szCs w:val="20"/>
                <w:lang w:val="en-US"/>
              </w:rPr>
            </w:pPr>
          </w:p>
          <w:p w14:paraId="68ED68A1" w14:textId="2C9475DF" w:rsidR="00FF4BD9" w:rsidRPr="00EC3E91" w:rsidRDefault="00FF4BD9" w:rsidP="004F6CF6">
            <w:pPr>
              <w:rPr>
                <w:rFonts w:cstheme="minorHAnsi"/>
                <w:sz w:val="20"/>
                <w:szCs w:val="20"/>
                <w:lang w:val="en-US"/>
              </w:rPr>
            </w:pPr>
            <w:r w:rsidRPr="00EC3E91">
              <w:rPr>
                <w:rFonts w:cstheme="minorHAnsi"/>
                <w:sz w:val="20"/>
                <w:szCs w:val="20"/>
                <w:lang w:val="en-US"/>
              </w:rPr>
              <w:t xml:space="preserve">Principles of appropriate antibiotic use for treatment of acute bronchitis in adults. From the Annals of Internal Medicine (Journal). </w:t>
            </w:r>
          </w:p>
        </w:tc>
        <w:tc>
          <w:tcPr>
            <w:tcW w:w="2551" w:type="dxa"/>
          </w:tcPr>
          <w:p w14:paraId="76D3C7DE" w14:textId="473C684D" w:rsidR="00FF4BD9" w:rsidRPr="00EC3E91" w:rsidRDefault="00FF4BD9" w:rsidP="009549DD">
            <w:pPr>
              <w:rPr>
                <w:rFonts w:cstheme="minorHAnsi"/>
                <w:sz w:val="20"/>
                <w:szCs w:val="20"/>
                <w:lang w:val="en-US"/>
              </w:rPr>
            </w:pPr>
            <w:r w:rsidRPr="00EC3E91">
              <w:rPr>
                <w:rFonts w:cstheme="minorHAnsi"/>
                <w:sz w:val="20"/>
                <w:szCs w:val="20"/>
                <w:lang w:val="en-US"/>
              </w:rPr>
              <w:t xml:space="preserve">Make training dynamic </w:t>
            </w:r>
          </w:p>
        </w:tc>
      </w:tr>
      <w:tr w:rsidR="00FF4BD9" w:rsidRPr="00EC3E91" w14:paraId="2BF040D1" w14:textId="77777777" w:rsidTr="00FF4BD9">
        <w:trPr>
          <w:tblHeader/>
        </w:trPr>
        <w:tc>
          <w:tcPr>
            <w:tcW w:w="709" w:type="dxa"/>
          </w:tcPr>
          <w:p w14:paraId="7996C0BC" w14:textId="24AACD4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PCPs need effective communication strategies to address patient requests for low-value testing while sustaining patient-provider partnerships. Watchful waiting - allowing a negotiated period of time to pass before making a firm testing decision - shows promise as a tool for addressing patient requests for low-value testing. METHODS: Observational analysis of data from a randomized controlled trial of a communication intervention designed to boost patient-centeredness and reduce low-value test ordering among 61 resident primary care physicians. Intervention effectiveness was assessed during follow-up encounters of unannounced standardized patients (SPs) who requested low-value tests. We examined associations between five physician counseling behaviors and overall patient-centeredness (Measure of Patient-Centered Communication) and requested test ordering. RESULTS: During 155 SP encounters, residents most commonly used reassurance (96% of encounters), evidence-based recommendations (97%), and watchful waiting (68 %). Resident advice to pursue watchful waiting was associated with 39% lower likelihood of test ordering (adjusted marginal effect of -38.6% [95% CI -43.6 to -33.6]). When all communication behaviors were examined together, only watchful waiting was significantly associated with test ordering (marginal effect of -38% [95% CI -44.3% to -31.7%]). Overall patient-centeredness was not associated with low-value testing. CONCLUSION: Resident physician counseling to pursue watchful waiting was associated with less ordering of requested low-value diagnostic tests, while overall patient-centeredness was not.","author":[{"dropping-particle":"","family":"May","given":"L","non-dropping-particle":"","parse-names":false,"suffix":""},{"dropping-particle":"","family":"Franks","given":"P","non-dropping-particle":"","parse-names":false,"suffix":""},{"dropping-particle":"","family":"Jerant","given":"A","non-dropping-particle":"","parse-names":false,"suffix":""},{"dropping-particle":"","family":"Fenton","given":"J","non-dropping-particle":"","parse-names":false,"suffix":""}],"container-title":"Journal of the American Board of Family Medicine: JABFM","id":"ITEM-1","issue":"6","issued":{"date-parts":[["2016"]]},"page":"710-717","title":"Watchful Waiting Strategy May Reduce Low-Value Diagnostic Testing","type":"article-journal","volume":"29"},"uris":["http://www.mendeley.com/documents/?uuid=e4cb80e9-2350-4c22-8ed2-f7f7daac9b3c"]}],"mendeley":{"formattedCitation":"(100)","plainTextFormattedCitation":"(100)","previouslyFormattedCitation":"(100)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(100)</w:t>
            </w:r>
            <w:r w:rsidRPr="00EC3E91">
              <w:rPr>
                <w:rFonts w:cstheme="minorHAnsi"/>
                <w:sz w:val="20"/>
                <w:szCs w:val="20"/>
                <w:lang w:val="en-US"/>
              </w:rPr>
              <w:fldChar w:fldCharType="end"/>
            </w:r>
          </w:p>
        </w:tc>
        <w:tc>
          <w:tcPr>
            <w:tcW w:w="992" w:type="dxa"/>
          </w:tcPr>
          <w:p w14:paraId="276CD63F" w14:textId="6B73D32F"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156402BC" w14:textId="7AF0F96A"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38C9A397" w14:textId="57B22679"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2A95A1A9" w14:textId="6F0833C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967A703" w14:textId="7F7C30A3"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287EF708" w14:textId="1AEAC55D" w:rsidR="00FF4BD9" w:rsidRPr="00EC3E91" w:rsidRDefault="00FF4BD9" w:rsidP="004F6CF6">
            <w:pPr>
              <w:rPr>
                <w:rFonts w:cstheme="minorHAnsi"/>
                <w:sz w:val="20"/>
                <w:szCs w:val="20"/>
                <w:lang w:val="en-US"/>
              </w:rPr>
            </w:pPr>
            <w:r w:rsidRPr="00EC3E91">
              <w:rPr>
                <w:rFonts w:cstheme="minorHAnsi"/>
                <w:sz w:val="20"/>
                <w:szCs w:val="20"/>
                <w:lang w:val="en-US"/>
              </w:rPr>
              <w:t xml:space="preserve">Inappropriate use of spinal magnetic resonance imaging (MRI) for sub-acute back pain, dual-energy x-ray </w:t>
            </w:r>
            <w:r w:rsidR="0032148D" w:rsidRPr="00EC3E91">
              <w:rPr>
                <w:rFonts w:cstheme="minorHAnsi"/>
                <w:sz w:val="20"/>
                <w:szCs w:val="20"/>
                <w:lang w:val="en-US"/>
              </w:rPr>
              <w:t>absorptiometry (</w:t>
            </w:r>
            <w:r w:rsidRPr="00EC3E91">
              <w:rPr>
                <w:rFonts w:cstheme="minorHAnsi"/>
                <w:sz w:val="20"/>
                <w:szCs w:val="20"/>
                <w:lang w:val="en-US"/>
              </w:rPr>
              <w:t>DXA) screening for postmenopausal women at low risk for osteoporosis, and neuroimaging for recent-onset uncomplicated headache</w:t>
            </w:r>
          </w:p>
        </w:tc>
        <w:tc>
          <w:tcPr>
            <w:tcW w:w="3969" w:type="dxa"/>
          </w:tcPr>
          <w:p w14:paraId="739EADEE" w14:textId="4E5CDA42" w:rsidR="00FF4BD9" w:rsidRPr="00EC3E91" w:rsidRDefault="00FF4BD9" w:rsidP="004F6CF6">
            <w:pPr>
              <w:rPr>
                <w:rFonts w:cstheme="minorHAnsi"/>
                <w:sz w:val="20"/>
                <w:szCs w:val="20"/>
                <w:lang w:val="en-US"/>
              </w:rPr>
            </w:pPr>
            <w:r w:rsidRPr="00EC3E91">
              <w:rPr>
                <w:rFonts w:cstheme="minorHAnsi"/>
                <w:sz w:val="20"/>
                <w:szCs w:val="20"/>
                <w:lang w:val="en-US"/>
              </w:rPr>
              <w:t xml:space="preserve">Adult acute and subacute low back pain. Institute for Clinical Systems Improvement. </w:t>
            </w:r>
          </w:p>
          <w:p w14:paraId="29837488" w14:textId="77777777" w:rsidR="00FF4BD9" w:rsidRPr="00EC3E91" w:rsidRDefault="00FF4BD9" w:rsidP="004F6CF6">
            <w:pPr>
              <w:rPr>
                <w:rFonts w:cstheme="minorHAnsi"/>
                <w:sz w:val="20"/>
                <w:szCs w:val="20"/>
                <w:lang w:val="en-US"/>
              </w:rPr>
            </w:pPr>
          </w:p>
          <w:p w14:paraId="29D7B8B0" w14:textId="42FD6F6A" w:rsidR="00FF4BD9" w:rsidRPr="00EC3E91" w:rsidRDefault="00FF4BD9" w:rsidP="003741D8">
            <w:pPr>
              <w:rPr>
                <w:rFonts w:cstheme="minorHAnsi"/>
                <w:sz w:val="20"/>
                <w:szCs w:val="20"/>
                <w:lang w:val="en-US"/>
              </w:rPr>
            </w:pPr>
            <w:r w:rsidRPr="00EC3E91">
              <w:rPr>
                <w:rFonts w:cstheme="minorHAnsi"/>
                <w:sz w:val="20"/>
                <w:szCs w:val="20"/>
                <w:lang w:val="en-US"/>
              </w:rPr>
              <w:t xml:space="preserve">Diagnosis and treatment of osteoporosis. Institute for Clinical Systems Improvement. </w:t>
            </w:r>
          </w:p>
        </w:tc>
        <w:tc>
          <w:tcPr>
            <w:tcW w:w="2551" w:type="dxa"/>
          </w:tcPr>
          <w:p w14:paraId="53D4F60D" w14:textId="27149DFC" w:rsidR="00FF4BD9" w:rsidRPr="00EC3E91" w:rsidRDefault="00FF4BD9" w:rsidP="009549DD">
            <w:pPr>
              <w:rPr>
                <w:rFonts w:cstheme="minorHAnsi"/>
                <w:sz w:val="20"/>
                <w:szCs w:val="20"/>
                <w:lang w:val="en-US"/>
              </w:rPr>
            </w:pPr>
            <w:r w:rsidRPr="00EC3E91">
              <w:rPr>
                <w:rFonts w:cstheme="minorHAnsi"/>
                <w:sz w:val="20"/>
                <w:szCs w:val="20"/>
                <w:lang w:val="en-US"/>
              </w:rPr>
              <w:t>Make training dynamic</w:t>
            </w:r>
          </w:p>
        </w:tc>
      </w:tr>
      <w:tr w:rsidR="00FF4BD9" w:rsidRPr="00E119DD" w14:paraId="114169F7" w14:textId="77777777" w:rsidTr="00FF4BD9">
        <w:trPr>
          <w:tblHeader/>
        </w:trPr>
        <w:tc>
          <w:tcPr>
            <w:tcW w:w="709" w:type="dxa"/>
          </w:tcPr>
          <w:p w14:paraId="3AF36193" w14:textId="7635D4D6"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{"citationItems":[{"id":"ITEM-1","itemData":{"ISSN":"0305-7453","abstract":"Objectives: To investigate whether and how structured feedback sessions can increase rates of appropriate antimicrobial prescribing by junior doctors. Methods: This was a mixed-methods study, with a conceptual orientation towards complexity and systems thinking. Fourteen junior doctors, in their first year of training, were randomized to intervention (feedback) and 21 to control (routine practice) groups in a single UK teaching hospital. Feedback on their antimicrobial prescribing was given, in writing and via group sessions. Pharmacists assessed the appropriateness of all new antimicrobial prescriptions 2 days per week for 6 months (46 days). The mean normalized prescribing rates of suboptimal to all prescribing were compared between groups using the t-test. Thematic analysis of qualitative interviews with 10 participants investigated whether and how the intervention had impact. Results: Data were collected on 204 prescriptions for 166 patients. For the intervention group, the mean normalized rate of suboptimal to all prescribing was 0.32±0.36; for the control group, itwas 0.68±0.36. The normalized rates of suboptimal prescribing were significantly different between the groups (P=0.0005). The qualitative data showed that individuals' prescribing behaviour was influenced by a complex series of dynamic interactions between individual and social variables, such as interplay between personal knowledge and the expectations of others. Conclusions: The feedback intervention increased appropriate prescribing by acting as a positive stimulus within a complex network of behavioural influences. Prescribing behaviour is adaptive and can be positively influenced by structured feedback. Changing doctors' perceptions of acceptable, typical and best practice could reduce suboptimal antimicrobial prescribing.","author":[{"dropping-particle":"","family":"McLellan","given":"L","non-dropping-particle":"","parse-names":false,"suffix":""},{"dropping-particle":"","family":"Dornan","given":"T","non-dropping-particle":"","parse-names":false,"suffix":""},{"dropping-particle":"","family":"Newton","given":"P","non-dropping-particle":"","parse-names":false,"suffix":""},{"dropping-particle":"","family":"Williams","given":"S D","non-dropping-particle":"","parse-names":false,"suffix":""},{"dropping-particle":"","family":"Lewis","given":"P","non-dropping-particle":"","parse-names":false,"suffix":""},{"dropping-particle":"","family":"Steinke","given":"D","non-dropping-particle":"","parse-names":false,"suffix":""},{"dropping-particle":"","family":"Tully","given":"M P","non-dropping-particle":"","parse-names":false,"suffix":""}],"container-title":"Journal of Antimicrobial Chemotherapy","id":"ITEM-1","issue":"5","issued":{"date-parts":[["2016"]]},"page":"1415-1425","title":"Pharmacist-led feedback workshops increase appropriate prescribing of antimicrobials","type":"article-journal","volume":"71"},"uris":["http://www.mendeley.com/documents/?uuid=faad7eff-e772-4f77-8471-6d924f76ee21"]}],"mendeley":{"formattedCitation":"(101)","plainTextFormattedCitation":"(101)","previouslyFormattedCitation":"(101)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(101)</w:t>
            </w:r>
            <w:r w:rsidRPr="00EC3E91">
              <w:rPr>
                <w:rFonts w:cstheme="minorHAnsi"/>
                <w:sz w:val="20"/>
                <w:szCs w:val="20"/>
                <w:lang w:val="en-US"/>
              </w:rPr>
              <w:fldChar w:fldCharType="end"/>
            </w:r>
          </w:p>
        </w:tc>
        <w:tc>
          <w:tcPr>
            <w:tcW w:w="992" w:type="dxa"/>
          </w:tcPr>
          <w:p w14:paraId="25F32177" w14:textId="05A19E1F" w:rsidR="00FF4BD9" w:rsidRPr="00EC3E91" w:rsidRDefault="00FF4BD9" w:rsidP="009549DD">
            <w:pPr>
              <w:rPr>
                <w:rFonts w:cstheme="minorHAnsi"/>
                <w:sz w:val="20"/>
                <w:szCs w:val="20"/>
                <w:lang w:val="en-US"/>
              </w:rPr>
            </w:pPr>
            <w:r w:rsidRPr="00EC3E91">
              <w:rPr>
                <w:rFonts w:cstheme="minorHAnsi"/>
                <w:sz w:val="20"/>
                <w:szCs w:val="20"/>
                <w:lang w:val="en-US"/>
              </w:rPr>
              <w:t xml:space="preserve">England </w:t>
            </w:r>
          </w:p>
        </w:tc>
        <w:tc>
          <w:tcPr>
            <w:tcW w:w="993" w:type="dxa"/>
          </w:tcPr>
          <w:p w14:paraId="7B579CA2" w14:textId="13DA0B8A" w:rsidR="00FF4BD9" w:rsidRPr="00EC3E91" w:rsidRDefault="00FF4BD9" w:rsidP="004F6CF6">
            <w:pPr>
              <w:rPr>
                <w:rFonts w:cstheme="minorHAnsi"/>
                <w:sz w:val="20"/>
                <w:szCs w:val="20"/>
                <w:lang w:val="en-US"/>
              </w:rPr>
            </w:pPr>
            <w:r w:rsidRPr="00EC3E91">
              <w:rPr>
                <w:rFonts w:cstheme="minorHAnsi"/>
                <w:sz w:val="20"/>
                <w:szCs w:val="20"/>
                <w:lang w:val="en-US"/>
              </w:rPr>
              <w:t xml:space="preserve">Hospital </w:t>
            </w:r>
          </w:p>
        </w:tc>
        <w:tc>
          <w:tcPr>
            <w:tcW w:w="850" w:type="dxa"/>
          </w:tcPr>
          <w:p w14:paraId="6B20DADA" w14:textId="5A6C98D1" w:rsidR="00FF4BD9" w:rsidRPr="00EC3E91" w:rsidRDefault="00FF4BD9" w:rsidP="009549DD">
            <w:pPr>
              <w:rPr>
                <w:rFonts w:cstheme="minorHAnsi"/>
                <w:sz w:val="20"/>
                <w:szCs w:val="20"/>
                <w:lang w:val="en-US"/>
              </w:rPr>
            </w:pPr>
            <w:r w:rsidRPr="00EC3E91">
              <w:rPr>
                <w:rFonts w:cstheme="minorHAnsi"/>
                <w:sz w:val="20"/>
                <w:szCs w:val="20"/>
                <w:lang w:val="en-US"/>
              </w:rPr>
              <w:t>Mixed RCT</w:t>
            </w:r>
          </w:p>
        </w:tc>
        <w:tc>
          <w:tcPr>
            <w:tcW w:w="851" w:type="dxa"/>
          </w:tcPr>
          <w:p w14:paraId="6678BB87" w14:textId="28047988" w:rsidR="00FF4BD9" w:rsidRPr="00EC3E91" w:rsidRDefault="00FF4BD9" w:rsidP="009549DD">
            <w:pPr>
              <w:rPr>
                <w:rFonts w:cstheme="minorHAnsi"/>
                <w:sz w:val="20"/>
                <w:szCs w:val="20"/>
                <w:lang w:val="en-US"/>
              </w:rPr>
            </w:pPr>
            <w:r w:rsidRPr="00EC3E91">
              <w:rPr>
                <w:rFonts w:cstheme="minorHAnsi"/>
                <w:sz w:val="20"/>
                <w:szCs w:val="20"/>
                <w:lang w:val="en-US"/>
              </w:rPr>
              <w:t>Efficacy/Effectiveness Process evaluation</w:t>
            </w:r>
          </w:p>
        </w:tc>
        <w:tc>
          <w:tcPr>
            <w:tcW w:w="1134" w:type="dxa"/>
          </w:tcPr>
          <w:p w14:paraId="40BF1E42" w14:textId="62C13D07"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7EF8993F" w14:textId="16340AB3"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221C0CD6" w14:textId="3DD36EB4" w:rsidR="00FF4BD9" w:rsidRPr="00EC3E91" w:rsidRDefault="00FF4BD9" w:rsidP="004F6CF6">
            <w:pPr>
              <w:rPr>
                <w:rFonts w:cstheme="minorHAnsi"/>
                <w:sz w:val="20"/>
                <w:szCs w:val="20"/>
                <w:lang w:val="en-US"/>
              </w:rPr>
            </w:pPr>
            <w:r w:rsidRPr="00EC3E91">
              <w:rPr>
                <w:rFonts w:cstheme="minorHAnsi"/>
                <w:sz w:val="20"/>
                <w:szCs w:val="20"/>
                <w:lang w:val="en-US"/>
              </w:rPr>
              <w:t xml:space="preserve">The Trust’s antimicrobial guidelines. </w:t>
            </w:r>
          </w:p>
        </w:tc>
        <w:tc>
          <w:tcPr>
            <w:tcW w:w="2551" w:type="dxa"/>
          </w:tcPr>
          <w:p w14:paraId="29252677" w14:textId="1046D169" w:rsidR="00FF4BD9" w:rsidRPr="00EC3E91" w:rsidRDefault="00FF4BD9" w:rsidP="009549DD">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2EC204BB" w14:textId="77777777" w:rsidTr="00FF4BD9">
        <w:trPr>
          <w:tblHeader/>
        </w:trPr>
        <w:tc>
          <w:tcPr>
            <w:tcW w:w="709" w:type="dxa"/>
          </w:tcPr>
          <w:p w14:paraId="158AEE31" w14:textId="22ECF082"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{"citationItems":[{"id":"ITEM-1","itemData":{"abstract":"OBJECTIVE: To assess the effectiveness of an educational intervention on test-ordering attitudes and intended practice of GP trainees, and any associations between changes in test ordering and trainee characteristics. DESIGN: Preworkshop and postworkshop survey of attitudes to test ordering, intended test-ordering practices for 3 clinical scenarios (fatigue, screening, and shoulder pain), and tolerance for uncertainty. SETTING: Three Australian regional general practice training providers. PARTICIPANTS: General practice trainees (N = 167). INTERVENTION: A 2-hour workshop session and an online module. MAIN OUTCOME MEASURES: Proportion of trainees who agreed with attitudinal statements before and after the workshop; proportion of trainees who would order tests, mean number of tests ordered, and number of appropriate and inappropriate tests ordered for each scenario before and after the workshop. RESULTS: Of 167 trainees, 132 (79.0%) completed both the preworkshop and postworkshop questionnaires. A total of 122 trainees attended the workshop. At baseline, 88.6% thought that tests can harm patients, 84.8% believed overtesting was a problem, 72.0% felt pressured by patients, 52.3% believed that tests would reassure patients, and 50.8% thought that they were less likely to be sued if they ordered tests. There were desirable changes in all attitudes after the workshop. Before the workshop, the mean number of tests that trainees would have ordered was 4.4, 4.8, and 1.5 for the fatigue, screening, and shoulder pain scenarios, respectively. After the workshop there were decreases in the mean number of both appropriate tests (decrease of 0.94) and inappropriate tests (decrease of 0.24) in the fatigue scenario; there was no change in the mean number of appropriate tests and a decrease in inappropriate tests (decrease of 0.76) in the screening scenario; and there was an increase in the proportion of trainees who would appropriately not order tests in the shoulder pain scenario. There were no significant associations between changes in test ordering and trainee demographic characteristics or tolerance for uncertainty subscale scores. CONCLUSION: General practice trainees have conflicting attitudes to test ordering and demonstrate nonrational test ordering in 3 common scenarios. A workshop on rational test ordering led to desirable changes in attitudes and more rational intended test ordering. Our findings inform the development of appropriate educational intervention…","author":[{"dropping-particle":"","family":"Morgan","given":"S","non-dropping-particle":"","parse-names":false,"suffix":""},{"dropping-particle":"","family":"Morgan","given":"A","non-dropping-particle":"","parse-names":false,"suffix":""},{"dropping-particle":"","family":"Kerr","given":"R","non-dropping-particle":"","parse-names":false,"suffix":""},{"dropping-particle":"","family":"Tapley","given":"A","non-dropping-particle":"","parse-names":false,"suffix":""},{"dropping-particle":"","family":"Magin","given":"P","non-dropping-particle":"","parse-names":false,"suffix":""}],"container-title":"Canadian Family Physician","id":"ITEM-1","issue":"9","issued":{"date-parts":[["2016"]]},"page":"733-741","title":"Test ordering by GP trainees: Effects of an educational intervention on attitudes and intended practice","type":"article-journal","volume":"62"},"uris":["http://www.mendeley.com/documents/?uuid=09f724cf-1583-4800-b9fb-892fd3e08f42"]}],"mendeley":{"formattedCitation":"(102)","plainTextFormattedCitation":"(102)","previouslyFormattedCitation":"(102)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(102)</w:t>
            </w:r>
            <w:r w:rsidRPr="00EC3E91">
              <w:rPr>
                <w:rFonts w:cstheme="minorHAnsi"/>
                <w:sz w:val="20"/>
                <w:szCs w:val="20"/>
                <w:lang w:val="en-US"/>
              </w:rPr>
              <w:fldChar w:fldCharType="end"/>
            </w:r>
          </w:p>
        </w:tc>
        <w:tc>
          <w:tcPr>
            <w:tcW w:w="992" w:type="dxa"/>
          </w:tcPr>
          <w:p w14:paraId="0DE08FE4" w14:textId="6B24034B" w:rsidR="00FF4BD9" w:rsidRPr="00EC3E91" w:rsidRDefault="00FF4BD9" w:rsidP="009549DD">
            <w:pPr>
              <w:rPr>
                <w:rFonts w:cstheme="minorHAnsi"/>
                <w:sz w:val="20"/>
                <w:szCs w:val="20"/>
                <w:lang w:val="en-US"/>
              </w:rPr>
            </w:pPr>
            <w:r w:rsidRPr="00EC3E91">
              <w:rPr>
                <w:rFonts w:cstheme="minorHAnsi"/>
                <w:sz w:val="20"/>
                <w:szCs w:val="20"/>
                <w:lang w:val="en-US"/>
              </w:rPr>
              <w:t xml:space="preserve">Australia </w:t>
            </w:r>
          </w:p>
        </w:tc>
        <w:tc>
          <w:tcPr>
            <w:tcW w:w="993" w:type="dxa"/>
          </w:tcPr>
          <w:p w14:paraId="7AFCD93E" w14:textId="701FDDA1"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5127214C" w14:textId="6A7A6407"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65355186" w14:textId="1347345E"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4985779E" w14:textId="663F1FD6"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p>
        </w:tc>
        <w:tc>
          <w:tcPr>
            <w:tcW w:w="2126" w:type="dxa"/>
          </w:tcPr>
          <w:p w14:paraId="204ABE7E" w14:textId="7BA78A58" w:rsidR="00FF4BD9" w:rsidRPr="00EC3E91" w:rsidRDefault="00746D40" w:rsidP="009549DD">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lab test</w:t>
            </w:r>
          </w:p>
        </w:tc>
        <w:tc>
          <w:tcPr>
            <w:tcW w:w="3969" w:type="dxa"/>
          </w:tcPr>
          <w:p w14:paraId="7E706F33" w14:textId="53EAF97B" w:rsidR="00FF4BD9" w:rsidRPr="00EC3E91" w:rsidRDefault="00FF4BD9" w:rsidP="004F6CF6">
            <w:pPr>
              <w:rPr>
                <w:rFonts w:cstheme="minorHAnsi"/>
                <w:sz w:val="20"/>
                <w:szCs w:val="20"/>
                <w:lang w:val="en-US"/>
              </w:rPr>
            </w:pPr>
            <w:r w:rsidRPr="00EC3E91">
              <w:rPr>
                <w:rFonts w:cstheme="minorHAnsi"/>
                <w:sz w:val="20"/>
                <w:szCs w:val="20"/>
                <w:lang w:val="en-US"/>
              </w:rPr>
              <w:t>Diagnostic approach to fatigue in primary care. Melbourne, Australia: Therapeutic Guidelines Limited.</w:t>
            </w:r>
          </w:p>
          <w:p w14:paraId="3A66EE70" w14:textId="77777777" w:rsidR="00FF4BD9" w:rsidRPr="00EC3E91" w:rsidRDefault="00FF4BD9" w:rsidP="004F6CF6">
            <w:pPr>
              <w:rPr>
                <w:rFonts w:cstheme="minorHAnsi"/>
                <w:sz w:val="20"/>
                <w:szCs w:val="20"/>
                <w:lang w:val="en-US"/>
              </w:rPr>
            </w:pPr>
          </w:p>
          <w:p w14:paraId="19D622B8" w14:textId="0FF23858" w:rsidR="00FF4BD9" w:rsidRPr="00EC3E91" w:rsidRDefault="00FF4BD9" w:rsidP="004F6CF6">
            <w:pPr>
              <w:rPr>
                <w:rFonts w:cstheme="minorHAnsi"/>
                <w:sz w:val="20"/>
                <w:szCs w:val="20"/>
                <w:lang w:val="en-US"/>
              </w:rPr>
            </w:pPr>
            <w:r w:rsidRPr="00EC3E91">
              <w:rPr>
                <w:rFonts w:cstheme="minorHAnsi"/>
                <w:sz w:val="20"/>
                <w:szCs w:val="20"/>
                <w:lang w:val="en-US"/>
              </w:rPr>
              <w:t>Guidelines for preventive activities in general practice. By the Royal Australian College of General Practitioners.</w:t>
            </w:r>
          </w:p>
          <w:p w14:paraId="46FEB320" w14:textId="77777777" w:rsidR="00FF4BD9" w:rsidRPr="00EC3E91" w:rsidRDefault="00FF4BD9" w:rsidP="004F6CF6">
            <w:pPr>
              <w:rPr>
                <w:rFonts w:cstheme="minorHAnsi"/>
                <w:sz w:val="20"/>
                <w:szCs w:val="20"/>
                <w:lang w:val="en-US"/>
              </w:rPr>
            </w:pPr>
          </w:p>
          <w:p w14:paraId="6E7AB64C" w14:textId="67413C62" w:rsidR="00FF4BD9" w:rsidRPr="00EC3E91" w:rsidRDefault="00FF4BD9" w:rsidP="00143791">
            <w:pPr>
              <w:rPr>
                <w:rFonts w:cstheme="minorHAnsi"/>
                <w:sz w:val="20"/>
                <w:szCs w:val="20"/>
                <w:lang w:val="en-US"/>
              </w:rPr>
            </w:pPr>
            <w:r w:rsidRPr="00EC3E91">
              <w:rPr>
                <w:rFonts w:cstheme="minorHAnsi"/>
                <w:sz w:val="20"/>
                <w:szCs w:val="20"/>
                <w:lang w:val="en-US"/>
              </w:rPr>
              <w:t xml:space="preserve">Evidence-based management of acute musculoskeletal pain. By the Australian Acute Musculoskeletal Pain Guidelines Group. </w:t>
            </w:r>
          </w:p>
        </w:tc>
        <w:tc>
          <w:tcPr>
            <w:tcW w:w="2551" w:type="dxa"/>
          </w:tcPr>
          <w:p w14:paraId="74B0693B" w14:textId="78215B20" w:rsidR="00FF4BD9" w:rsidRPr="00EC3E91" w:rsidRDefault="00FF4BD9" w:rsidP="009549DD">
            <w:pPr>
              <w:rPr>
                <w:rFonts w:cstheme="minorHAnsi"/>
                <w:sz w:val="20"/>
                <w:szCs w:val="20"/>
                <w:lang w:val="en-US"/>
              </w:rPr>
            </w:pPr>
            <w:r w:rsidRPr="00EC3E91">
              <w:rPr>
                <w:rFonts w:cstheme="minorHAnsi"/>
                <w:sz w:val="20"/>
                <w:szCs w:val="20"/>
                <w:lang w:val="en-US"/>
              </w:rPr>
              <w:t xml:space="preserve">Make training dynamic </w:t>
            </w:r>
          </w:p>
        </w:tc>
      </w:tr>
      <w:tr w:rsidR="00FF4BD9" w:rsidRPr="00E119DD" w14:paraId="23CAFEE5" w14:textId="77777777" w:rsidTr="00FF4BD9">
        <w:trPr>
          <w:tblHeader/>
        </w:trPr>
        <w:tc>
          <w:tcPr>
            <w:tcW w:w="709" w:type="dxa"/>
          </w:tcPr>
          <w:p w14:paraId="643C3CFE" w14:textId="3336E13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{"citationItems":[{"id":"ITEM-1","itemData":{"abstract":"OBJECTIVES: Our hospital replaced the format for delivering portable antimicrobial prescribing guidance from a paper-based pocket guide to a smartphone application (app). We used this opportunity to assess the relationship between its use and the attitudes and behaviours of antimicrobial prescribers. METHODS: We used 2 structured cross-sectional questionnaires issued just prior to and 3 months following the launch of the smartphone app. Ordinal Likert scale responses to both frequencies of use and agreement statements permitted quantitative assessment of the relationship between variables. RESULTS: The smartphone app was used more frequently than the pocket guide it replaced (p &lt; 0.01), and its increased use was associated with sentiments that the app was useful, easy to navigate and its content relevant. Users who used the app more frequently were more likely to agree that the app encouraged them to challenge inappropriate prescribing by their colleagues (p = 0.001) and were more aware of the importance of antimicrobial stewardship (p = 0.005). Reduced use of the app was associated with agreement that senior physicians' preferences for antimicrobial prescribing would irrespectively overrule guideline recommendations (p = 0.0002). CONCLUSIONS: Smartphone apps are an effective and acceptable format to deliver guidance on antimicrobial prescribing. Our findings suggest that they may empower users to challenge incorrect prescribing, breaking well-established behaviours, and thus supporting vital stewardship efforts in an era of increased antimicrobial resistance. Future work will need to focus on the direct impact on drug prescriptions as well as identifying barriers to implementing smartphone apps in other clinical settings.","author":[{"dropping-particle":"","family":"Panesar","given":"P","non-dropping-particle":"","parse-names":false,"suffix":""},{"dropping-particle":"","family":"Jones","given":"A","non-dropping-particle":"","parse-names":false,"suffix":""},{"dropping-particle":"","family":"Aldous","given":"A","non-dropping-particle":"","parse-names":false,"suffix":""},{"dropping-particle":"","family":"Kranzer","given":"K","non-dropping-particle":"","parse-names":false,"suffix":""},{"dropping-particle":"","family":"Halpin","given":"E","non-dropping-particle":"","parse-names":false,"suffix":""},{"dropping-particle":"","family":"Fifer","given":"H","non-dropping-particle":"","parse-names":false,"suffix":""},{"dropping-particle":"","family":"Macrae","given":"B","non-dropping-particle":"","parse-names":false,"suffix":""},{"dropping-particle":"","family":"Curtis","given":"C","non-dropping-particle":"","parse-names":false,"suffix":""},{"dropping-particle":"","family":"Pollara","given":"G","non-dropping-particle":"","parse-names":false,"suffix":""}],"container-title":"PLoS ONE","id":"ITEM-1","issue":"4","issued":{"date-parts":[["2016"]]},"page":"e0154202","title":"Attitudes and Behaviours to Antimicrobial Prescribing following Introduction of a Smartphone App","type":"article-journal","volume":"11"},"uris":["http://www.mendeley.com/documents/?uuid=2a42a4e9-c5ea-4a82-b250-a2fc337a9b6f"]}],"mendeley":{"formattedCitation":"(103)","plainTextFormattedCitation":"(103)","previouslyFormattedCitation":"(103)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(103)</w:t>
            </w:r>
            <w:r w:rsidRPr="00EC3E91">
              <w:rPr>
                <w:rFonts w:cstheme="minorHAnsi"/>
                <w:sz w:val="20"/>
                <w:szCs w:val="20"/>
                <w:lang w:val="en-US"/>
              </w:rPr>
              <w:fldChar w:fldCharType="end"/>
            </w:r>
          </w:p>
        </w:tc>
        <w:tc>
          <w:tcPr>
            <w:tcW w:w="992" w:type="dxa"/>
          </w:tcPr>
          <w:p w14:paraId="75FCCBEA" w14:textId="2EDFA51C" w:rsidR="00FF4BD9" w:rsidRPr="00EC3E91" w:rsidRDefault="00FF4BD9" w:rsidP="009549DD">
            <w:pPr>
              <w:rPr>
                <w:rFonts w:cstheme="minorHAnsi"/>
                <w:sz w:val="20"/>
                <w:szCs w:val="20"/>
                <w:lang w:val="en-US"/>
              </w:rPr>
            </w:pPr>
            <w:r w:rsidRPr="00EC3E91">
              <w:rPr>
                <w:rFonts w:cstheme="minorHAnsi"/>
                <w:sz w:val="20"/>
                <w:szCs w:val="20"/>
                <w:lang w:val="en-US"/>
              </w:rPr>
              <w:t xml:space="preserve">England </w:t>
            </w:r>
          </w:p>
        </w:tc>
        <w:tc>
          <w:tcPr>
            <w:tcW w:w="993" w:type="dxa"/>
          </w:tcPr>
          <w:p w14:paraId="7E27C292" w14:textId="0C7BB541"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566050E6" w14:textId="50D9ACE5" w:rsidR="00FF4BD9" w:rsidRPr="00EC3E91" w:rsidRDefault="00FF4BD9" w:rsidP="009549DD">
            <w:pPr>
              <w:rPr>
                <w:rFonts w:cstheme="minorHAnsi"/>
                <w:sz w:val="20"/>
                <w:szCs w:val="20"/>
                <w:lang w:val="en-US"/>
              </w:rPr>
            </w:pPr>
            <w:r w:rsidRPr="00EC3E91">
              <w:rPr>
                <w:rFonts w:cstheme="minorHAnsi"/>
                <w:sz w:val="20"/>
                <w:szCs w:val="20"/>
                <w:lang w:val="en-US"/>
              </w:rPr>
              <w:t xml:space="preserve">Quant Cross sectional </w:t>
            </w:r>
          </w:p>
        </w:tc>
        <w:tc>
          <w:tcPr>
            <w:tcW w:w="851" w:type="dxa"/>
          </w:tcPr>
          <w:p w14:paraId="480C7D1E" w14:textId="46FF515B" w:rsidR="00FF4BD9" w:rsidRPr="00EC3E91" w:rsidRDefault="00FF4BD9" w:rsidP="009549DD">
            <w:pPr>
              <w:rPr>
                <w:rFonts w:cstheme="minorHAnsi"/>
                <w:sz w:val="20"/>
                <w:szCs w:val="20"/>
                <w:lang w:val="en-US"/>
              </w:rPr>
            </w:pPr>
            <w:r w:rsidRPr="00EC3E91">
              <w:rPr>
                <w:rFonts w:cstheme="minorHAnsi"/>
                <w:sz w:val="20"/>
                <w:szCs w:val="20"/>
                <w:lang w:val="en-US"/>
              </w:rPr>
              <w:t xml:space="preserve">Process evaluation </w:t>
            </w:r>
          </w:p>
        </w:tc>
        <w:tc>
          <w:tcPr>
            <w:tcW w:w="1134" w:type="dxa"/>
          </w:tcPr>
          <w:p w14:paraId="2228C184" w14:textId="1BF99CFE" w:rsidR="00FF4BD9" w:rsidRPr="00EC3E91" w:rsidRDefault="00FF4BD9" w:rsidP="004F6CF6">
            <w:pPr>
              <w:rPr>
                <w:rFonts w:cstheme="minorHAnsi"/>
                <w:sz w:val="20"/>
                <w:szCs w:val="20"/>
                <w:lang w:val="en-US"/>
              </w:rPr>
            </w:pPr>
            <w:r w:rsidRPr="00EC3E91">
              <w:rPr>
                <w:rFonts w:cstheme="minorHAnsi"/>
                <w:sz w:val="20"/>
                <w:szCs w:val="20"/>
                <w:lang w:val="en-US"/>
              </w:rPr>
              <w:t>Antibiotics</w:t>
            </w:r>
          </w:p>
        </w:tc>
        <w:tc>
          <w:tcPr>
            <w:tcW w:w="2126" w:type="dxa"/>
          </w:tcPr>
          <w:p w14:paraId="1094A1B9" w14:textId="6F7EC06F"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310CF599" w14:textId="6682751C" w:rsidR="00FF4BD9" w:rsidRPr="00EC3E91" w:rsidRDefault="00FF4BD9" w:rsidP="009549DD">
            <w:pPr>
              <w:rPr>
                <w:rFonts w:cstheme="minorHAnsi"/>
                <w:sz w:val="20"/>
                <w:szCs w:val="20"/>
                <w:lang w:val="en-US"/>
              </w:rPr>
            </w:pPr>
            <w:r w:rsidRPr="00EC3E91">
              <w:rPr>
                <w:rFonts w:cstheme="minorHAnsi"/>
                <w:sz w:val="20"/>
                <w:szCs w:val="20"/>
                <w:lang w:val="en-US"/>
              </w:rPr>
              <w:t>Respiratory tract infections (self-limiting): prescribing antibiotics. National Institute for Health and Care Excellence.</w:t>
            </w:r>
          </w:p>
        </w:tc>
        <w:tc>
          <w:tcPr>
            <w:tcW w:w="2551" w:type="dxa"/>
          </w:tcPr>
          <w:p w14:paraId="5936BBAF" w14:textId="25F83862"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tc>
      </w:tr>
      <w:tr w:rsidR="00FF4BD9" w:rsidRPr="00E119DD" w14:paraId="042F922A" w14:textId="77777777" w:rsidTr="00FF4BD9">
        <w:trPr>
          <w:tblHeader/>
        </w:trPr>
        <w:tc>
          <w:tcPr>
            <w:tcW w:w="709" w:type="dxa"/>
          </w:tcPr>
          <w:p w14:paraId="3DA15442" w14:textId="396A162E"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Clinicians frequently prescribe antibiotics inappropriately for acute respiratory infections (ARIs). Our objective was to test information technology-enabled behavioral interventions to reduce inappropriate antibiotic prescribing for ARIs in a randomized controlled pilot test trial. METHODS: Primary care clinicians were randomized in a 2x2x2 factorial experiment with 3 interventions: 1) Accountable Justifications; 2) Suggested Alternatives; and 3) Peer Comparison. Beforehand, participants completed an educational module. Measures included: rates of antibiotic prescribing for: non-antibiotic-appropriate ARI diagnoses, acute sinusitis/pharyngitis, all other diagnoses/symptoms of respiratory infection, and all three ARI categories combined. RESULTS: We examined 3,276 visits in the pre-intervention year and 3,099 in the intervention year. The antibiotic prescribing rate fell for non-antibiotic-appropriate ARIs (24.7 % in the pre-intervention year to 5.2 % in the intervention year); sinusitis/pharyngitis (50.3 to 44.7 %); all other diagnoses/symptoms of respiratory infection (40.2 to 25.3 %); and all categories combined (38.7 to 24.2 %; all p&lt;0.001). There were no significant relationships between any intervention and antibiotic prescribing for non-antibiotic-appropriate ARI diagnoses or sinusitis/pharyngitis. Suggested Alternatives was associated with reduced antibiotic prescribing for other diagnoses or symptoms of respiratory infection (odds ratio [OR], 0.62; 95 % confidence interval [CI], 0.44-0.89) and for all ARI categories combined (OR, 0.72; 95 % CI, 0.54-0.96). Peer Comparison was associated with reduced prescribing for all ARI categories combined (OR, 0.73; 95 % CI, 0.53-0.995). CONCLUSIONS: We observed large reductions in antibiotic prescribing regardless of whether or not study participants received an intervention, suggesting an overriding Hawthorne effect or possibly clinician-to-clinician contamination. Low baseline inappropriate prescribing may have led to floor effects. TRIAL REGISTRATION: ClinicalTrials.gov: NCT01454960 .","author":[{"dropping-particle":"","family":"Persell","given":"S D","non-dropping-particle":"","parse-names":false,"suffix":""},{"dropping-particle":"","family":"Doctor","given":"J N","non-dropping-particle":"","parse-names":false,"suffix":""},{"dropping-particle":"","family":"Friedberg","given":"M W","non-dropping-particle":"","parse-names":false,"suffix":""},{"dropping-particle":"","family":"Meeker","given":"D","non-dropping-particle":"","parse-names":false,"suffix":""},{"dropping-particle":"","family":"Friesema","given":"E","non-dropping-particle":"","parse-names":false,"suffix":""},{"dropping-particle":"","family":"Cooper","given":"A","non-dropping-particle":"","parse-names":false,"suffix":""},{"dropping-particle":"","family":"Haryani","given":"A","non-dropping-particle":"","parse-names":false,"suffix":""},{"dropping-particle":"","family":"Gregory","given":"D L","non-dropping-particle":"","parse-names":false,"suffix":""},{"dropping-particle":"","family":"Fox","given":"C R","non-dropping-particle":"","parse-names":false,"suffix":""},{"dropping-particle":"","family":"Goldstein","given":"N J","non-dropping-particle":"","parse-names":false,"suffix":""},{"dropping-particle":"","family":"Linder","given":"J A","non-dropping-particle":"","parse-names":false,"suffix":""}],"container-title":"BMC Infectious Diseases","id":"ITEM-1","issued":{"date-parts":[["2016"]]},"page":"373","title":"Behavioral interventions to reduce inappropriate antibiotic prescribing: a randomized pilot trial","type":"article-journal","volume":"16"},"uris":["http://www.mendeley.com/documents/?uuid=9c6e4852-471b-4dc9-a6a9-6c9e38d0bd08"]}],"mendeley":{"formattedCitation":"(104)","plainTextFormattedCitation":"(104)","previouslyFormattedCitation":"(104)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(104)</w:t>
            </w:r>
            <w:r w:rsidRPr="00EC3E91">
              <w:rPr>
                <w:rFonts w:cstheme="minorHAnsi"/>
                <w:sz w:val="20"/>
                <w:szCs w:val="20"/>
                <w:lang w:val="en-US"/>
              </w:rPr>
              <w:fldChar w:fldCharType="end"/>
            </w:r>
          </w:p>
        </w:tc>
        <w:tc>
          <w:tcPr>
            <w:tcW w:w="992" w:type="dxa"/>
          </w:tcPr>
          <w:p w14:paraId="712A433D" w14:textId="0DC5F585"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7D625E23" w14:textId="703E770F"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41C262F8" w14:textId="4D0B02C2"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595BA07B" w14:textId="511ABD46"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2B28671A" w14:textId="73041E75"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480810CF" w14:textId="044AB31A"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w:t>
            </w:r>
          </w:p>
        </w:tc>
        <w:tc>
          <w:tcPr>
            <w:tcW w:w="3969" w:type="dxa"/>
          </w:tcPr>
          <w:p w14:paraId="29C2EDBE" w14:textId="0BFFD677" w:rsidR="00FF4BD9" w:rsidRPr="00EC3E91" w:rsidRDefault="00FF4BD9" w:rsidP="00FA4FC7">
            <w:pPr>
              <w:rPr>
                <w:rFonts w:cstheme="minorHAnsi"/>
                <w:sz w:val="20"/>
                <w:szCs w:val="20"/>
                <w:lang w:val="en-US"/>
              </w:rPr>
            </w:pPr>
            <w:r w:rsidRPr="00EC3E91">
              <w:rPr>
                <w:rFonts w:cstheme="minorHAnsi"/>
                <w:sz w:val="20"/>
                <w:szCs w:val="20"/>
                <w:lang w:val="en-US"/>
              </w:rPr>
              <w:t xml:space="preserve">Principles of appropriate antibiotic use for treatment of uncomplicated acute bronchitis: From the Annals of Internal Medicine (Journal). </w:t>
            </w:r>
          </w:p>
          <w:p w14:paraId="1BB3DD08" w14:textId="295B2C65" w:rsidR="00FF4BD9" w:rsidRPr="00EC3E91" w:rsidRDefault="00FF4BD9" w:rsidP="009760FA">
            <w:pPr>
              <w:rPr>
                <w:rFonts w:cstheme="minorHAnsi"/>
                <w:sz w:val="20"/>
                <w:szCs w:val="20"/>
                <w:lang w:val="en-US"/>
              </w:rPr>
            </w:pPr>
          </w:p>
          <w:p w14:paraId="5E332C9C" w14:textId="184BA73A" w:rsidR="00FF4BD9" w:rsidRPr="00EC3E91" w:rsidRDefault="00FF4BD9" w:rsidP="009760FA">
            <w:pPr>
              <w:rPr>
                <w:rFonts w:cstheme="minorHAnsi"/>
                <w:sz w:val="20"/>
                <w:szCs w:val="20"/>
                <w:lang w:val="en-US"/>
              </w:rPr>
            </w:pPr>
            <w:r w:rsidRPr="00EC3E91">
              <w:rPr>
                <w:rFonts w:cstheme="minorHAnsi"/>
                <w:sz w:val="20"/>
                <w:szCs w:val="20"/>
                <w:lang w:val="en-US"/>
              </w:rPr>
              <w:t xml:space="preserve">Principles of appropriate antibiotic use for acute rhinosinusitis in adults: From the Annals of Internal Medicine (Journal). </w:t>
            </w:r>
          </w:p>
          <w:p w14:paraId="6C43390E" w14:textId="77777777" w:rsidR="00FF4BD9" w:rsidRPr="00EC3E91" w:rsidRDefault="00FF4BD9" w:rsidP="009760FA">
            <w:pPr>
              <w:rPr>
                <w:rFonts w:cstheme="minorHAnsi"/>
                <w:sz w:val="20"/>
                <w:szCs w:val="20"/>
                <w:lang w:val="en-US"/>
              </w:rPr>
            </w:pPr>
          </w:p>
          <w:p w14:paraId="0506C899" w14:textId="77777777" w:rsidR="00FF4BD9" w:rsidRPr="00EC3E91" w:rsidRDefault="00FF4BD9" w:rsidP="00FA4FC7">
            <w:pPr>
              <w:rPr>
                <w:rFonts w:cstheme="minorHAnsi"/>
                <w:sz w:val="20"/>
                <w:szCs w:val="20"/>
                <w:lang w:val="en-US"/>
              </w:rPr>
            </w:pPr>
            <w:r w:rsidRPr="00EC3E91">
              <w:rPr>
                <w:rFonts w:cstheme="minorHAnsi"/>
                <w:sz w:val="20"/>
                <w:szCs w:val="20"/>
                <w:lang w:val="en-US"/>
              </w:rPr>
              <w:t xml:space="preserve">Principles of appropriate antibiotic use for acute pharyngitis in adults: From the Annals of Internal Medicine (Journal). </w:t>
            </w:r>
          </w:p>
          <w:p w14:paraId="55F02103" w14:textId="5651390F" w:rsidR="00FF4BD9" w:rsidRPr="00EC3E91" w:rsidRDefault="00FF4BD9" w:rsidP="009760FA">
            <w:pPr>
              <w:rPr>
                <w:rFonts w:cstheme="minorHAnsi"/>
                <w:sz w:val="20"/>
                <w:szCs w:val="20"/>
                <w:lang w:val="en-US"/>
              </w:rPr>
            </w:pPr>
          </w:p>
          <w:p w14:paraId="7879B029" w14:textId="3CF4FBD4" w:rsidR="00FF4BD9" w:rsidRPr="00EC3E91" w:rsidRDefault="00FF4BD9" w:rsidP="009760FA">
            <w:pPr>
              <w:rPr>
                <w:rFonts w:cstheme="minorHAnsi"/>
                <w:sz w:val="20"/>
                <w:szCs w:val="20"/>
                <w:lang w:val="en-US"/>
              </w:rPr>
            </w:pPr>
            <w:r w:rsidRPr="00EC3E91">
              <w:rPr>
                <w:rFonts w:cstheme="minorHAnsi"/>
                <w:sz w:val="20"/>
                <w:szCs w:val="20"/>
                <w:lang w:val="en-US"/>
              </w:rPr>
              <w:t xml:space="preserve">Principles of appropriate antibiotic use for treatment of nonspecific upper respiratory tract infections in adults: From the Annals of Internal Medicine (Journal). </w:t>
            </w:r>
          </w:p>
        </w:tc>
        <w:tc>
          <w:tcPr>
            <w:tcW w:w="2551" w:type="dxa"/>
          </w:tcPr>
          <w:p w14:paraId="6F68025D" w14:textId="660988CB" w:rsidR="00FF4BD9" w:rsidRPr="00EC3E91" w:rsidRDefault="00FF4BD9" w:rsidP="00675E77">
            <w:pPr>
              <w:rPr>
                <w:rFonts w:cstheme="minorHAnsi"/>
                <w:sz w:val="20"/>
                <w:szCs w:val="20"/>
                <w:lang w:val="en-US"/>
              </w:rPr>
            </w:pPr>
            <w:r w:rsidRPr="00EC3E91">
              <w:rPr>
                <w:rFonts w:cstheme="minorHAnsi"/>
                <w:sz w:val="20"/>
                <w:szCs w:val="20"/>
                <w:lang w:val="en-US"/>
              </w:rPr>
              <w:t>Develop educational materials remind clinicians, [ACCOUNTABILITY TOOL], audit and provide feedback, change physical structure and equipment.</w:t>
            </w:r>
          </w:p>
        </w:tc>
      </w:tr>
      <w:tr w:rsidR="00FF4BD9" w:rsidRPr="00E119DD" w14:paraId="2543C450" w14:textId="77777777" w:rsidTr="00FF4BD9">
        <w:trPr>
          <w:tblHeader/>
        </w:trPr>
        <w:tc>
          <w:tcPr>
            <w:tcW w:w="709" w:type="dxa"/>
          </w:tcPr>
          <w:p w14:paraId="300709C9" w14:textId="700D0630"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{"citationItems":[{"id":"ITEM-1","itemData":{"ISSN":"0736-4679","abstract":"BACKGROUND: Laboratory test ordering is a significant part of the diagnosis definition and disease treatment monitoring process. Inappropriate laboratory test ordering wastes scarce resources, places unnecessary burden on the health care delivery system, and exposes patients to unnecessary discomfort. Inappropriate ordering is caused by many factors, such as lack of guidelines, defensive medicine, thoughtless ordering, and lack of awareness of costs incurred to the system. OBJECTIVES: The purpose of this study is to assess two successive measures, which were introduced in a Cyprus emergency department (ED) for the purpose of synergistically reducing inappropriate laboratory ordering: the introduction of a copayment fee to reduce nonemergent visits, and the development of a Web-based protocol defining the tests emergency physicians could order. METHODS: An autoregressive integrated moving average model for interrupted time series analysis was constructed. Data include number and type of tests ordered, along with number of visits for a period of 4 years from an ED in Cyprus. RESULTS: Copayment fee and introduction of a revised Web-based protocol for a test ordering form did not reduce the number of ordered tests in the ED unit. Copayment fee alone resulted in a statistically significant reduction in ED visits. CONCLUSIONS: The implementation of two consecutive measures resulted in an increase of ordered tests per patient. Laboratory ordering is a multidimensional process that is primarily supplier induced, therefore, all underlying possible causes must be scrutinized by health authorities. These include lack of guidelines, defensive medicine and thoughtless prescribing. To attain significant gains, an integrated approach must be implemented.","author":[{"dropping-particle":"","family":"Petrou","given":"P","non-dropping-particle":"","parse-names":false,"suffix":""}],"container-title":"Journal of Emergency Medicine","id":"ITEM-1","issue":"3","issued":{"date-parts":[["2016"]]},"page":"510-517","title":"Failed Attempts to Reduce Inappropriate Laboratory Utilization in an Emergency Department Setting in Cyprus: Lessons Learned","type":"article-journal","volume":"50"},"uris":["http://www.mendeley.com/documents/?uuid=451ad294-cf6e-4b87-9c24-726a385cbac0"]}],"mendeley":{"formattedCitation":"(105)","plainTextFormattedCitation":"(105)","previouslyFormattedCitation":"(105)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(105)</w:t>
            </w:r>
            <w:r w:rsidRPr="00EC3E91">
              <w:rPr>
                <w:rFonts w:cstheme="minorHAnsi"/>
                <w:sz w:val="20"/>
                <w:szCs w:val="20"/>
                <w:lang w:val="en-US"/>
              </w:rPr>
              <w:fldChar w:fldCharType="end"/>
            </w:r>
          </w:p>
        </w:tc>
        <w:tc>
          <w:tcPr>
            <w:tcW w:w="992" w:type="dxa"/>
          </w:tcPr>
          <w:p w14:paraId="190F2429" w14:textId="7C3CE962" w:rsidR="00FF4BD9" w:rsidRPr="00EC3E91" w:rsidRDefault="00FF4BD9" w:rsidP="009549DD">
            <w:pPr>
              <w:rPr>
                <w:rFonts w:cstheme="minorHAnsi"/>
                <w:sz w:val="20"/>
                <w:szCs w:val="20"/>
                <w:lang w:val="en-US"/>
              </w:rPr>
            </w:pPr>
            <w:r w:rsidRPr="00EC3E91">
              <w:rPr>
                <w:rFonts w:cstheme="minorHAnsi"/>
                <w:sz w:val="20"/>
                <w:szCs w:val="20"/>
                <w:lang w:val="en-US"/>
              </w:rPr>
              <w:t xml:space="preserve">Cyprus </w:t>
            </w:r>
          </w:p>
        </w:tc>
        <w:tc>
          <w:tcPr>
            <w:tcW w:w="993" w:type="dxa"/>
          </w:tcPr>
          <w:p w14:paraId="74EAFEF3" w14:textId="22DEDC59" w:rsidR="00FF4BD9" w:rsidRPr="00EC3E91" w:rsidRDefault="00FF4BD9" w:rsidP="009760FA">
            <w:pPr>
              <w:rPr>
                <w:rFonts w:cstheme="minorHAnsi"/>
                <w:sz w:val="20"/>
                <w:szCs w:val="20"/>
                <w:lang w:val="en-US"/>
              </w:rPr>
            </w:pPr>
            <w:r w:rsidRPr="00EC3E91">
              <w:rPr>
                <w:rFonts w:cstheme="minorHAnsi"/>
                <w:sz w:val="20"/>
                <w:szCs w:val="20"/>
                <w:lang w:val="en-US"/>
              </w:rPr>
              <w:t>Hospital</w:t>
            </w:r>
          </w:p>
        </w:tc>
        <w:tc>
          <w:tcPr>
            <w:tcW w:w="850" w:type="dxa"/>
          </w:tcPr>
          <w:p w14:paraId="7643AA1C" w14:textId="5554255E"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CE1DB80" w14:textId="279099B4"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1FAE838F" w14:textId="4E6C6564"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p>
          <w:p w14:paraId="578251F4" w14:textId="77777777" w:rsidR="00FF4BD9" w:rsidRPr="00EC3E91" w:rsidRDefault="00FF4BD9" w:rsidP="009760FA">
            <w:pPr>
              <w:rPr>
                <w:rFonts w:cstheme="minorHAnsi"/>
                <w:sz w:val="20"/>
                <w:szCs w:val="20"/>
                <w:lang w:val="en-US"/>
              </w:rPr>
            </w:pPr>
          </w:p>
        </w:tc>
        <w:tc>
          <w:tcPr>
            <w:tcW w:w="2126" w:type="dxa"/>
          </w:tcPr>
          <w:p w14:paraId="04F9D86C" w14:textId="157D2437" w:rsidR="00FF4BD9" w:rsidRPr="00EC3E91" w:rsidRDefault="00746D40" w:rsidP="009549DD">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lab tests </w:t>
            </w:r>
          </w:p>
        </w:tc>
        <w:tc>
          <w:tcPr>
            <w:tcW w:w="3969" w:type="dxa"/>
          </w:tcPr>
          <w:p w14:paraId="7FF0680B" w14:textId="64FBE866" w:rsidR="00FF4BD9" w:rsidRPr="00EC3E91" w:rsidRDefault="00FF4BD9" w:rsidP="00FA4FC7">
            <w:pPr>
              <w:rPr>
                <w:rFonts w:cstheme="minorHAnsi"/>
                <w:sz w:val="20"/>
                <w:szCs w:val="20"/>
                <w:lang w:val="en-US"/>
              </w:rPr>
            </w:pPr>
            <w:r w:rsidRPr="00EC3E91">
              <w:rPr>
                <w:rFonts w:cstheme="minorHAnsi"/>
                <w:sz w:val="20"/>
                <w:szCs w:val="20"/>
                <w:lang w:val="en-US"/>
              </w:rPr>
              <w:t xml:space="preserve">Guidelines for laboratory ordering in Emergency Department. By the </w:t>
            </w:r>
            <w:r w:rsidR="0032148D" w:rsidRPr="00EC3E91">
              <w:rPr>
                <w:rFonts w:cstheme="minorHAnsi"/>
                <w:sz w:val="20"/>
                <w:szCs w:val="20"/>
                <w:lang w:val="en-US"/>
              </w:rPr>
              <w:t>Committee</w:t>
            </w:r>
            <w:r w:rsidRPr="00EC3E91">
              <w:rPr>
                <w:rFonts w:cstheme="minorHAnsi"/>
                <w:sz w:val="20"/>
                <w:szCs w:val="20"/>
                <w:lang w:val="en-US"/>
              </w:rPr>
              <w:t xml:space="preserve"> for clinical guidelines for laboratory tests. </w:t>
            </w:r>
          </w:p>
        </w:tc>
        <w:tc>
          <w:tcPr>
            <w:tcW w:w="2551" w:type="dxa"/>
          </w:tcPr>
          <w:p w14:paraId="44D472C5" w14:textId="5474EF13"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change physical structure and equipment, develop disincentives</w:t>
            </w:r>
          </w:p>
        </w:tc>
      </w:tr>
      <w:tr w:rsidR="00FF4BD9" w:rsidRPr="00E119DD" w14:paraId="01BAFA14" w14:textId="77777777" w:rsidTr="00FF4BD9">
        <w:trPr>
          <w:tblHeader/>
        </w:trPr>
        <w:tc>
          <w:tcPr>
            <w:tcW w:w="709" w:type="dxa"/>
          </w:tcPr>
          <w:p w14:paraId="33CEF540" w14:textId="2E32AC44"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{"citationItems":[{"id":"ITEM-1","itemData":{"abstract":"BACKGROUND: The goal of an antimicrobial stewardship program (ASP) is to prevent the emergence of antimicrobial drug resistance and reduce adverse drug events, optimizing the selection, dosing, and duration of therapy in individual patients. METHODS: This retrospective study evaluated changes in antimicrobial agent use associated with implementation of an ASP in a general and emergency unit. The pre-intervention and post-intervention periods were defined as July 1, 2013, to December 31, 2013 (pre-intervention) and January 1, 2014, to June 30, 2014 (post-intervention). RESULTS: The mean total monthly antimicrobial use decreased by 18.8%, from 1,074.9 defined daily doses (DDD) per 1,000 patient-days to 873.0 DDD per 1,000 patient-days after the intervention. There was a significant reduction in the use of piperacillin-tazobactam, by 33.7% (p&lt;0.05), in imipenem/cilastatin, by 63.9% (p&lt;0.05), in meropenem by 68.0% (p&lt;0.05), and in levofloxacin by 45.0% (p&lt;0.05) without any negative effect on patient susceptibility to infections. Indeed, patient outcomes, including deaths, length of stay in the hospital, and re-admission within 30 days were not affected. CONCLUSIONS: The implementation of an education-based ASP achieved a significant improvement in all antimicrobial agent prescriptions in the surgical unit and a reduction in antimicrobial drug consumption, even when no restrictive measures were implemented.","author":[{"dropping-particle":"","family":"Sartelli","given":"M","non-dropping-particle":"","parse-names":false,"suffix":""},{"dropping-particle":"","family":"Labricciosa","given":"F M","non-dropping-particle":"","parse-names":false,"suffix":""},{"dropping-particle":"","family":"Scoccia","given":"L","non-dropping-particle":"","parse-names":false,"suffix":""},{"dropping-particle":"","family":"Bellesi","given":"J","non-dropping-particle":"","parse-names":false,"suffix":""},{"dropping-particle":"","family":"Mazzoccanti","given":"M R","non-dropping-particle":"","parse-names":false,"suffix":""},{"dropping-particle":"","family":"Scaloni","given":"G","non-dropping-particle":"","parse-names":false,"suffix":""},{"dropping-particle":"","family":"Gentilozzi","given":"B","non-dropping-particle":"","parse-names":false,"suffix":""},{"dropping-particle":"","family":"Chiodera","given":"A","non-dropping-particle":"","parse-names":false,"suffix":""}],"container-title":"Surgical Infections","id":"ITEM-1","issue":"4","issued":{"date-parts":[["2016"]]},"page":"485-490","title":"Non-Restrictive Antimicrobial Stewardship Program in a General and Emergency Surgery Unit","type":"article-journal","volume":"17"},"uris":["http://www.mendeley.com/documents/?uuid=e0e5314a-dcd2-4ce9-aa3f-08cebeb8e431"]}],"mendeley":{"formattedCitation":"(106)","plainTextFormattedCitation":"(106)","previouslyFormattedCitation":"(106)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(106)</w:t>
            </w:r>
            <w:r w:rsidRPr="00EC3E91">
              <w:rPr>
                <w:rFonts w:cstheme="minorHAnsi"/>
                <w:sz w:val="20"/>
                <w:szCs w:val="20"/>
                <w:lang w:val="en-US"/>
              </w:rPr>
              <w:fldChar w:fldCharType="end"/>
            </w:r>
          </w:p>
        </w:tc>
        <w:tc>
          <w:tcPr>
            <w:tcW w:w="992" w:type="dxa"/>
          </w:tcPr>
          <w:p w14:paraId="25A356F8" w14:textId="4FA126B1" w:rsidR="00FF4BD9" w:rsidRPr="00EC3E91" w:rsidRDefault="00FF4BD9" w:rsidP="009549DD">
            <w:pPr>
              <w:rPr>
                <w:rFonts w:cstheme="minorHAnsi"/>
                <w:sz w:val="20"/>
                <w:szCs w:val="20"/>
                <w:lang w:val="en-US"/>
              </w:rPr>
            </w:pPr>
            <w:r w:rsidRPr="00EC3E91">
              <w:rPr>
                <w:rFonts w:cstheme="minorHAnsi"/>
                <w:sz w:val="20"/>
                <w:szCs w:val="20"/>
                <w:lang w:val="en-US"/>
              </w:rPr>
              <w:t xml:space="preserve">Italy </w:t>
            </w:r>
          </w:p>
        </w:tc>
        <w:tc>
          <w:tcPr>
            <w:tcW w:w="993" w:type="dxa"/>
          </w:tcPr>
          <w:p w14:paraId="064C1CD9" w14:textId="1AAD0AC8"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30FB5F83" w14:textId="7D4486E7"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68C04A6" w14:textId="40F43124"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349B28E6" w14:textId="54109D3E"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3F7CDC2B" w14:textId="24C0B299"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w:t>
            </w:r>
          </w:p>
        </w:tc>
        <w:tc>
          <w:tcPr>
            <w:tcW w:w="3969" w:type="dxa"/>
          </w:tcPr>
          <w:p w14:paraId="34172494" w14:textId="092B8270" w:rsidR="00FF4BD9" w:rsidRPr="00EC3E91" w:rsidRDefault="00FF4BD9" w:rsidP="00FA4FC7">
            <w:pPr>
              <w:rPr>
                <w:rFonts w:cstheme="minorHAnsi"/>
                <w:sz w:val="20"/>
                <w:szCs w:val="20"/>
                <w:lang w:val="en-US"/>
              </w:rPr>
            </w:pPr>
            <w:r w:rsidRPr="00EC3E91">
              <w:rPr>
                <w:rFonts w:cstheme="minorHAnsi"/>
                <w:sz w:val="20"/>
                <w:szCs w:val="20"/>
                <w:lang w:val="en-US"/>
              </w:rPr>
              <w:t xml:space="preserve">WSES guidelines for management of intra-abdominal infections. </w:t>
            </w:r>
          </w:p>
        </w:tc>
        <w:tc>
          <w:tcPr>
            <w:tcW w:w="2551" w:type="dxa"/>
          </w:tcPr>
          <w:p w14:paraId="76E31C20" w14:textId="60A00905"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make training dynamic, develop educational materials, develop and organize quality monitoring systems, [ACCOUNTABILITY TOOL], audit and provide feedback, </w:t>
            </w:r>
          </w:p>
        </w:tc>
      </w:tr>
      <w:tr w:rsidR="00FF4BD9" w:rsidRPr="00EC3E91" w14:paraId="58F9F994" w14:textId="77777777" w:rsidTr="00FF4BD9">
        <w:trPr>
          <w:tblHeader/>
        </w:trPr>
        <w:tc>
          <w:tcPr>
            <w:tcW w:w="709" w:type="dxa"/>
          </w:tcPr>
          <w:p w14:paraId="7D188DE1" w14:textId="5BC1C60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{"citationItems":[{"id":"ITEM-1","itemData":{"abstract":"This study aims to evaluate changes in use of contraindicated drugs during pregnancy in Korea using the nationwide Health Insurance and Assessment Service (HIRA) database. Study drugs were 314 drugs that were announced as pregnancy-contraindicated on December 11, 2008. The study population consisted of the pregnant women who gave birth and were prescribed any of the drugs in 2007-2011 before giving birth. Pregnancy-contraindicated drug use was defined as the proportion of prescriptions among pregnant women that were for study drugs. The relative and absolute reductions in contraindicated drug use after the 2008 action were estimated with 95% confidence interval (CI) by medical institution type, region, and drug class. The predicted monthly contraindicated drug use was estimated by performing ordinary least-squares regression analysis of data before the action and compared with observed data after the action. Between 2007 and 2011, a total of 1,468,588 pregnant women received 1,796,208 prescriptions. Contraindicated drug use accounted for 15.96% of total prescriptions (N = 355,783) before the action but decreased to 11.52% (N = 453,832) afterward. Overall, the relative reduction was 27.77% (95% CI: 27.64%-27.90%) and greatest for hormones at 46.56% (95% CI: 46.21%-46.93%). The relative reduction was 55.43% (95% CI: 54.60%-55.43%) for all category X drugs, 17.09% (95% CI: 16.46%-17.75%) for category X drugs excluding hormones, and 0.14% (95% CI: 0.14%-0.15%) for category D drugs including hormones. A regulatory action toward pregnancy-contraindicated drugs led to moderate decrease in contraindicated drug use during pregnancy. Despite the decreases, contraindicated drugs were still widely prescribed to pregnant women, highlighting the need to develop strategies to assess and improve drug safety during pregnancy.","author":[{"dropping-particle":"","family":"Song","given":"I","non-dropping-particle":"","parse-names":false,"suffix":""},{"dropping-particle":"","family":"Choi","given":"S H","non-dropping-particle":"","parse-names":false,"suffix":""},{"dropping-particle":"","family":"Shin","given":"J Y","non-dropping-particle":"","parse-names":false,"suffix":""}],"container-title":"Regulatory Toxicology &amp; Pharmacology","id":"ITEM-1","issued":{"date-parts":[["2016"]]},"page":"35-45","title":"Trends in prescription of pregnancy-contraindicated drugs in Korea, 2007-2011","type":"article-journal","volume":"75"},"uris":["http://www.mendeley.com/documents/?uuid=49010e13-eb6d-45fc-ac95-0843a735209e"]}],"mendeley":{"formattedCitation":"(107)","plainTextFormattedCitation":"(107)","previouslyFormattedCitation":"(107)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(107)</w:t>
            </w:r>
            <w:r w:rsidRPr="00EC3E91">
              <w:rPr>
                <w:rFonts w:cstheme="minorHAnsi"/>
                <w:sz w:val="20"/>
                <w:szCs w:val="20"/>
                <w:lang w:val="en-US"/>
              </w:rPr>
              <w:fldChar w:fldCharType="end"/>
            </w:r>
          </w:p>
        </w:tc>
        <w:tc>
          <w:tcPr>
            <w:tcW w:w="992" w:type="dxa"/>
          </w:tcPr>
          <w:p w14:paraId="3207EEEC" w14:textId="4AD9C628" w:rsidR="00FF4BD9" w:rsidRPr="00EC3E91" w:rsidRDefault="00FF4BD9" w:rsidP="009549DD">
            <w:pPr>
              <w:rPr>
                <w:rFonts w:cstheme="minorHAnsi"/>
                <w:sz w:val="20"/>
                <w:szCs w:val="20"/>
                <w:lang w:val="en-US"/>
              </w:rPr>
            </w:pPr>
            <w:r w:rsidRPr="00EC3E91">
              <w:rPr>
                <w:rFonts w:cstheme="minorHAnsi"/>
                <w:sz w:val="20"/>
                <w:szCs w:val="20"/>
                <w:lang w:val="en-US"/>
              </w:rPr>
              <w:t xml:space="preserve">Korea </w:t>
            </w:r>
          </w:p>
        </w:tc>
        <w:tc>
          <w:tcPr>
            <w:tcW w:w="993" w:type="dxa"/>
          </w:tcPr>
          <w:p w14:paraId="756599CA" w14:textId="22059033" w:rsidR="00FF4BD9" w:rsidRPr="00EC3E91" w:rsidRDefault="00FF4BD9" w:rsidP="009549DD">
            <w:pPr>
              <w:rPr>
                <w:rFonts w:cstheme="minorHAnsi"/>
                <w:sz w:val="20"/>
                <w:szCs w:val="20"/>
                <w:lang w:val="en-US"/>
              </w:rPr>
            </w:pPr>
            <w:r w:rsidRPr="00EC3E91">
              <w:rPr>
                <w:rFonts w:cstheme="minorHAnsi"/>
                <w:sz w:val="20"/>
                <w:szCs w:val="20"/>
                <w:lang w:val="en-US"/>
              </w:rPr>
              <w:t>Multiple settings</w:t>
            </w:r>
          </w:p>
        </w:tc>
        <w:tc>
          <w:tcPr>
            <w:tcW w:w="850" w:type="dxa"/>
          </w:tcPr>
          <w:p w14:paraId="55C9D437" w14:textId="20CB0E56"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3ADF294F" w14:textId="234DFAE2"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1E4081AF" w14:textId="3FB189A8" w:rsidR="00FF4BD9" w:rsidRPr="00EC3E91" w:rsidRDefault="00FF4BD9" w:rsidP="009549DD">
            <w:pPr>
              <w:rPr>
                <w:rFonts w:cstheme="minorHAnsi"/>
                <w:sz w:val="20"/>
                <w:szCs w:val="20"/>
                <w:lang w:val="en-US"/>
              </w:rPr>
            </w:pPr>
            <w:r w:rsidRPr="00EC3E91">
              <w:rPr>
                <w:rFonts w:cstheme="minorHAnsi"/>
                <w:sz w:val="20"/>
                <w:szCs w:val="20"/>
                <w:lang w:val="en-US"/>
              </w:rPr>
              <w:t xml:space="preserve">Pregnancy </w:t>
            </w:r>
          </w:p>
        </w:tc>
        <w:tc>
          <w:tcPr>
            <w:tcW w:w="2126" w:type="dxa"/>
          </w:tcPr>
          <w:p w14:paraId="2BBBE314" w14:textId="03F5AE33" w:rsidR="00FF4BD9" w:rsidRPr="00EC3E91" w:rsidRDefault="00FF4BD9" w:rsidP="009549DD">
            <w:pPr>
              <w:rPr>
                <w:rFonts w:cstheme="minorHAnsi"/>
                <w:sz w:val="20"/>
                <w:szCs w:val="20"/>
                <w:lang w:val="en-US"/>
              </w:rPr>
            </w:pPr>
            <w:r w:rsidRPr="00EC3E91">
              <w:rPr>
                <w:rFonts w:cstheme="minorHAnsi"/>
                <w:sz w:val="20"/>
                <w:szCs w:val="20"/>
                <w:lang w:val="en-US"/>
              </w:rPr>
              <w:t>Pregnancy-contraindicated drug use</w:t>
            </w:r>
          </w:p>
        </w:tc>
        <w:tc>
          <w:tcPr>
            <w:tcW w:w="3969" w:type="dxa"/>
          </w:tcPr>
          <w:p w14:paraId="62033B33" w14:textId="18E42DD4" w:rsidR="00FF4BD9" w:rsidRPr="00EC3E91" w:rsidRDefault="00FF4BD9" w:rsidP="00FA4FC7">
            <w:pPr>
              <w:rPr>
                <w:rFonts w:cstheme="minorHAnsi"/>
                <w:sz w:val="20"/>
                <w:szCs w:val="20"/>
                <w:lang w:val="en-US"/>
              </w:rPr>
            </w:pPr>
            <w:r w:rsidRPr="00EC3E91">
              <w:rPr>
                <w:rFonts w:cstheme="minorHAnsi"/>
                <w:sz w:val="20"/>
                <w:szCs w:val="20"/>
                <w:lang w:val="en-US"/>
              </w:rPr>
              <w:t xml:space="preserve">Public Announcement of Pregnancy-contra indicated Drugs. By the Korea Ministry of Food and Drug Safety. </w:t>
            </w:r>
          </w:p>
        </w:tc>
        <w:tc>
          <w:tcPr>
            <w:tcW w:w="2551" w:type="dxa"/>
          </w:tcPr>
          <w:p w14:paraId="3102F190" w14:textId="50BB34D0" w:rsidR="00FF4BD9" w:rsidRPr="00EC3E91" w:rsidRDefault="00FF4BD9" w:rsidP="009549DD">
            <w:pPr>
              <w:rPr>
                <w:rFonts w:cstheme="minorHAnsi"/>
                <w:sz w:val="20"/>
                <w:szCs w:val="20"/>
                <w:lang w:val="en-US"/>
              </w:rPr>
            </w:pPr>
            <w:r w:rsidRPr="00EC3E91">
              <w:rPr>
                <w:rFonts w:cstheme="minorHAnsi"/>
                <w:sz w:val="20"/>
                <w:szCs w:val="20"/>
                <w:lang w:val="en-US"/>
              </w:rPr>
              <w:t>[ACCOUNTABILITY TOOL]</w:t>
            </w:r>
          </w:p>
        </w:tc>
      </w:tr>
      <w:tr w:rsidR="00FF4BD9" w:rsidRPr="00EC3E91" w14:paraId="76831CFA" w14:textId="77777777" w:rsidTr="00FF4BD9">
        <w:trPr>
          <w:tblHeader/>
        </w:trPr>
        <w:tc>
          <w:tcPr>
            <w:tcW w:w="709" w:type="dxa"/>
          </w:tcPr>
          <w:p w14:paraId="08E87B8F" w14:textId="6718A8F3"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{"citationItems":[{"id":"ITEM-1","itemData":{"ISSN":"1546-1440","author":[{"dropping-particle":"","family":"Spence","given":"S C","non-dropping-particle":"","parse-names":false,"suffix":""},{"dropping-particle":"","family":"McAlister","given":"W","non-dropping-particle":"","parse-names":false,"suffix":""},{"dropping-particle":"","family":"Reed","given":"B","non-dropping-particle":"","parse-names":false,"suffix":""},{"dropping-particle":"","family":"Zare","given":"M","non-dropping-particle":"","parse-names":false,"suffix":""},{"dropping-particle":"","family":"Bingham","given":"B","non-dropping-particle":"","parse-names":false,"suffix":""},{"dropping-particle":"","family":"Low","given":"J","non-dropping-particle":"","parse-names":false,"suffix":""},{"dropping-particle":"","family":"Willis","given":"M","non-dropping-particle":"","parse-names":false,"suffix":""}],"container-title":"Journal of the American College of Radiology","id":"ITEM-1","issue":"11","issued":{"date-parts":[["2016"]]},"page":"1343-1346","title":"A Multispecialty Collaboration to Reduce Unnecessary Imaging for Knee Osteoarthritis","type":"article-journal","volume":"13"},"uris":["http://www.mendeley.com/documents/?uuid=3100508e-8e79-49ed-bf17-863d77116221"]}],"mendeley":{"formattedCitation":"(108)","plainTextFormattedCitation":"(108)","previouslyFormattedCitation":"(108)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(108)</w:t>
            </w:r>
            <w:r w:rsidRPr="00EC3E91">
              <w:rPr>
                <w:rFonts w:cstheme="minorHAnsi"/>
                <w:sz w:val="20"/>
                <w:szCs w:val="20"/>
                <w:lang w:val="en-US"/>
              </w:rPr>
              <w:fldChar w:fldCharType="end"/>
            </w:r>
          </w:p>
        </w:tc>
        <w:tc>
          <w:tcPr>
            <w:tcW w:w="992" w:type="dxa"/>
          </w:tcPr>
          <w:p w14:paraId="59D8D9CA" w14:textId="53DC7934"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6F28071A" w14:textId="7A12358A"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6DA55FC9" w14:textId="11AB7597"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7C589F39" w14:textId="1596923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6EE13BA0" w14:textId="1CB89059"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51B954F2" w14:textId="7DC58984" w:rsidR="00FF4BD9" w:rsidRPr="00EC3E91" w:rsidRDefault="00FF4BD9" w:rsidP="009549DD">
            <w:pPr>
              <w:rPr>
                <w:rFonts w:cstheme="minorHAnsi"/>
                <w:sz w:val="20"/>
                <w:szCs w:val="20"/>
                <w:lang w:val="en-US"/>
              </w:rPr>
            </w:pPr>
            <w:r w:rsidRPr="00EC3E91">
              <w:rPr>
                <w:rFonts w:cstheme="minorHAnsi"/>
                <w:sz w:val="20"/>
                <w:szCs w:val="20"/>
                <w:lang w:val="en-US"/>
              </w:rPr>
              <w:t>Inappropriate use of knee MRI studies for patients with moderate to severe knee osteoarthritis</w:t>
            </w:r>
          </w:p>
        </w:tc>
        <w:tc>
          <w:tcPr>
            <w:tcW w:w="3969" w:type="dxa"/>
          </w:tcPr>
          <w:p w14:paraId="4D4D6762" w14:textId="114A5C2B" w:rsidR="00FF4BD9" w:rsidRPr="00EC3E91" w:rsidRDefault="00FF4BD9" w:rsidP="005F6A11">
            <w:pPr>
              <w:rPr>
                <w:rFonts w:cstheme="minorHAnsi"/>
                <w:sz w:val="20"/>
                <w:szCs w:val="20"/>
                <w:lang w:val="en-US"/>
              </w:rPr>
            </w:pPr>
            <w:r w:rsidRPr="00EC3E91">
              <w:rPr>
                <w:rFonts w:cstheme="minorHAnsi"/>
                <w:sz w:val="20"/>
                <w:szCs w:val="20"/>
                <w:lang w:val="en-US"/>
              </w:rPr>
              <w:t xml:space="preserve">ACR Appropriateness Criteria non traumatic knee pain. </w:t>
            </w:r>
          </w:p>
          <w:p w14:paraId="2D83F198" w14:textId="77777777" w:rsidR="00FF4BD9" w:rsidRPr="00EC3E91" w:rsidRDefault="00FF4BD9" w:rsidP="005F6A11">
            <w:pPr>
              <w:rPr>
                <w:rFonts w:cstheme="minorHAnsi"/>
                <w:sz w:val="20"/>
                <w:szCs w:val="20"/>
                <w:lang w:val="en-US"/>
              </w:rPr>
            </w:pPr>
          </w:p>
          <w:p w14:paraId="39D829A3" w14:textId="406CDD79" w:rsidR="00FF4BD9" w:rsidRPr="00EC3E91" w:rsidRDefault="00FF4BD9" w:rsidP="005F6A11">
            <w:pPr>
              <w:rPr>
                <w:rFonts w:cstheme="minorHAnsi"/>
                <w:sz w:val="20"/>
                <w:szCs w:val="20"/>
                <w:lang w:val="en-US"/>
              </w:rPr>
            </w:pPr>
            <w:r w:rsidRPr="00EC3E91">
              <w:rPr>
                <w:rFonts w:cstheme="minorHAnsi"/>
                <w:sz w:val="20"/>
                <w:szCs w:val="20"/>
                <w:lang w:val="en-US"/>
              </w:rPr>
              <w:t xml:space="preserve">Treatment of osteoarthritis of the knee:  evidence-based guideline. By the American Academy of Orthopaedic Surgeons. </w:t>
            </w:r>
          </w:p>
          <w:p w14:paraId="34C22EC1" w14:textId="77777777" w:rsidR="00FF4BD9" w:rsidRPr="00EC3E91" w:rsidRDefault="00FF4BD9" w:rsidP="005F6A11">
            <w:pPr>
              <w:rPr>
                <w:rFonts w:cstheme="minorHAnsi"/>
                <w:sz w:val="20"/>
                <w:szCs w:val="20"/>
                <w:lang w:val="en-US"/>
              </w:rPr>
            </w:pPr>
          </w:p>
          <w:p w14:paraId="4DFCB070" w14:textId="283888B8" w:rsidR="00FF4BD9" w:rsidRPr="00EC3E91" w:rsidRDefault="00FF4BD9" w:rsidP="00FA4FC7">
            <w:pPr>
              <w:rPr>
                <w:rFonts w:cstheme="minorHAnsi"/>
                <w:sz w:val="20"/>
                <w:szCs w:val="20"/>
                <w:lang w:val="en-US"/>
              </w:rPr>
            </w:pPr>
            <w:r w:rsidRPr="00EC3E91">
              <w:rPr>
                <w:rFonts w:cstheme="minorHAnsi"/>
                <w:sz w:val="20"/>
                <w:szCs w:val="20"/>
                <w:lang w:val="en-US"/>
              </w:rPr>
              <w:t>College   of   Rheumatology 2012 recommendations for the use of non-pharmacologic and pharmacologic therapies in osteoarthritis of the hand, hip, and knee.</w:t>
            </w:r>
          </w:p>
        </w:tc>
        <w:tc>
          <w:tcPr>
            <w:tcW w:w="2551" w:type="dxa"/>
          </w:tcPr>
          <w:p w14:paraId="7209A16F" w14:textId="6494A9F8"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w:t>
            </w:r>
          </w:p>
        </w:tc>
      </w:tr>
      <w:tr w:rsidR="00FF4BD9" w:rsidRPr="00E119DD" w14:paraId="4F212C93" w14:textId="77777777" w:rsidTr="00FF4BD9">
        <w:trPr>
          <w:tblHeader/>
        </w:trPr>
        <w:tc>
          <w:tcPr>
            <w:tcW w:w="709" w:type="dxa"/>
          </w:tcPr>
          <w:p w14:paraId="1EFB9430" w14:textId="2AA38BCC"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{"citationItems":[{"id":"ITEM-1","itemData":{"ISSN":"2044-5415","author":[{"dropping-particle":"","family":"Stinnett-Donnelly","given":"J M","non-dropping-particle":"","parse-names":false,"suffix":""},{"dropping-particle":"","family":"Stevens","given":"P G","non-dropping-particle":"","parse-names":false,"suffix":""},{"dropping-particle":"","family":"Hood","given":"V L","non-dropping-particle":"","parse-names":false,"suffix":""}],"container-title":"BMJ Quality &amp; Safety","id":"ITEM-1","issue":"11","issued":{"date-parts":[["2016"]]},"page":"901-908","title":"Developing a high value care programme from the bottom up: a programme of faculty-resident improvement projects targeting harmful or unnecessary care","type":"article-journal","volume":"25"},"uris":["http://www.mendeley.com/documents/?uuid=5d93aa6a-7623-4a39-b5f5-2ba6fbeeed84"]}],"mendeley":{"formattedCitation":"(109)","plainTextFormattedCitation":"(109)","previouslyFormattedCitation":"(109)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(109)</w:t>
            </w:r>
            <w:r w:rsidRPr="00EC3E91">
              <w:rPr>
                <w:rFonts w:cstheme="minorHAnsi"/>
                <w:sz w:val="20"/>
                <w:szCs w:val="20"/>
                <w:lang w:val="en-US"/>
              </w:rPr>
              <w:fldChar w:fldCharType="end"/>
            </w:r>
          </w:p>
        </w:tc>
        <w:tc>
          <w:tcPr>
            <w:tcW w:w="992" w:type="dxa"/>
          </w:tcPr>
          <w:p w14:paraId="3470C889" w14:textId="68E4D50F"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65C9F41A" w14:textId="4905765D"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0FA67C77" w14:textId="01F5B8CC" w:rsidR="00FF4BD9" w:rsidRPr="00EC3E91" w:rsidRDefault="00FF4BD9" w:rsidP="009549DD">
            <w:pPr>
              <w:rPr>
                <w:rFonts w:cstheme="minorHAnsi"/>
                <w:sz w:val="20"/>
                <w:szCs w:val="20"/>
                <w:lang w:val="en-US"/>
              </w:rPr>
            </w:pPr>
            <w:r w:rsidRPr="00EC3E91">
              <w:rPr>
                <w:rFonts w:cstheme="minorHAnsi"/>
                <w:sz w:val="20"/>
                <w:szCs w:val="20"/>
                <w:lang w:val="en-US"/>
              </w:rPr>
              <w:t xml:space="preserve">Qual Case study </w:t>
            </w:r>
          </w:p>
        </w:tc>
        <w:tc>
          <w:tcPr>
            <w:tcW w:w="851" w:type="dxa"/>
          </w:tcPr>
          <w:p w14:paraId="01018DBE" w14:textId="46E6695E" w:rsidR="00FF4BD9" w:rsidRPr="00EC3E91" w:rsidRDefault="00FF4BD9" w:rsidP="009549DD">
            <w:pPr>
              <w:rPr>
                <w:rFonts w:cstheme="minorHAnsi"/>
                <w:sz w:val="20"/>
                <w:szCs w:val="20"/>
                <w:lang w:val="en-US"/>
              </w:rPr>
            </w:pPr>
            <w:r w:rsidRPr="00EC3E91">
              <w:rPr>
                <w:rFonts w:cstheme="minorHAnsi"/>
                <w:sz w:val="20"/>
                <w:szCs w:val="20"/>
                <w:lang w:val="en-US"/>
              </w:rPr>
              <w:t>Process evaluation</w:t>
            </w:r>
          </w:p>
        </w:tc>
        <w:tc>
          <w:tcPr>
            <w:tcW w:w="1134" w:type="dxa"/>
          </w:tcPr>
          <w:p w14:paraId="33A76174" w14:textId="13C5229E"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r w:rsidR="00226199">
              <w:rPr>
                <w:rFonts w:cstheme="minorHAnsi"/>
                <w:sz w:val="20"/>
                <w:szCs w:val="20"/>
                <w:lang w:val="en-US"/>
              </w:rPr>
              <w:t>Imaging</w:t>
            </w:r>
            <w:r w:rsidRPr="00EC3E91">
              <w:rPr>
                <w:rFonts w:cstheme="minorHAnsi"/>
                <w:sz w:val="20"/>
                <w:szCs w:val="20"/>
                <w:lang w:val="en-US"/>
              </w:rPr>
              <w:t>, echocardiograph, ANA, colonoscopy</w:t>
            </w:r>
          </w:p>
        </w:tc>
        <w:tc>
          <w:tcPr>
            <w:tcW w:w="2126" w:type="dxa"/>
          </w:tcPr>
          <w:p w14:paraId="37527828" w14:textId="2DF038AF" w:rsidR="00FF4BD9" w:rsidRPr="00EC3E91" w:rsidRDefault="00746D40" w:rsidP="009549DD">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measure of creatinine on patients receiving scheduled dialysis, DXA scan on a women less than 65 without clinical risk factors for early osteoporosis, routine daily chest X-rays on intubated patients, repeat a positive hepatitis A or C antibody, PET or bone scan imaging on asymptomatic women with stage I or stage II breast cancer, repeat a positive ANA, an echocardiogram in the setting of heart failure, elective screening colonoscopy on patients older than 75 years</w:t>
            </w:r>
          </w:p>
        </w:tc>
        <w:tc>
          <w:tcPr>
            <w:tcW w:w="3969" w:type="dxa"/>
          </w:tcPr>
          <w:p w14:paraId="723F9922" w14:textId="02815274" w:rsidR="00FF4BD9" w:rsidRPr="00EC3E91" w:rsidRDefault="00FF4BD9" w:rsidP="00FA4FC7">
            <w:pPr>
              <w:rPr>
                <w:rFonts w:cstheme="minorHAnsi"/>
                <w:sz w:val="20"/>
                <w:szCs w:val="20"/>
                <w:lang w:val="en-US"/>
              </w:rPr>
            </w:pPr>
            <w:r w:rsidRPr="00EC3E91">
              <w:rPr>
                <w:rFonts w:cstheme="minorHAnsi"/>
                <w:sz w:val="20"/>
                <w:szCs w:val="20"/>
                <w:lang w:val="en-US"/>
              </w:rPr>
              <w:t>High-value, cost-conscious health care: concepts for clinicians to evaluate the benefits, harms, and costs of medical interventions. Clinical Guidelines Committee of the American College of Physicians</w:t>
            </w:r>
          </w:p>
          <w:p w14:paraId="6F7F2E73" w14:textId="77777777" w:rsidR="00FF4BD9" w:rsidRPr="00EC3E91" w:rsidRDefault="00FF4BD9" w:rsidP="00FA4FC7">
            <w:pPr>
              <w:rPr>
                <w:rFonts w:cstheme="minorHAnsi"/>
                <w:sz w:val="20"/>
                <w:szCs w:val="20"/>
                <w:lang w:val="en-US"/>
              </w:rPr>
            </w:pPr>
          </w:p>
          <w:p w14:paraId="71D873C7" w14:textId="2B544FD9" w:rsidR="00FF4BD9" w:rsidRPr="00EC3E91" w:rsidRDefault="00FF4BD9" w:rsidP="00FA4FC7">
            <w:pPr>
              <w:rPr>
                <w:rFonts w:cstheme="minorHAnsi"/>
                <w:sz w:val="20"/>
                <w:szCs w:val="20"/>
                <w:lang w:val="en-US"/>
              </w:rPr>
            </w:pPr>
            <w:r w:rsidRPr="00EC3E91">
              <w:rPr>
                <w:rFonts w:cstheme="minorHAnsi"/>
                <w:sz w:val="20"/>
                <w:szCs w:val="20"/>
                <w:lang w:val="en-US"/>
              </w:rPr>
              <w:t xml:space="preserve">Choosing Wisely </w:t>
            </w:r>
          </w:p>
        </w:tc>
        <w:tc>
          <w:tcPr>
            <w:tcW w:w="2551" w:type="dxa"/>
          </w:tcPr>
          <w:p w14:paraId="17DE8857" w14:textId="706EF076" w:rsidR="00FF4BD9" w:rsidRPr="00EC3E91" w:rsidRDefault="00FF4BD9" w:rsidP="00675E77">
            <w:pPr>
              <w:rPr>
                <w:rFonts w:cstheme="minorHAnsi"/>
                <w:sz w:val="20"/>
                <w:szCs w:val="20"/>
                <w:lang w:val="en-US"/>
              </w:rPr>
            </w:pPr>
            <w:r w:rsidRPr="00EC3E91">
              <w:rPr>
                <w:rFonts w:cstheme="minorHAnsi"/>
                <w:sz w:val="20"/>
                <w:szCs w:val="20"/>
                <w:lang w:val="en-US"/>
              </w:rPr>
              <w:t xml:space="preserve">Use advisory boards and workgroups, Identify and prepare champions, conduct educational meeting, change record system, assess and redesign workflow, audit and provide </w:t>
            </w:r>
            <w:r w:rsidR="00783B08" w:rsidRPr="00EC3E91">
              <w:rPr>
                <w:rFonts w:cstheme="minorHAnsi"/>
                <w:sz w:val="20"/>
                <w:szCs w:val="20"/>
                <w:lang w:val="en-US"/>
              </w:rPr>
              <w:t>feedback, conduct</w:t>
            </w:r>
            <w:r w:rsidRPr="00EC3E91">
              <w:rPr>
                <w:rFonts w:cstheme="minorHAnsi"/>
                <w:sz w:val="20"/>
                <w:szCs w:val="20"/>
                <w:lang w:val="en-US"/>
              </w:rPr>
              <w:t xml:space="preserve"> local needs assessment</w:t>
            </w:r>
          </w:p>
        </w:tc>
      </w:tr>
      <w:tr w:rsidR="00FF4BD9" w:rsidRPr="00EC3E91" w14:paraId="1EF53411" w14:textId="77777777" w:rsidTr="00FF4BD9">
        <w:trPr>
          <w:tblHeader/>
        </w:trPr>
        <w:tc>
          <w:tcPr>
            <w:tcW w:w="709" w:type="dxa"/>
          </w:tcPr>
          <w:p w14:paraId="46B7DB5E" w14:textId="25395F1A"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{"citationItems":[{"id":"ITEM-1","itemData":{"DOI":"10.1177/1757177416657163","ISSN":"17571782","abstract":"Background: Clostridium difficile (C. difficile) is a leading cause of infectious diarrhoea in hospitals. Sending faecal samples for testing expedites diagnosis and appropriate treatment. Clinical suspicion of C. difficile based on patient history, signs and symptoms is the basis for sampling. Sending faecal samples from patients with diarrhoea ‘just in case’ the patient has C. difficile may be an indication of poor clinical management. Aim: To evaluate the effectiveness of an intervention by an Infection Prevention and Control Team (IPCT) in reducing inappropriate faecal samples sent for C. difficile testing. Method: An audit of numbers of faecal samples sent before and after a decision-making algorithm was introduced. The number of samples received in the laboratory was retrospectively counted for 12-week periods before and after an algorithm was introduced. Findings: There was a statistically significant reduction in the mean number of faecal samples sent post the algorithm. Results were compared to a similar intervention carried out in 2009 in which the same message was delivered by a memorandum. In 2009 the memorandum had no effect on the overall number of weekly samples being sent. Conclusion: An algorithm intervention had an effect on the number of faecal samples being sent for C. difficile testing and thus contributed to the effective use of the laboratory service.","author":[{"dropping-particle":"","family":"Thompson","given":"Irene","non-dropping-particle":"","parse-names":false,"suffix":""},{"dropping-particle":"","family":"Lavelle","given":"Colin","non-dropping-particle":"","parse-names":false,"suffix":""},{"dropping-particle":"","family":"Leonard","given":"Laurence","non-dropping-particle":"","parse-names":false,"suffix":""}],"container-title":"Journal of Infection Prevention","id":"ITEM-1","issue":"6","issued":{"date-parts":[["2016"]]},"title":"An evaluation of the effectiveness of an algorithm intervention in reducing inappropriate faecal samples sent for Clostridium difficile testing","type":"article-journal","volume":"17"},"uris":["http://www.mendeley.com/documents/?uuid=e7517429-ecf1-33b7-8379-4371c704f0c4"]}],"mendeley":{"formattedCitation":"(110)","plainTextFormattedCitation":"(110)","previouslyFormattedCitation":"(110)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(110)</w:t>
            </w:r>
            <w:r w:rsidRPr="00EC3E91">
              <w:rPr>
                <w:rFonts w:cstheme="minorHAnsi"/>
                <w:sz w:val="20"/>
                <w:szCs w:val="20"/>
                <w:lang w:val="en-US"/>
              </w:rPr>
              <w:fldChar w:fldCharType="end"/>
            </w:r>
          </w:p>
        </w:tc>
        <w:tc>
          <w:tcPr>
            <w:tcW w:w="992" w:type="dxa"/>
          </w:tcPr>
          <w:p w14:paraId="1667886E" w14:textId="3831ED64" w:rsidR="00FF4BD9" w:rsidRPr="00EC3E91" w:rsidRDefault="00FF4BD9" w:rsidP="009549DD">
            <w:pPr>
              <w:rPr>
                <w:rFonts w:cstheme="minorHAnsi"/>
                <w:sz w:val="20"/>
                <w:szCs w:val="20"/>
                <w:lang w:val="en-US"/>
              </w:rPr>
            </w:pPr>
            <w:r w:rsidRPr="00EC3E91">
              <w:rPr>
                <w:rFonts w:cstheme="minorHAnsi"/>
                <w:sz w:val="20"/>
                <w:szCs w:val="20"/>
                <w:lang w:val="en-US"/>
              </w:rPr>
              <w:t xml:space="preserve">UK </w:t>
            </w:r>
          </w:p>
        </w:tc>
        <w:tc>
          <w:tcPr>
            <w:tcW w:w="993" w:type="dxa"/>
          </w:tcPr>
          <w:p w14:paraId="1CE9B14A" w14:textId="1DE38CF9"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4C4328BE" w14:textId="1DEB4EDA"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477ED817" w14:textId="2420C78C"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6834C6BD" w14:textId="01F8E1DC"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p>
        </w:tc>
        <w:tc>
          <w:tcPr>
            <w:tcW w:w="2126" w:type="dxa"/>
          </w:tcPr>
          <w:p w14:paraId="4BB93F70" w14:textId="592C9354" w:rsidR="00FF4BD9" w:rsidRPr="00EC3E91" w:rsidRDefault="00FF4BD9" w:rsidP="009549DD">
            <w:pPr>
              <w:rPr>
                <w:rFonts w:cstheme="minorHAnsi"/>
                <w:sz w:val="20"/>
                <w:szCs w:val="20"/>
                <w:lang w:val="en-US"/>
              </w:rPr>
            </w:pPr>
            <w:r w:rsidRPr="00EC3E91">
              <w:rPr>
                <w:rFonts w:cstheme="minorHAnsi"/>
                <w:sz w:val="20"/>
                <w:szCs w:val="20"/>
                <w:lang w:val="en-US"/>
              </w:rPr>
              <w:t>Inappropriate C. difficile testing</w:t>
            </w:r>
          </w:p>
        </w:tc>
        <w:tc>
          <w:tcPr>
            <w:tcW w:w="3969" w:type="dxa"/>
          </w:tcPr>
          <w:p w14:paraId="1CC3926B" w14:textId="19A3CB0C" w:rsidR="00FF4BD9" w:rsidRPr="00EC3E91" w:rsidRDefault="00FF4BD9" w:rsidP="009549DD">
            <w:pPr>
              <w:rPr>
                <w:rFonts w:cstheme="minorHAnsi"/>
                <w:sz w:val="20"/>
                <w:szCs w:val="20"/>
                <w:lang w:val="en-US"/>
              </w:rPr>
            </w:pPr>
            <w:r w:rsidRPr="00EC3E91">
              <w:rPr>
                <w:rFonts w:cstheme="minorHAnsi"/>
                <w:sz w:val="20"/>
                <w:szCs w:val="20"/>
                <w:lang w:val="en-US"/>
              </w:rPr>
              <w:t xml:space="preserve">Guidance on the management and treatment </w:t>
            </w:r>
            <w:r w:rsidR="00783B08" w:rsidRPr="00EC3E91">
              <w:rPr>
                <w:rFonts w:cstheme="minorHAnsi"/>
                <w:sz w:val="20"/>
                <w:szCs w:val="20"/>
                <w:lang w:val="en-US"/>
              </w:rPr>
              <w:t xml:space="preserve">of </w:t>
            </w:r>
            <w:r w:rsidR="00796746" w:rsidRPr="00EC3E91">
              <w:rPr>
                <w:rFonts w:cstheme="minorHAnsi"/>
                <w:sz w:val="20"/>
                <w:szCs w:val="20"/>
                <w:lang w:val="en-US"/>
              </w:rPr>
              <w:t xml:space="preserve">Clostridium </w:t>
            </w:r>
            <w:r w:rsidR="008E3BEF" w:rsidRPr="00EC3E91">
              <w:rPr>
                <w:rFonts w:cstheme="minorHAnsi"/>
                <w:sz w:val="20"/>
                <w:szCs w:val="20"/>
                <w:lang w:val="en-US"/>
              </w:rPr>
              <w:t>difficile infection</w:t>
            </w:r>
            <w:r w:rsidRPr="00EC3E91">
              <w:rPr>
                <w:rFonts w:cstheme="minorHAnsi"/>
                <w:sz w:val="20"/>
                <w:szCs w:val="20"/>
                <w:lang w:val="en-US"/>
              </w:rPr>
              <w:t xml:space="preserve">. Public Health England. </w:t>
            </w:r>
          </w:p>
        </w:tc>
        <w:tc>
          <w:tcPr>
            <w:tcW w:w="2551" w:type="dxa"/>
          </w:tcPr>
          <w:p w14:paraId="15D4C779" w14:textId="486DB60C" w:rsidR="00FF4BD9" w:rsidRPr="00EC3E91" w:rsidRDefault="00FF4BD9" w:rsidP="009549DD">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766C0CF8" w14:textId="77777777" w:rsidTr="00FF4BD9">
        <w:trPr>
          <w:tblHeader/>
        </w:trPr>
        <w:tc>
          <w:tcPr>
            <w:tcW w:w="709" w:type="dxa"/>
          </w:tcPr>
          <w:p w14:paraId="3FDB321D" w14:textId="0DDDF429"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{"citationItems":[{"id":"ITEM-1","itemData":{"ISSN":"0820-3946","abstract":"BACKGROUND: Overuse of antimicrobial therapy in the community adds to the global spread of antimicrobial resistance, which is jeopardizing the treatment of common infections. METHODS: We designed a cluster randomized complex intervention to improve antimicrobial prescribing for urinary tract infection in Irish general practice. During a 3-month baseline period, all practices received a workshop to promote consultation coding for urinary tract infections. Practices in intervention arms A and B received a second workshop with information on antimicrobial prescribing guidelines and a practice audit report (baseline data). Practices in intervention arm B received additional evidence on delayed prescribing of antimicrobials for suspected urinary tract infection. A reminder integrated into the patient management software suggested first-line treatment and, for practices in arm B, delayed prescribing. Over the 6-month intervention, practices in arms A and B received monthly audit reports of antimicrobial prescribing. RESULTS: The proportion of antimicrobial prescribing according to guidelines for urinary tract infection increased in arms A and B relative to control (adjusted overall odds ratio [OR] 2.3, 95% confidence interval [CI] 1.7 to 3.2; arm A adjusted OR 2.7, 95% CI 1.8 to 4.1; arm B adjusted OR 2.0, 95% CI 1.3 to 3.0). An unintended increase in antimicrobial prescribing was observed in the intervention arms relative to control (arm A adjusted OR 2.2, 95% CI 1.2 to 4.0; arm B adjusted OR 1.4, 95% CI 0.9 to 2.1). Improvements in guideline-based prescribing were sustained at 5 months after the intervention. INTERPRETATION: A complex intervention, including audit reports and reminders, improved the quality of prescribing for urinary tract infection in Irish general practice. TRIAL REGISTRATION: ClinicalTrials.gov, no. NCT01913860.","author":[{"dropping-particle":"","family":"Vellinga","given":"A","non-dropping-particle":"","parse-names":false,"suffix":""},{"dropping-particle":"","family":"Galvin","given":"S","non-dropping-particle":"","parse-names":false,"suffix":""},{"dropping-particle":"","family":"Duane","given":"S","non-dropping-particle":"","parse-names":false,"suffix":""},{"dropping-particle":"","family":"Callan","given":"A","non-dropping-particle":"","parse-names":false,"suffix":""},{"dropping-particle":"","family":"Bennett","given":"K","non-dropping-particle":"","parse-names":false,"suffix":""},{"dropping-particle":"","family":"Cormican","given":"M","non-dropping-particle":"","parse-names":false,"suffix":""},{"dropping-particle":"","family":"Domegan","given":"C","non-dropping-particle":"","parse-names":false,"suffix":""},{"dropping-particle":"","family":"Murphy","given":"A W","non-dropping-particle":"","parse-names":false,"suffix":""}],"container-title":"CMAJ Canadian Medical Association Journal","id":"ITEM-1","issue":"2","issued":{"date-parts":[["2016"]]},"page":"108-115","title":"Intervention to improve the quality of antimicrobial prescribing for urinary tract infection: a cluster randomized trial","type":"article-journal","volume":"188"},"uris":["http://www.mendeley.com/documents/?uuid=a84318d4-f584-4651-8978-9bef3c86ca5f"]}],"mendeley":{"formattedCitation":"(111)","plainTextFormattedCitation":"(111)","previouslyFormattedCitation":"(111)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(111)</w:t>
            </w:r>
            <w:r w:rsidRPr="00EC3E91">
              <w:rPr>
                <w:rFonts w:cstheme="minorHAnsi"/>
                <w:sz w:val="20"/>
                <w:szCs w:val="20"/>
                <w:lang w:val="en-US"/>
              </w:rPr>
              <w:fldChar w:fldCharType="end"/>
            </w:r>
          </w:p>
        </w:tc>
        <w:tc>
          <w:tcPr>
            <w:tcW w:w="992" w:type="dxa"/>
          </w:tcPr>
          <w:p w14:paraId="571E5661" w14:textId="45EE9F3F" w:rsidR="00FF4BD9" w:rsidRPr="00EC3E91" w:rsidRDefault="00FF4BD9" w:rsidP="009549DD">
            <w:pPr>
              <w:rPr>
                <w:rFonts w:cstheme="minorHAnsi"/>
                <w:sz w:val="20"/>
                <w:szCs w:val="20"/>
                <w:lang w:val="en-US"/>
              </w:rPr>
            </w:pPr>
            <w:r w:rsidRPr="00EC3E91">
              <w:rPr>
                <w:rFonts w:cstheme="minorHAnsi"/>
                <w:sz w:val="20"/>
                <w:szCs w:val="20"/>
                <w:lang w:val="en-US"/>
              </w:rPr>
              <w:t xml:space="preserve">Ireland </w:t>
            </w:r>
          </w:p>
        </w:tc>
        <w:tc>
          <w:tcPr>
            <w:tcW w:w="993" w:type="dxa"/>
          </w:tcPr>
          <w:p w14:paraId="41E4AAE5" w14:textId="5ABE1664"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7C7CDCFE" w14:textId="30C8E1C0"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5D36F941" w14:textId="347F295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21050B8E" w14:textId="092C3250"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5999115D" w14:textId="6389D7EA"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603C0143" w14:textId="671CD590" w:rsidR="00FF4BD9" w:rsidRPr="00EC3E91" w:rsidRDefault="00FF4BD9" w:rsidP="00FA4FC7">
            <w:pPr>
              <w:rPr>
                <w:rFonts w:cstheme="minorHAnsi"/>
                <w:sz w:val="20"/>
                <w:szCs w:val="20"/>
                <w:lang w:val="en-US"/>
              </w:rPr>
            </w:pPr>
            <w:r w:rsidRPr="00EC3E91">
              <w:rPr>
                <w:rFonts w:cstheme="minorHAnsi"/>
                <w:sz w:val="20"/>
                <w:szCs w:val="20"/>
                <w:lang w:val="en-US"/>
              </w:rPr>
              <w:t>Guidelines for antimicrobial prescribing in primary care in Ireland.</w:t>
            </w:r>
          </w:p>
        </w:tc>
        <w:tc>
          <w:tcPr>
            <w:tcW w:w="2551" w:type="dxa"/>
          </w:tcPr>
          <w:p w14:paraId="7909576E" w14:textId="3F6D0FD5"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develop educational materials, make training dynamic, remind clinicians, audit and provide feedback,</w:t>
            </w:r>
          </w:p>
        </w:tc>
      </w:tr>
      <w:tr w:rsidR="00FF4BD9" w:rsidRPr="00E119DD" w14:paraId="1563E649" w14:textId="77777777" w:rsidTr="00FF4BD9">
        <w:trPr>
          <w:tblHeader/>
        </w:trPr>
        <w:tc>
          <w:tcPr>
            <w:tcW w:w="709" w:type="dxa"/>
          </w:tcPr>
          <w:p w14:paraId="2A3A8998" w14:textId="1FCC3BFC"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{"citationItems":[{"id":"ITEM-1","itemData":{"ISSN":"2050-1315","abstract":"International efforts have mandated guidelines on antibiotic use and prescribing, therefore the focus is now on encouraging positive behavioral changes in antibiotic prescribing practice. Documentation of indication and intended duration of antibiotic use in drug charts is an evidence-based method of reducing inappropriate antibiotic prescribing. It is also a standard detailed in our local antimicrobial guidelines. We collected baseline data on compliance with documentation of indication and duration in drug charts in a respiratory ward which revealed compliance rates of 24% and 39% respectively. We introduced interventions to improve accessibility to the guideline and to increase awareness by distributing antibiotic guardian pocket cards with a three-point checklist and strategically-placed mini-posters. We also aim to increase team motivation by obtaining their feedback in multidisciplinary team meetings and by introducing certificates for their involvement in the quality improvement process. The results of the second cycle post-intervention showed an increase in compliance rates for documentation of indication and duration of 97% and 69% respectively. After a further awareness and discussion session at the multidisciplinary team meeting with the local antimicrobial management team audit nurses, a third cycle showed compliance rates of 94% and 71% for indication and duration respectively. This project has highlighted the importance of improving accessibility and of encouraging interventions that would bring about a change in personal value and subsequently in behavior and individual practice.","author":[{"dropping-particle":"","family":"Yeo","given":"J M","non-dropping-particle":"","parse-names":false,"suffix":""}],"container-title":"BMJ Quality Improvement Reports","id":"ITEM-1","issue":"1","issued":{"date-parts":[["2016"]]},"note":"Using Smart Source Parsing Yeo, Jing Ming u206491.w3570","title":"Antimicrobial stewardship: Improving antibiotic prescribing practice in a respiratory ward","type":"article-journal","volume":"5"},"uris":["http://www.mendeley.com/documents/?uuid=a7a71d3d-ffe0-4827-861d-5233a6a6bdda"]}],"mendeley":{"formattedCitation":"(112)","plainTextFormattedCitation":"(112)","previouslyFormattedCitation":"(112)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(112)</w:t>
            </w:r>
            <w:r w:rsidRPr="00EC3E91">
              <w:rPr>
                <w:rFonts w:cstheme="minorHAnsi"/>
                <w:sz w:val="20"/>
                <w:szCs w:val="20"/>
                <w:lang w:val="en-US"/>
              </w:rPr>
              <w:fldChar w:fldCharType="end"/>
            </w:r>
          </w:p>
        </w:tc>
        <w:tc>
          <w:tcPr>
            <w:tcW w:w="992" w:type="dxa"/>
          </w:tcPr>
          <w:p w14:paraId="22BD5DAB" w14:textId="2F9F9FA9" w:rsidR="00FF4BD9" w:rsidRPr="00EC3E91" w:rsidRDefault="00FF4BD9" w:rsidP="009549DD">
            <w:pPr>
              <w:rPr>
                <w:rFonts w:cstheme="minorHAnsi"/>
                <w:sz w:val="20"/>
                <w:szCs w:val="20"/>
                <w:lang w:val="en-US"/>
              </w:rPr>
            </w:pPr>
            <w:r w:rsidRPr="00EC3E91">
              <w:rPr>
                <w:rFonts w:cstheme="minorHAnsi"/>
                <w:sz w:val="20"/>
                <w:szCs w:val="20"/>
                <w:lang w:val="en-US"/>
              </w:rPr>
              <w:t xml:space="preserve">UK </w:t>
            </w:r>
          </w:p>
        </w:tc>
        <w:tc>
          <w:tcPr>
            <w:tcW w:w="993" w:type="dxa"/>
          </w:tcPr>
          <w:p w14:paraId="55BF2D9B" w14:textId="3E086447"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22456DE6" w14:textId="2BC03624"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5C95DB2F" w14:textId="5258D20D"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7C06709D" w14:textId="4C068071"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1E1B2F5F" w14:textId="127103C4"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13F51E90" w14:textId="2F4BE74E" w:rsidR="00FF4BD9" w:rsidRPr="00EC3E91" w:rsidRDefault="00FF4BD9" w:rsidP="009549DD">
            <w:pPr>
              <w:rPr>
                <w:rFonts w:cstheme="minorHAnsi"/>
                <w:sz w:val="20"/>
                <w:szCs w:val="20"/>
                <w:lang w:val="en-US"/>
              </w:rPr>
            </w:pPr>
            <w:r w:rsidRPr="00EC3E91">
              <w:rPr>
                <w:rFonts w:cstheme="minorHAnsi"/>
                <w:sz w:val="20"/>
                <w:szCs w:val="20"/>
                <w:lang w:val="en-US"/>
              </w:rPr>
              <w:t xml:space="preserve">NHS Lothian Adult Antimicrobial Guidelines. </w:t>
            </w:r>
          </w:p>
        </w:tc>
        <w:tc>
          <w:tcPr>
            <w:tcW w:w="2551" w:type="dxa"/>
          </w:tcPr>
          <w:p w14:paraId="3DA245FE" w14:textId="1F3C9CB0" w:rsidR="00FF4BD9" w:rsidRPr="00EC3E91" w:rsidRDefault="00FF4BD9" w:rsidP="009549DD">
            <w:pPr>
              <w:rPr>
                <w:rFonts w:cstheme="minorHAnsi"/>
                <w:sz w:val="20"/>
                <w:szCs w:val="20"/>
                <w:lang w:val="en-US"/>
              </w:rPr>
            </w:pPr>
            <w:r w:rsidRPr="00EC3E91">
              <w:rPr>
                <w:rFonts w:cstheme="minorHAnsi"/>
                <w:sz w:val="20"/>
                <w:szCs w:val="20"/>
                <w:lang w:val="en-US"/>
              </w:rPr>
              <w:t>Remind clinicians, develop educational materials, develop and organize quality monitoring systems, conduct cyclical small tests of change</w:t>
            </w:r>
          </w:p>
        </w:tc>
      </w:tr>
      <w:tr w:rsidR="00FF4BD9" w:rsidRPr="00E119DD" w14:paraId="0AE82576" w14:textId="77777777" w:rsidTr="00FF4BD9">
        <w:trPr>
          <w:tblHeader/>
        </w:trPr>
        <w:tc>
          <w:tcPr>
            <w:tcW w:w="709" w:type="dxa"/>
          </w:tcPr>
          <w:p w14:paraId="34863D29" w14:textId="4AC924E7"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{"citationItems":[{"id":"ITEM-1","itemData":{"ISSN":"1748-5908","abstract":"BACKGROUND: Patients on chronic warfarin therapy require regular laboratory monitoring to safely manage warfarin. Recent studies have challenged the need for routine monthly blood draws in the most stable warfarin-treated patients, suggesting the safety of less frequent laboratory testing (up to every 12 weeks). De-implementation efforts aim to reduce the use of low-value clinical practices. To explore barriers and facilitators of a de-implementation effort to reduce the use of frequent laboratory tests for patients with stable warfarin management in nurse/pharmacist-run anticoagulation clinics, we performed a mixed-methods study conducted within a state-wide collaborative quality improvement collaborative. METHODS: Using a mixed-methods approach, we conducted post-implementation semi-structured interviews with a total of eight anticoagulation nurse or pharmacist staff members at five participating clinic sites to assess barriers and facilitators to de-implementing frequent international normalized ratio (INR) laboratory testing among patients with stable warfarin control. Interview guides were based on the Tailored Implementation for Chronic Disease (TICD) framework. Informed by interview themes, a survey was developed and administered to all anticoagulation clinical staff (n=62) about their self-reported utilization of less frequent INR testing and specific barriers to de-implementing the standard (more frequent) INR testing practice. RESULTS: From the interviews, four themes emerged congruent with TICD domains: (1) staff overestimating their actual use of less frequent INR testing (individual health professional factors), (2) barriers to appropriate patient engagement (incentives and resources), (3) broad support for an electronic medical record flag to identify potentially eligible patients (incentives and resources), and (4) the importance of personalized nurse/pharmacist feedback (individual health professional factors). In the survey (65% response rate), staff report offering less frequent INR testing to 56% (46-66%) of eligible patients. Most survey responders (n=24; 60%) agreed that an eligibility flag in the electronic medical record would be very helpful. Twenty-four (60%) respondents agreed that periodic, personalized feedback on use of less frequent INR testing would also be helpful. CONCLUSIONS: Leveraging information system notifications, reducing additional work load burden for participating patients and providers, and providing personal…","author":[{"dropping-particle":"","family":"Barnes","given":"G D","non-dropping-particle":"","parse-names":false,"suffix":""},{"dropping-particle":"","family":"Misirliyan","given":"S","non-dropping-particle":"","parse-names":false,"suffix":""},{"dropping-particle":"","family":"Kaatz","given":"S","non-dropping-particle":"","parse-names":false,"suffix":""},{"dropping-particle":"","family":"Jackson","given":"E A","non-dropping-particle":"","parse-names":false,"suffix":""},{"dropping-particle":"","family":"Haymart","given":"B","non-dropping-particle":"","parse-names":false,"suffix":""},{"dropping-particle":"","family":"Kline-Rogers","given":"E","non-dropping-particle":"","parse-names":false,"suffix":""},{"dropping-particle":"","family":"Kozlowski","given":"J","non-dropping-particle":"","parse-names":false,"suffix":""},{"dropping-particle":"","family":"Krol","given":"G","non-dropping-particle":"","parse-names":false,"suffix":""},{"dropping-particle":"","family":"Froehlich","given":"J B","non-dropping-particle":"","parse-names":false,"suffix":""},{"dropping-particle":"","family":"Sales","given":"A","non-dropping-particle":"","parse-names":false,"suffix":""}],"container-title":"Implementation Science","id":"ITEM-1","issue":"1","issued":{"date-parts":[["2017"]]},"page":"87","title":"Barriers and facilitators to reducing frequent laboratory testing for patients who are stable on warfarin: a mixed methods study of de-implementation in five anticoagulation clinics","type":"article-journal","volume":"12"},"uris":["http://www.mendeley.com/documents/?uuid=c0f3163e-ea0b-4bf9-8368-e4f7288c10bf"]}],"mendeley":{"formattedCitation":"(113)","plainTextFormattedCitation":"(113)","previouslyFormattedCitation":"(113)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(113)</w:t>
            </w:r>
            <w:r w:rsidRPr="00EC3E91">
              <w:rPr>
                <w:rFonts w:cstheme="minorHAnsi"/>
                <w:sz w:val="20"/>
                <w:szCs w:val="20"/>
                <w:lang w:val="en-US"/>
              </w:rPr>
              <w:fldChar w:fldCharType="end"/>
            </w:r>
          </w:p>
        </w:tc>
        <w:tc>
          <w:tcPr>
            <w:tcW w:w="992" w:type="dxa"/>
          </w:tcPr>
          <w:p w14:paraId="1CE5220B" w14:textId="74455335"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1D57B2CD" w14:textId="79DF2CF0" w:rsidR="00FF4BD9" w:rsidRPr="00EC3E91" w:rsidRDefault="00FF4BD9" w:rsidP="009549DD">
            <w:pPr>
              <w:rPr>
                <w:rFonts w:cstheme="minorHAnsi"/>
                <w:sz w:val="20"/>
                <w:szCs w:val="20"/>
                <w:lang w:val="en-US"/>
              </w:rPr>
            </w:pPr>
            <w:r w:rsidRPr="00EC3E91">
              <w:rPr>
                <w:rFonts w:cstheme="minorHAnsi"/>
                <w:sz w:val="20"/>
                <w:szCs w:val="20"/>
                <w:lang w:val="en-US"/>
              </w:rPr>
              <w:t xml:space="preserve">Anticoagulation clinic </w:t>
            </w:r>
          </w:p>
        </w:tc>
        <w:tc>
          <w:tcPr>
            <w:tcW w:w="850" w:type="dxa"/>
          </w:tcPr>
          <w:p w14:paraId="48731BCB" w14:textId="641E6624" w:rsidR="00FF4BD9" w:rsidRPr="00EC3E91" w:rsidRDefault="00FF4BD9" w:rsidP="009549DD">
            <w:pPr>
              <w:rPr>
                <w:rFonts w:cstheme="minorHAnsi"/>
                <w:sz w:val="20"/>
                <w:szCs w:val="20"/>
                <w:lang w:val="en-US"/>
              </w:rPr>
            </w:pPr>
            <w:r w:rsidRPr="00EC3E91">
              <w:rPr>
                <w:rFonts w:cstheme="minorHAnsi"/>
                <w:sz w:val="20"/>
                <w:szCs w:val="20"/>
                <w:lang w:val="en-US"/>
              </w:rPr>
              <w:t>Mixed Pre-post</w:t>
            </w:r>
          </w:p>
        </w:tc>
        <w:tc>
          <w:tcPr>
            <w:tcW w:w="851" w:type="dxa"/>
          </w:tcPr>
          <w:p w14:paraId="02FE12DE" w14:textId="7BF3E7B0" w:rsidR="00FF4BD9" w:rsidRPr="00EC3E91" w:rsidRDefault="00FF4BD9" w:rsidP="009549DD">
            <w:pPr>
              <w:rPr>
                <w:rFonts w:cstheme="minorHAnsi"/>
                <w:sz w:val="20"/>
                <w:szCs w:val="20"/>
                <w:lang w:val="en-US"/>
              </w:rPr>
            </w:pPr>
            <w:r w:rsidRPr="00EC3E91">
              <w:rPr>
                <w:rFonts w:cstheme="minorHAnsi"/>
                <w:sz w:val="20"/>
                <w:szCs w:val="20"/>
                <w:lang w:val="en-US"/>
              </w:rPr>
              <w:t>Process evaluation</w:t>
            </w:r>
          </w:p>
        </w:tc>
        <w:tc>
          <w:tcPr>
            <w:tcW w:w="1134" w:type="dxa"/>
          </w:tcPr>
          <w:p w14:paraId="68267323" w14:textId="475BFE0B"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p>
        </w:tc>
        <w:tc>
          <w:tcPr>
            <w:tcW w:w="2126" w:type="dxa"/>
          </w:tcPr>
          <w:p w14:paraId="261BF12B" w14:textId="75F26BC0" w:rsidR="00FF4BD9" w:rsidRPr="00EC3E91" w:rsidRDefault="00746D40" w:rsidP="008776D7">
            <w:pPr>
              <w:rPr>
                <w:rFonts w:cstheme="minorHAnsi"/>
                <w:sz w:val="20"/>
                <w:szCs w:val="20"/>
                <w:lang w:val="en-US"/>
              </w:rPr>
            </w:pPr>
            <w:r w:rsidRPr="00EC3E91">
              <w:rPr>
                <w:rFonts w:cstheme="minorHAnsi"/>
                <w:sz w:val="20"/>
                <w:szCs w:val="20"/>
                <w:lang w:val="en-US"/>
              </w:rPr>
              <w:t>Inappropriate</w:t>
            </w:r>
            <w:r w:rsidR="00FF4BD9" w:rsidRPr="00EC3E91">
              <w:rPr>
                <w:rFonts w:cstheme="minorHAnsi"/>
                <w:sz w:val="20"/>
                <w:szCs w:val="20"/>
                <w:lang w:val="en-US"/>
              </w:rPr>
              <w:t xml:space="preserve"> INR laboratory tests</w:t>
            </w:r>
          </w:p>
        </w:tc>
        <w:tc>
          <w:tcPr>
            <w:tcW w:w="3969" w:type="dxa"/>
          </w:tcPr>
          <w:p w14:paraId="18FFB4DF" w14:textId="06F32457" w:rsidR="00FF4BD9" w:rsidRPr="00EC3E91" w:rsidRDefault="00FF4BD9" w:rsidP="00C86472">
            <w:pPr>
              <w:rPr>
                <w:rFonts w:cstheme="minorHAnsi"/>
                <w:sz w:val="20"/>
                <w:szCs w:val="20"/>
                <w:lang w:val="en-US"/>
              </w:rPr>
            </w:pPr>
            <w:r w:rsidRPr="00EC3E91">
              <w:rPr>
                <w:rFonts w:cstheme="minorHAnsi"/>
                <w:sz w:val="20"/>
                <w:szCs w:val="20"/>
                <w:lang w:val="en-US"/>
              </w:rPr>
              <w:t>Evidence-based management of anticoagulant therapy: Antithrombotic Therapy and Prevention of Thrombosis. By the American College of Chest Physicians Evidence-Based Clinical Practice Guidelines</w:t>
            </w:r>
          </w:p>
        </w:tc>
        <w:tc>
          <w:tcPr>
            <w:tcW w:w="2551" w:type="dxa"/>
          </w:tcPr>
          <w:p w14:paraId="24CA95F9" w14:textId="78AB4E87"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audit and provide feedback, make training dynamic.</w:t>
            </w:r>
          </w:p>
        </w:tc>
      </w:tr>
      <w:tr w:rsidR="00FF4BD9" w:rsidRPr="00E119DD" w14:paraId="0A38BCE9" w14:textId="77777777" w:rsidTr="00FF4BD9">
        <w:trPr>
          <w:tblHeader/>
        </w:trPr>
        <w:tc>
          <w:tcPr>
            <w:tcW w:w="709" w:type="dxa"/>
          </w:tcPr>
          <w:p w14:paraId="06F1D598" w14:textId="0B1C0375"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Stress ulcer prophylaxis (SUP) is inappropriately prescribed in more than 30% of non-intensive care unit (ICU) patients, leading to unnecessary adverse events as well as increases in economic burden. OBJECTIVE: There was an increasing trend in the prophylactic use of acid suppressive therapy (AST) in non-critically ill patients at our institution, which prompted this initiative aimed at reducing the inappropriate use of AST in non-ICU patients. METHODS: This was a retrospective interventional study that consisted of formulation of a guideline, education to the hospitalist service, and intervention by clinical pharmacists. All adult non-ICU patients admitted to the hospitalist service who were newly initiated on AST were considered for inclusion. The primary outcome was a comparison of the proportion of inpatient days with inappropriate AST. Secondary outcomes included a comparison of patients discharged on inappropriate AST and drug acquisition costs, successful pharmacy interventions, hospitalist interventions, incidence of Clostridium difficile infection (CDI) or gastrointestinal (GI) bleeding, and drug costs averted through pharmacy intervention. RESULTS: There were 61 patients in the historical group and 81 patients in the interventional group. This intervention resulted in a 31% absolute reduction in inappropriate patient days of AST and a 24% absolute reduction in patients discharged on inappropriate AST. There were 23 successful interventions. There were no cases of CDI and 1 GI bleed. This intervention resulted in an 87% reduction in drug acquisition costs per patient. CONCLUSIONS: A collaboration between clinical pharmacists and a hospitalist service can significantly reduce the inappropriate use of AST in non-ICU patients.","author":[{"dropping-particle":"","family":"Belfield","given":"K D","non-dropping-particle":"","parse-names":false,"suffix":""},{"dropping-particle":"","family":"Kuyumjian","given":"A G","non-dropping-particle":"","parse-names":false,"suffix":""},{"dropping-particle":"","family":"Teran","given":"R","non-dropping-particle":"","parse-names":false,"suffix":""},{"dropping-particle":"","family":"Amadi","given":"M","non-dropping-particle":"","parse-names":false,"suffix":""},{"dropping-particle":"","family":"Blatt","given":"M","non-dropping-particle":"","parse-names":false,"suffix":""},{"dropping-particle":"","family":"Bicking","given":"K","non-dropping-particle":"","parse-names":false,"suffix":""}],"container-title":"Annals of Pharmacotherapy","id":"ITEM-1","issue":"7","issued":{"date-parts":[["2017"]]},"page":"577-583","title":"Impact of A Collaborative Strategy to Reduce the Inappropriate Use of Acid Suppressive Therapy in Non-Intensive Care Unit Patients","type":"article-journal","volume":"51"},"uris":["http://www.mendeley.com/documents/?uuid=450d4f03-2399-485e-a7c2-bac6f376dd8c"]}],"mendeley":{"formattedCitation":"(114)","plainTextFormattedCitation":"(114)","previouslyFormattedCitation":"(114)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(114)</w:t>
            </w:r>
            <w:r w:rsidRPr="00EC3E91">
              <w:rPr>
                <w:rFonts w:cstheme="minorHAnsi"/>
                <w:sz w:val="20"/>
                <w:szCs w:val="20"/>
                <w:lang w:val="en-US"/>
              </w:rPr>
              <w:fldChar w:fldCharType="end"/>
            </w:r>
          </w:p>
        </w:tc>
        <w:tc>
          <w:tcPr>
            <w:tcW w:w="992" w:type="dxa"/>
          </w:tcPr>
          <w:p w14:paraId="069BE4C4" w14:textId="293504D9" w:rsidR="00FF4BD9" w:rsidRPr="00EC3E91" w:rsidRDefault="00FF4BD9" w:rsidP="00F26101">
            <w:pPr>
              <w:rPr>
                <w:rFonts w:cstheme="minorHAnsi"/>
                <w:sz w:val="20"/>
                <w:szCs w:val="20"/>
                <w:lang w:val="en-US"/>
              </w:rPr>
            </w:pPr>
            <w:r w:rsidRPr="00EC3E91">
              <w:rPr>
                <w:rFonts w:cstheme="minorHAnsi"/>
                <w:sz w:val="20"/>
                <w:szCs w:val="20"/>
                <w:lang w:val="en-US"/>
              </w:rPr>
              <w:t xml:space="preserve">US </w:t>
            </w:r>
          </w:p>
        </w:tc>
        <w:tc>
          <w:tcPr>
            <w:tcW w:w="993" w:type="dxa"/>
          </w:tcPr>
          <w:p w14:paraId="25A3DDB0" w14:textId="1FF13D76"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1A7C8268" w14:textId="1C4FEBA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5A37E9D" w14:textId="380DC92E"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5C3D14AA" w14:textId="7ADB66C5" w:rsidR="00FF4BD9" w:rsidRPr="00EC3E91" w:rsidRDefault="00FF4BD9" w:rsidP="009549DD">
            <w:pPr>
              <w:rPr>
                <w:rFonts w:cstheme="minorHAnsi"/>
                <w:sz w:val="20"/>
                <w:szCs w:val="20"/>
                <w:lang w:val="en-US"/>
              </w:rPr>
            </w:pPr>
            <w:r w:rsidRPr="00EC3E91">
              <w:rPr>
                <w:rFonts w:cstheme="minorHAnsi"/>
                <w:sz w:val="20"/>
                <w:szCs w:val="20"/>
                <w:lang w:val="en-US"/>
              </w:rPr>
              <w:t xml:space="preserve">Stress ulcer prophylaxis </w:t>
            </w:r>
          </w:p>
        </w:tc>
        <w:tc>
          <w:tcPr>
            <w:tcW w:w="2126" w:type="dxa"/>
          </w:tcPr>
          <w:p w14:paraId="2E4EB079" w14:textId="41CE841D" w:rsidR="00FF4BD9" w:rsidRPr="00EC3E91" w:rsidRDefault="00761C16" w:rsidP="009549DD">
            <w:pPr>
              <w:rPr>
                <w:rFonts w:cstheme="minorHAnsi"/>
                <w:sz w:val="20"/>
                <w:szCs w:val="20"/>
                <w:lang w:val="en-US"/>
              </w:rPr>
            </w:pPr>
            <w:r w:rsidRPr="00EC3E91">
              <w:rPr>
                <w:rFonts w:cstheme="minorHAnsi"/>
                <w:sz w:val="20"/>
                <w:szCs w:val="20"/>
                <w:lang w:val="en-US"/>
              </w:rPr>
              <w:t xml:space="preserve">Inappropriate </w:t>
            </w:r>
            <w:r w:rsidR="00796746" w:rsidRPr="00EC3E91">
              <w:rPr>
                <w:rFonts w:cstheme="minorHAnsi"/>
                <w:sz w:val="20"/>
                <w:szCs w:val="20"/>
                <w:lang w:val="en-US"/>
              </w:rPr>
              <w:t xml:space="preserve">use </w:t>
            </w:r>
            <w:r w:rsidR="00594F8A" w:rsidRPr="00EC3E91">
              <w:rPr>
                <w:rFonts w:cstheme="minorHAnsi"/>
                <w:sz w:val="20"/>
                <w:szCs w:val="20"/>
                <w:lang w:val="en-US"/>
              </w:rPr>
              <w:t>of Stress</w:t>
            </w:r>
            <w:r w:rsidR="00FF4BD9" w:rsidRPr="00EC3E91">
              <w:rPr>
                <w:rFonts w:cstheme="minorHAnsi"/>
                <w:sz w:val="20"/>
                <w:szCs w:val="20"/>
                <w:lang w:val="en-US"/>
              </w:rPr>
              <w:t xml:space="preserve"> ulcer prophylaxis</w:t>
            </w:r>
          </w:p>
        </w:tc>
        <w:tc>
          <w:tcPr>
            <w:tcW w:w="3969" w:type="dxa"/>
          </w:tcPr>
          <w:p w14:paraId="19706328" w14:textId="6B745FFF" w:rsidR="00FF4BD9" w:rsidRPr="00EC3E91" w:rsidRDefault="00FF4BD9" w:rsidP="00723418">
            <w:pPr>
              <w:rPr>
                <w:rFonts w:cstheme="minorHAnsi"/>
                <w:sz w:val="20"/>
                <w:szCs w:val="20"/>
                <w:lang w:val="en-US"/>
              </w:rPr>
            </w:pPr>
            <w:r w:rsidRPr="00EC3E91">
              <w:rPr>
                <w:rFonts w:cstheme="minorHAnsi"/>
                <w:sz w:val="20"/>
                <w:szCs w:val="20"/>
                <w:lang w:val="en-US"/>
              </w:rPr>
              <w:t xml:space="preserve">ACCF/ACG/AHA </w:t>
            </w:r>
            <w:r w:rsidR="00761C16" w:rsidRPr="00EC3E91">
              <w:rPr>
                <w:rFonts w:cstheme="minorHAnsi"/>
                <w:sz w:val="20"/>
                <w:szCs w:val="20"/>
                <w:lang w:val="en-US"/>
              </w:rPr>
              <w:t xml:space="preserve">2010 </w:t>
            </w:r>
            <w:r w:rsidR="00796746" w:rsidRPr="00EC3E91">
              <w:rPr>
                <w:rFonts w:cstheme="minorHAnsi"/>
                <w:sz w:val="20"/>
                <w:szCs w:val="20"/>
                <w:lang w:val="en-US"/>
              </w:rPr>
              <w:t xml:space="preserve">expert </w:t>
            </w:r>
            <w:r w:rsidR="00594F8A" w:rsidRPr="00EC3E91">
              <w:rPr>
                <w:rFonts w:cstheme="minorHAnsi"/>
                <w:sz w:val="20"/>
                <w:szCs w:val="20"/>
                <w:lang w:val="en-US"/>
              </w:rPr>
              <w:t xml:space="preserve">consensus </w:t>
            </w:r>
            <w:r w:rsidR="001026C6" w:rsidRPr="00EC3E91">
              <w:rPr>
                <w:rFonts w:cstheme="minorHAnsi"/>
                <w:sz w:val="20"/>
                <w:szCs w:val="20"/>
                <w:lang w:val="en-US"/>
              </w:rPr>
              <w:t xml:space="preserve">document </w:t>
            </w:r>
            <w:r w:rsidR="009C6C1F" w:rsidRPr="00EC3E91">
              <w:rPr>
                <w:rFonts w:cstheme="minorHAnsi"/>
                <w:sz w:val="20"/>
                <w:szCs w:val="20"/>
                <w:lang w:val="en-US"/>
              </w:rPr>
              <w:t>on the concomitant use</w:t>
            </w:r>
            <w:r w:rsidRPr="00EC3E91">
              <w:rPr>
                <w:rFonts w:cstheme="minorHAnsi"/>
                <w:sz w:val="20"/>
                <w:szCs w:val="20"/>
                <w:lang w:val="en-US"/>
              </w:rPr>
              <w:t xml:space="preserve"> of proton pump inhibitors and thienopyridines. </w:t>
            </w:r>
          </w:p>
          <w:p w14:paraId="0798AFFB" w14:textId="77777777" w:rsidR="00FF4BD9" w:rsidRPr="00EC3E91" w:rsidRDefault="00FF4BD9" w:rsidP="00723418">
            <w:pPr>
              <w:rPr>
                <w:rFonts w:cstheme="minorHAnsi"/>
                <w:sz w:val="20"/>
                <w:szCs w:val="20"/>
                <w:lang w:val="en-US"/>
              </w:rPr>
            </w:pPr>
          </w:p>
          <w:p w14:paraId="1BD4EF52" w14:textId="4BFFC88B" w:rsidR="00FF4BD9" w:rsidRPr="00EC3E91" w:rsidRDefault="00FF4BD9" w:rsidP="00C86472">
            <w:pPr>
              <w:rPr>
                <w:rFonts w:cstheme="minorHAnsi"/>
                <w:sz w:val="20"/>
                <w:szCs w:val="20"/>
                <w:lang w:val="en-US"/>
              </w:rPr>
            </w:pPr>
            <w:r w:rsidRPr="00EC3E91">
              <w:rPr>
                <w:rFonts w:cstheme="minorHAnsi"/>
                <w:sz w:val="20"/>
                <w:szCs w:val="20"/>
                <w:lang w:val="en-US"/>
              </w:rPr>
              <w:t>Guidelines for prevention of NSAID-related ulcer complications.  From the American Journal of Gastroenterology.</w:t>
            </w:r>
          </w:p>
        </w:tc>
        <w:tc>
          <w:tcPr>
            <w:tcW w:w="2551" w:type="dxa"/>
          </w:tcPr>
          <w:p w14:paraId="52EDDCB4" w14:textId="4B5EA3C5"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make training dynamic, develop and organize quality monitoring systems,</w:t>
            </w:r>
          </w:p>
        </w:tc>
      </w:tr>
      <w:tr w:rsidR="00FF4BD9" w:rsidRPr="00E119DD" w14:paraId="643EF3D8" w14:textId="77777777" w:rsidTr="00FF4BD9">
        <w:trPr>
          <w:tblHeader/>
        </w:trPr>
        <w:tc>
          <w:tcPr>
            <w:tcW w:w="709" w:type="dxa"/>
          </w:tcPr>
          <w:p w14:paraId="3DB3F01D" w14:textId="7D4A00AD"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{"citationItems":[{"id":"ITEM-1","itemData":{"DOI":"10.1111/imj.13401","ISSN":"14455994","abstract":"Community-acquired pneumonia (CAP) is the second commonest indication for antibiotic use in Australian hospitals and is therefore a frequent target for antimicrobial stewardship. A single-centre prospective study was conducted in a regional referral hospital comparing management of adult patients with CAP before and after an educational intervention. We demonstrated a reduction in duration of therapy and reduced inappropriate use of ceftriaxone-based regimens for non-severe CAP.","author":[{"dropping-particle":"","family":"Bond","given":"Stuart E.","non-dropping-particle":"","parse-names":false,"suffix":""},{"dropping-particle":"","family":"Boutlis","given":"Craig S.","non-dropping-particle":"","parse-names":false,"suffix":""},{"dropping-particle":"","family":"Yeo","given":"Wilfred W.","non-dropping-particle":"","parse-names":false,"suffix":""},{"dropping-particle":"","family":"Miyakis","given":"Spiros","non-dropping-particle":"","parse-names":false,"suffix":""}],"container-title":"Internal Medicine Journal","id":"ITEM-1","issue":"5","issued":{"date-parts":[["2017"]]},"title":"Impact of an antimicrobial stewardship intervention on appropriateness of prescribing for community-acquired pneumonia in an Australian regional hospital","type":"article-journal","volume":"47"},"uris":["http://www.mendeley.com/documents/?uuid=e2b20ca0-7969-3bca-b3a3-94b6550ca2ad"]}],"mendeley":{"formattedCitation":"(115)","plainTextFormattedCitation":"(115)","previouslyFormattedCitation":"(115)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(115)</w:t>
            </w:r>
            <w:r w:rsidRPr="00EC3E91">
              <w:rPr>
                <w:rFonts w:cstheme="minorHAnsi"/>
                <w:sz w:val="20"/>
                <w:szCs w:val="20"/>
                <w:lang w:val="en-US"/>
              </w:rPr>
              <w:fldChar w:fldCharType="end"/>
            </w:r>
          </w:p>
        </w:tc>
        <w:tc>
          <w:tcPr>
            <w:tcW w:w="992" w:type="dxa"/>
          </w:tcPr>
          <w:p w14:paraId="3B0F6E97" w14:textId="6C41240D" w:rsidR="00FF4BD9" w:rsidRPr="00EC3E91" w:rsidRDefault="00FF4BD9" w:rsidP="009549DD">
            <w:pPr>
              <w:rPr>
                <w:rFonts w:cstheme="minorHAnsi"/>
                <w:sz w:val="20"/>
                <w:szCs w:val="20"/>
                <w:lang w:val="en-US"/>
              </w:rPr>
            </w:pPr>
            <w:r w:rsidRPr="00EC3E91">
              <w:rPr>
                <w:rFonts w:cstheme="minorHAnsi"/>
                <w:sz w:val="20"/>
                <w:szCs w:val="20"/>
                <w:lang w:val="en-US"/>
              </w:rPr>
              <w:t xml:space="preserve">Australia </w:t>
            </w:r>
          </w:p>
        </w:tc>
        <w:tc>
          <w:tcPr>
            <w:tcW w:w="993" w:type="dxa"/>
          </w:tcPr>
          <w:p w14:paraId="5A125977" w14:textId="7C59C5AD"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0CFF166E" w14:textId="409D9C9B"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310C3887" w14:textId="4BC7476F"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3CE16038" w14:textId="439E1232"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2D3521A2" w14:textId="35322273"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for non-severe CAP patients </w:t>
            </w:r>
          </w:p>
        </w:tc>
        <w:tc>
          <w:tcPr>
            <w:tcW w:w="3969" w:type="dxa"/>
          </w:tcPr>
          <w:p w14:paraId="6A57FCCB" w14:textId="5D1CF6FD" w:rsidR="00FF4BD9" w:rsidRPr="00EC3E91" w:rsidRDefault="00FF4BD9" w:rsidP="00723418">
            <w:pPr>
              <w:rPr>
                <w:rFonts w:cstheme="minorHAnsi"/>
                <w:sz w:val="20"/>
                <w:szCs w:val="20"/>
                <w:lang w:val="en-US"/>
              </w:rPr>
            </w:pPr>
            <w:r w:rsidRPr="00EC3E91">
              <w:rPr>
                <w:rFonts w:cstheme="minorHAnsi"/>
                <w:sz w:val="20"/>
                <w:szCs w:val="20"/>
                <w:lang w:val="en-US"/>
              </w:rPr>
              <w:t xml:space="preserve">Therapeutic Guidelines: Antibiotic. Therapeutic Guidelines Limited. </w:t>
            </w:r>
          </w:p>
        </w:tc>
        <w:tc>
          <w:tcPr>
            <w:tcW w:w="2551" w:type="dxa"/>
          </w:tcPr>
          <w:p w14:paraId="4C89F9BF" w14:textId="5EF08A0D" w:rsidR="00FF4BD9" w:rsidRPr="00EC3E91" w:rsidRDefault="00FF4BD9" w:rsidP="009549DD">
            <w:pPr>
              <w:rPr>
                <w:rFonts w:cstheme="minorHAnsi"/>
                <w:sz w:val="20"/>
                <w:szCs w:val="20"/>
                <w:lang w:val="en-US"/>
              </w:rPr>
            </w:pPr>
            <w:r w:rsidRPr="00EC3E91">
              <w:rPr>
                <w:rFonts w:cstheme="minorHAnsi"/>
                <w:sz w:val="20"/>
                <w:szCs w:val="20"/>
                <w:lang w:val="en-US"/>
              </w:rPr>
              <w:t>make training dynamic audit and provide feedback</w:t>
            </w:r>
          </w:p>
        </w:tc>
      </w:tr>
      <w:tr w:rsidR="00FF4BD9" w:rsidRPr="00E119DD" w14:paraId="2BDBA7E7" w14:textId="77777777" w:rsidTr="00FF4BD9">
        <w:trPr>
          <w:tblHeader/>
        </w:trPr>
        <w:tc>
          <w:tcPr>
            <w:tcW w:w="709" w:type="dxa"/>
          </w:tcPr>
          <w:p w14:paraId="5E1D8F0B" w14:textId="5BFDF44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{"citationItems":[{"id":"ITEM-1","itemData":{"ISSN":"1069-6563","abstract":"Objective: The objective was to evaluate the impact of evidence-based clinical decision support tools integrated directly into provider workflow in the electronic health record on utilization of computed tomography (CT) brain, C-spine, and pulmonary embolism (PE). Methods: Validated, well-accepted scoring tools for head injury, C-spine injury, and PE were embedded into the electronic health record in a manner minimally disruptive to provider workflow. This was a longitudinal, before/after study in five emergency departments (EDs) in a healthcare system with a common electronic health record. Attending ED physicians practicing during the entire study period were included. The main outcome measure was proportion of CTs ordered by provider (total number of CT scans of a given type divided by total patients seen by that provider) in aggregate in the pre- and post intervention period. Results: There were 235,858 total patient visits analyzed in this study with an absolute decrease of 6,106 CT scan ordering for the three studies. Across all sites, there was greater than 6% decrease in utilization of CT brain and CT C-spine (–10%, 95% CI = –13% to –7%, p &lt; 0.001; and –6%, 95% CI =–11% to –1%, p = 0.03, respectively). The use of CT PE also decreased but was not significant (–2%, 95% CI = –9% to +5%, p = 0.42). For all CT types, high utilizers in the pre-intervention period decreased usage over 14% in the post-intervention period with CT brain (–18%, 95% CI = –22% to –15%, p &lt; 0.001), CT C-spine (–14%, 95% CI = –20% to –8%, p = 0.001), and CT PE (–23%, 95% CI = –31% to –14%, p &lt; 0.001). For all three studies, the average utilizers did not change their usage practices. For CT brain, the low utilizers also did not increase usage but for CT C-spine and CT PE usage was increased (+29%, 95% CI = 10% to 52%, p = 0.003; and +46%, 95% CI = 26% to 70%, p &lt; 0.001, respectively). Conclusion: Embedded clinical decision support is associated with decreased overall utilization of high-cost imaging, especially among higher utilizers. It also affected low utilizers, increasing their usage consistent with improved adherence to guidelines, but this effect did not offset the overall decreased utilization for CT brain or CT C-spine. Thus, integrating clinical decision support into the provider workflow promotes usage of validated tools across providers, which can standardize the delivery of care and improve compliance with evidence-based guidelines.","author":[{"dropping-particle":"","family":"Bookman","given":"K","non-dropping-particle":"","parse-names":false,"suffix":""},{"dropping-particle":"","family":"West","given":"D","non-dropping-particle":"","parse-names":false,"suffix":""},{"dropping-particle":"","family":"Ginde","given":"A","non-dropping-particle":"","parse-names":false,"suffix":""},{"dropping-particle":"","family":"Wiler","given":"J","non-dropping-particle":"","parse-names":false,"suffix":""},{"dropping-particle":"","family":"McIntyre","given":"R","non-dropping-particle":"","parse-names":false,"suffix":""},{"dropping-particle":"","family":"Hammes","given":"A","non-dropping-particle":"","parse-names":false,"suffix":""},{"dropping-particle":"","family":"Carlson","given":"N","non-dropping-particle":"","parse-names":false,"suffix":""},{"dropping-particle":"","family":"Steinbruner","given":"D","non-dropping-particle":"","parse-names":false,"suffix":""},{"dropping-particle":"","family":"Solley","given":"M","non-dropping-particle":"","parse-names":false,"suffix":""},{"dropping-particle":"","family":"Zane","given":"R","non-dropping-particle":"","parse-names":false,"suffix":""}],"container-title":"Academic Emergency Medicine","id":"ITEM-1","issue":"7","issued":{"date-parts":[["2017"]]},"page":"839-845","title":"Embedded Clinical Decision Support in Electronic Health Record Decreases Use of High-cost Imaging in the Emergency Department: EmbED study","type":"article-journal","volume":"24"},"uris":["http://www.mendeley.com/documents/?uuid=fc2ac6d8-34ca-4a8a-9b8d-9e6fde680a45"]}],"mendeley":{"formattedCitation":"(116)","plainTextFormattedCitation":"(116)","previouslyFormattedCitation":"(116)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(116)</w:t>
            </w:r>
            <w:r w:rsidRPr="00EC3E91">
              <w:rPr>
                <w:rFonts w:cstheme="minorHAnsi"/>
                <w:sz w:val="20"/>
                <w:szCs w:val="20"/>
                <w:lang w:val="en-US"/>
              </w:rPr>
              <w:fldChar w:fldCharType="end"/>
            </w:r>
          </w:p>
        </w:tc>
        <w:tc>
          <w:tcPr>
            <w:tcW w:w="992" w:type="dxa"/>
          </w:tcPr>
          <w:p w14:paraId="2F057037" w14:textId="7177FF9F"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7EAEB1F0" w14:textId="463B83AB"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0EED3ABA" w14:textId="64EC99C3"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3DF2B2D5" w14:textId="5E71DBAD"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22C3773D" w14:textId="4FAE8532"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3FC21B2E" w14:textId="4B18D02F" w:rsidR="00FF4BD9" w:rsidRPr="00EC3E91" w:rsidRDefault="00FF4BD9" w:rsidP="009549DD">
            <w:pPr>
              <w:rPr>
                <w:rFonts w:cstheme="minorHAnsi"/>
                <w:sz w:val="20"/>
                <w:szCs w:val="20"/>
                <w:lang w:val="en-US"/>
              </w:rPr>
            </w:pPr>
            <w:r w:rsidRPr="00EC3E91">
              <w:rPr>
                <w:rFonts w:cstheme="minorHAnsi"/>
                <w:sz w:val="20"/>
                <w:szCs w:val="20"/>
                <w:lang w:val="en-US"/>
              </w:rPr>
              <w:t xml:space="preserve">Over-utilized, </w:t>
            </w:r>
            <w:r w:rsidR="00761C16" w:rsidRPr="00EC3E91">
              <w:rPr>
                <w:rFonts w:cstheme="minorHAnsi"/>
                <w:sz w:val="20"/>
                <w:szCs w:val="20"/>
                <w:lang w:val="en-US"/>
              </w:rPr>
              <w:t>high-cost</w:t>
            </w:r>
            <w:r w:rsidRPr="00EC3E91">
              <w:rPr>
                <w:rFonts w:cstheme="minorHAnsi"/>
                <w:sz w:val="20"/>
                <w:szCs w:val="20"/>
                <w:lang w:val="en-US"/>
              </w:rPr>
              <w:t xml:space="preserve"> imaging studies (CT brain, CT c-spine and CT pulmonary embolism [PE])</w:t>
            </w:r>
          </w:p>
        </w:tc>
        <w:tc>
          <w:tcPr>
            <w:tcW w:w="3969" w:type="dxa"/>
          </w:tcPr>
          <w:p w14:paraId="14997A26" w14:textId="3B3C2B0A" w:rsidR="00FF4BD9" w:rsidRPr="00EC3E91" w:rsidRDefault="00FF4BD9" w:rsidP="009549DD">
            <w:pPr>
              <w:rPr>
                <w:rFonts w:cstheme="minorHAnsi"/>
                <w:sz w:val="20"/>
                <w:szCs w:val="20"/>
                <w:lang w:val="en-US"/>
              </w:rPr>
            </w:pPr>
            <w:r w:rsidRPr="00EC3E91">
              <w:rPr>
                <w:rFonts w:cstheme="minorHAnsi"/>
                <w:sz w:val="20"/>
                <w:szCs w:val="20"/>
                <w:lang w:val="en-US"/>
              </w:rPr>
              <w:t>the Canadian Head Injury rules, the National Emergency X-Radiography Utilization Study (NEXUS) c-spine rules, the Pulmonary Embolism Rule-out Criteria (PERC) and Wells scores.</w:t>
            </w:r>
          </w:p>
        </w:tc>
        <w:tc>
          <w:tcPr>
            <w:tcW w:w="2551" w:type="dxa"/>
          </w:tcPr>
          <w:p w14:paraId="5EEFAD63" w14:textId="5B86DB1D" w:rsidR="00FF4BD9" w:rsidRPr="00EC3E91" w:rsidRDefault="00FF4BD9" w:rsidP="009549DD">
            <w:pPr>
              <w:rPr>
                <w:rFonts w:cstheme="minorHAnsi"/>
                <w:sz w:val="20"/>
                <w:szCs w:val="20"/>
                <w:lang w:val="en-US"/>
              </w:rPr>
            </w:pPr>
            <w:r w:rsidRPr="00EC3E91">
              <w:rPr>
                <w:rFonts w:cstheme="minorHAnsi"/>
                <w:sz w:val="20"/>
                <w:szCs w:val="20"/>
                <w:lang w:val="en-US"/>
              </w:rPr>
              <w:t>[ACCOUNTABILITY TOOL</w:t>
            </w:r>
            <w:r w:rsidR="00761C16" w:rsidRPr="00EC3E91">
              <w:rPr>
                <w:rFonts w:cstheme="minorHAnsi"/>
                <w:sz w:val="20"/>
                <w:szCs w:val="20"/>
                <w:lang w:val="en-US"/>
              </w:rPr>
              <w:t>], change</w:t>
            </w:r>
            <w:r w:rsidRPr="00EC3E91">
              <w:rPr>
                <w:rFonts w:cstheme="minorHAnsi"/>
                <w:sz w:val="20"/>
                <w:szCs w:val="20"/>
                <w:lang w:val="en-US"/>
              </w:rPr>
              <w:t xml:space="preserve"> physical structure and equipment,</w:t>
            </w:r>
          </w:p>
        </w:tc>
      </w:tr>
      <w:tr w:rsidR="00FF4BD9" w:rsidRPr="00E119DD" w14:paraId="55E3C0B0" w14:textId="77777777" w:rsidTr="00FF4BD9">
        <w:trPr>
          <w:tblHeader/>
        </w:trPr>
        <w:tc>
          <w:tcPr>
            <w:tcW w:w="709" w:type="dxa"/>
          </w:tcPr>
          <w:p w14:paraId="24C502D7" w14:textId="34E5F274"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{"citationItems":[{"id":"ITEM-1","itemData":{"ISSN":"0002-8614","abstract":"OBJECTIVES: To compare 24-month outcomes of participants of a prospective randomized controlled trial (RCT) assigned to undergo a medication intervention of orally communicated recommendations based on Screening Tool of Older Persons potentially inappropriate Prescriptions (STOPP) and Screening Tool to Alert Doctors to Right Treatment (START) (intervention group) with outcomes of those assigned to undergo written medication review (control group). DESIGN: Retrospective cohort study. SETTING: Chronic care geriatric facility. PARTICIPANTS: Of 359 participants from a prospective RCT conducted between April 2012 and September 2013, 306 were evaluable for another 12-month follow-up. MEASUREMENTS: Outcomes at 24-month follow-up included quality of prescribing (assessed according to STOPP/START), hospitalizations, falls, costs of medications, and all-cause mortality. Outcomes were compared with those reported at the beginning (baseline) and end (12-month follow-up) of the RCT. RESULTS: There was a significant rise in potentially inappropriate prescriptions (PIPs) (P = .01) and potentially prescriptions omissions (PPOs) (P &lt; .001) in the intervention group between 12 and 24 months, although the prevalence of PIPs was significantly lower in the intervention group (33.3%) than the control group (48.4%) at 24-month follow-up (P = .02). Costs of medications were significantly lower in the intervention group than the control group (P &lt; .001) at 24-month follow-up. The average number of falls in both groups dropped significantly between baseline and study closure (P = .04 and P = .008, respectively). There was no significant difference in hospitalizations and mortality between the two groups at 24-month follow-up. CONCLUSION: The effect of an orally communicated medication intervention with the STOPP/START criteria on falls was maintained over time. Direct communication between pharmacists and prescribing physicians is more efficient than written medication review and is recommended every 6 months in geriatric facilities.","author":[{"dropping-particle":"","family":"Frankenthal","given":"D","non-dropping-particle":"","parse-names":false,"suffix":""},{"dropping-particle":"","family":"Israeli","given":"A","non-dropping-particle":"","parse-names":false,"suffix":""},{"dropping-particle":"","family":"Caraco","given":"Y","non-dropping-particle":"","parse-names":false,"suffix":""},{"dropping-particle":"","family":"Lerman","given":"Y","non-dropping-particle":"","parse-names":false,"suffix":""},{"dropping-particle":"","family":"Kalendaryev","given":"E","non-dropping-particle":"","parse-names":false,"suffix":""},{"dropping-particle":"","family":"Z","given":"","non-dropping-particle":"","parse-names":false,"suffix":""},{"dropping-particle":"","family":"Man-Goddard","given":"G","non-dropping-particle":"","parse-names":false,"suffix":""},{"dropping-particle":"","family":"Lerman","given":"Y","non-dropping-particle":"","parse-names":false,"suffix":""}],"container-title":"Journal of the American Geriatrics Society","id":"ITEM-1","issue":"2","issued":{"date-parts":[["2017"]]},"page":"e33-e38","title":"Long-Term Outcomes of Medication Intervention Using the Screening Tool of Older Persons Potentially Inappropriate Prescriptions Screening Tool to Alert Doctors to Right Treatment Criteria","type":"article-journal","volume":"65"},"uris":["http://www.mendeley.com/documents/?uuid=3c0260c2-befe-46fc-a2d1-b3fea4ee5c48"]}],"mendeley":{"formattedCitation":"(117)","plainTextFormattedCitation":"(117)","previouslyFormattedCitation":"(117)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(117)</w:t>
            </w:r>
            <w:r w:rsidRPr="00EC3E91">
              <w:rPr>
                <w:rFonts w:cstheme="minorHAnsi"/>
                <w:sz w:val="20"/>
                <w:szCs w:val="20"/>
                <w:lang w:val="en-US"/>
              </w:rPr>
              <w:fldChar w:fldCharType="end"/>
            </w:r>
          </w:p>
        </w:tc>
        <w:tc>
          <w:tcPr>
            <w:tcW w:w="992" w:type="dxa"/>
          </w:tcPr>
          <w:p w14:paraId="350AB53E" w14:textId="26A1DD97" w:rsidR="00FF4BD9" w:rsidRPr="00EC3E91" w:rsidRDefault="00FF4BD9" w:rsidP="009549DD">
            <w:pPr>
              <w:rPr>
                <w:rFonts w:cstheme="minorHAnsi"/>
                <w:sz w:val="20"/>
                <w:szCs w:val="20"/>
                <w:lang w:val="en-US"/>
              </w:rPr>
            </w:pPr>
            <w:r w:rsidRPr="00EC3E91">
              <w:rPr>
                <w:rFonts w:cstheme="minorHAnsi"/>
                <w:sz w:val="20"/>
                <w:szCs w:val="20"/>
                <w:lang w:val="en-US"/>
              </w:rPr>
              <w:t xml:space="preserve">Israel </w:t>
            </w:r>
          </w:p>
        </w:tc>
        <w:tc>
          <w:tcPr>
            <w:tcW w:w="993" w:type="dxa"/>
          </w:tcPr>
          <w:p w14:paraId="76D7DBC5" w14:textId="1967DA4A" w:rsidR="00FF4BD9" w:rsidRPr="00EC3E91" w:rsidRDefault="00FF4BD9" w:rsidP="009549DD">
            <w:pPr>
              <w:rPr>
                <w:rFonts w:cstheme="minorHAnsi"/>
                <w:sz w:val="20"/>
                <w:szCs w:val="20"/>
                <w:lang w:val="en-US"/>
              </w:rPr>
            </w:pPr>
            <w:r w:rsidRPr="00EC3E91">
              <w:rPr>
                <w:rFonts w:cstheme="minorHAnsi"/>
                <w:sz w:val="20"/>
                <w:szCs w:val="20"/>
                <w:lang w:val="en-US"/>
              </w:rPr>
              <w:t>Aged Care</w:t>
            </w:r>
          </w:p>
        </w:tc>
        <w:tc>
          <w:tcPr>
            <w:tcW w:w="850" w:type="dxa"/>
          </w:tcPr>
          <w:p w14:paraId="52170303" w14:textId="5BE8B832" w:rsidR="00FF4BD9" w:rsidRPr="00EC3E91" w:rsidRDefault="00FF4BD9" w:rsidP="009549DD">
            <w:pPr>
              <w:rPr>
                <w:rFonts w:cstheme="minorHAnsi"/>
                <w:sz w:val="20"/>
                <w:szCs w:val="20"/>
                <w:lang w:val="en-US"/>
              </w:rPr>
            </w:pPr>
            <w:r w:rsidRPr="00EC3E91">
              <w:rPr>
                <w:rFonts w:cstheme="minorHAnsi"/>
                <w:sz w:val="20"/>
                <w:szCs w:val="20"/>
                <w:lang w:val="en-US"/>
              </w:rPr>
              <w:t>Quant Retrospective study of RCT</w:t>
            </w:r>
          </w:p>
        </w:tc>
        <w:tc>
          <w:tcPr>
            <w:tcW w:w="851" w:type="dxa"/>
          </w:tcPr>
          <w:p w14:paraId="57DB5A0A" w14:textId="30A6B8D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151A0435" w14:textId="4C7A3EFD" w:rsidR="00FF4BD9" w:rsidRPr="00EC3E91" w:rsidRDefault="00FF4BD9" w:rsidP="009549DD">
            <w:pPr>
              <w:rPr>
                <w:rFonts w:cstheme="minorHAnsi"/>
                <w:sz w:val="20"/>
                <w:szCs w:val="20"/>
                <w:lang w:val="en-US"/>
              </w:rPr>
            </w:pPr>
            <w:r w:rsidRPr="00EC3E91">
              <w:rPr>
                <w:rFonts w:cstheme="minorHAnsi"/>
                <w:sz w:val="20"/>
                <w:szCs w:val="20"/>
                <w:lang w:val="en-US"/>
              </w:rPr>
              <w:t xml:space="preserve">PIM Elderly </w:t>
            </w:r>
          </w:p>
        </w:tc>
        <w:tc>
          <w:tcPr>
            <w:tcW w:w="2126" w:type="dxa"/>
          </w:tcPr>
          <w:p w14:paraId="22201F2D" w14:textId="14F40BA7" w:rsidR="00FF4BD9" w:rsidRPr="00EC3E91" w:rsidRDefault="00FF4BD9" w:rsidP="009549DD">
            <w:pPr>
              <w:rPr>
                <w:rFonts w:cstheme="minorHAnsi"/>
                <w:sz w:val="20"/>
                <w:szCs w:val="20"/>
                <w:lang w:val="en-US"/>
              </w:rPr>
            </w:pPr>
            <w:r w:rsidRPr="00EC3E91">
              <w:rPr>
                <w:rFonts w:cstheme="minorHAnsi"/>
                <w:sz w:val="20"/>
                <w:szCs w:val="20"/>
                <w:lang w:val="en-US"/>
              </w:rPr>
              <w:t xml:space="preserve">Potentially inappropriate medications </w:t>
            </w:r>
          </w:p>
        </w:tc>
        <w:tc>
          <w:tcPr>
            <w:tcW w:w="3969" w:type="dxa"/>
          </w:tcPr>
          <w:p w14:paraId="4558C47C" w14:textId="62EEBD7E" w:rsidR="00FF4BD9" w:rsidRPr="00EC3E91" w:rsidRDefault="00FF4BD9" w:rsidP="00C86472">
            <w:pPr>
              <w:rPr>
                <w:rFonts w:cstheme="minorHAnsi"/>
                <w:sz w:val="20"/>
                <w:szCs w:val="20"/>
                <w:lang w:val="en-US"/>
              </w:rPr>
            </w:pPr>
            <w:r w:rsidRPr="00EC3E91">
              <w:rPr>
                <w:rFonts w:cstheme="minorHAnsi"/>
                <w:sz w:val="20"/>
                <w:szCs w:val="20"/>
                <w:lang w:val="en-US"/>
              </w:rPr>
              <w:t xml:space="preserve">STOPP (Screening Tool of Older Per-son’s Prescriptions) and START (Screening Tool to Alert Doctors to Right Treatment). </w:t>
            </w:r>
          </w:p>
        </w:tc>
        <w:tc>
          <w:tcPr>
            <w:tcW w:w="2551" w:type="dxa"/>
          </w:tcPr>
          <w:p w14:paraId="7976994B" w14:textId="406A5523" w:rsidR="00FF4BD9" w:rsidRPr="00EC3E91" w:rsidRDefault="00FF4BD9" w:rsidP="009549DD">
            <w:pPr>
              <w:rPr>
                <w:rFonts w:cstheme="minorHAnsi"/>
                <w:sz w:val="20"/>
                <w:szCs w:val="20"/>
                <w:lang w:val="en-US"/>
              </w:rPr>
            </w:pPr>
            <w:r w:rsidRPr="00EC3E91">
              <w:rPr>
                <w:rFonts w:cstheme="minorHAnsi"/>
                <w:sz w:val="20"/>
                <w:szCs w:val="20"/>
                <w:lang w:val="en-US"/>
              </w:rPr>
              <w:t>develop and organize quality monitoring systems</w:t>
            </w:r>
          </w:p>
        </w:tc>
      </w:tr>
      <w:tr w:rsidR="00FF4BD9" w:rsidRPr="00E119DD" w14:paraId="04E697E9" w14:textId="77777777" w:rsidTr="00FF4BD9">
        <w:trPr>
          <w:tblHeader/>
        </w:trPr>
        <w:tc>
          <w:tcPr>
            <w:tcW w:w="709" w:type="dxa"/>
          </w:tcPr>
          <w:p w14:paraId="1D641640" w14:textId="44A5E23C"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{"citationItems":[{"id":"ITEM-1","itemData":{"ISSN":"0952-6862","abstract":"Purpose The purpose of this paper is to establish the effect of incorporating Centor scoring into antibiotic prescribing in primary care in London, UK, before and after the introduction of an educational package and prescribing software tool. Design/methodology/approach A quality improvement project with analysis of all sore throat presentations in patients aged 3-14 years, in two phases. Phase 1 (retrospective): 1 January-31 December 2013, followed by an intervention (software tool/education package) and Phase 2 (prospective): 1 March 2014-28 February 2015. Findings In the initial analysis, 162 out of 202 (80.2 per cent) patients were prescribed antibiotics. Following the educational/software intervention, 191 out of 231 (82.7 per cent) patients were prescribed antibiotics ( p=0.56, chi2 test). The mean Centor score decreased significantly following the education/software intervention (3.1 vs 2.7, p2 test). In all, 100 per cent of patients with tonsillar exudate were prescribed antibiotics in both phases. The apparent order of importance for predictive signs/symptoms given by the prescribers in both phases of the study was tonsillar exudate&gt;lymphadenopathy&gt;fever&gt;absence of cough. Originality/value This is the first time a differential importance given by practitioners on individual Centor criteria has been described. With a low probability of bacterial infection, children with exudate or anterior lymphadenopathy almost always received antibiotics. This is interesting, since studies have previously found that the presence of tonsillar exudate had no significant association with culture-confirmed streptococcal tonsillitis.","author":[{"dropping-particle":"","family":"Freer","given":"J","non-dropping-particle":"","parse-names":false,"suffix":""},{"dropping-particle":"","family":"Ally","given":"T","non-dropping-particle":"","parse-names":false,"suffix":""},{"dropping-particle":"","family":"Brugha","given":"R","non-dropping-particle":"","parse-names":false,"suffix":""}],"container-title":"International Journal of Health Care Quality Assurance","id":"ITEM-1","issue":"4","issued":{"date-parts":[["2016"]]},"page":"319-326","title":"Impact of Centor scores on determining antibiotic prescribing in children","type":"article-journal","volume":"30"},"uris":["http://www.mendeley.com/documents/?uuid=5bc4084a-0ccb-466b-b41b-0b6d5597f68a"]}],"mendeley":{"formattedCitation":"(118)","plainTextFormattedCitation":"(118)","previouslyFormattedCitation":"(118)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(118)</w:t>
            </w:r>
            <w:r w:rsidRPr="00EC3E91">
              <w:rPr>
                <w:rFonts w:cstheme="minorHAnsi"/>
                <w:sz w:val="20"/>
                <w:szCs w:val="20"/>
                <w:lang w:val="en-US"/>
              </w:rPr>
              <w:fldChar w:fldCharType="end"/>
            </w:r>
          </w:p>
        </w:tc>
        <w:tc>
          <w:tcPr>
            <w:tcW w:w="992" w:type="dxa"/>
          </w:tcPr>
          <w:p w14:paraId="23B667D3" w14:textId="3007D98F" w:rsidR="00FF4BD9" w:rsidRPr="00EC3E91" w:rsidRDefault="00FF4BD9" w:rsidP="009549DD">
            <w:pPr>
              <w:rPr>
                <w:rFonts w:cstheme="minorHAnsi"/>
                <w:sz w:val="20"/>
                <w:szCs w:val="20"/>
                <w:lang w:val="en-US"/>
              </w:rPr>
            </w:pPr>
            <w:r w:rsidRPr="00EC3E91">
              <w:rPr>
                <w:rFonts w:cstheme="minorHAnsi"/>
                <w:sz w:val="20"/>
                <w:szCs w:val="20"/>
                <w:lang w:val="en-US"/>
              </w:rPr>
              <w:t xml:space="preserve">England </w:t>
            </w:r>
          </w:p>
        </w:tc>
        <w:tc>
          <w:tcPr>
            <w:tcW w:w="993" w:type="dxa"/>
          </w:tcPr>
          <w:p w14:paraId="27B9C393" w14:textId="3DEC67B5"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1C90A18A" w14:textId="27332485"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7391FB61" w14:textId="09A369E8"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265A6AF" w14:textId="2F6CA42B"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50B85786" w14:textId="735C0836"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55DB2F58" w14:textId="1F899855" w:rsidR="00FF4BD9" w:rsidRPr="00EC3E91" w:rsidRDefault="00FF4BD9" w:rsidP="00336D50">
            <w:pPr>
              <w:rPr>
                <w:rFonts w:cstheme="minorHAnsi"/>
                <w:sz w:val="20"/>
                <w:szCs w:val="20"/>
                <w:lang w:val="en-US"/>
              </w:rPr>
            </w:pPr>
            <w:r w:rsidRPr="00EC3E91">
              <w:rPr>
                <w:rFonts w:cstheme="minorHAnsi"/>
                <w:sz w:val="20"/>
                <w:szCs w:val="20"/>
                <w:lang w:val="en-US"/>
              </w:rPr>
              <w:t>Prescribing of antibiotics for self-limiting respiratory tract infections in</w:t>
            </w:r>
          </w:p>
          <w:p w14:paraId="54B41FF4" w14:textId="4C0BE89A" w:rsidR="00FF4BD9" w:rsidRPr="00EC3E91" w:rsidRDefault="00FF4BD9" w:rsidP="00336D50">
            <w:pPr>
              <w:rPr>
                <w:rFonts w:cstheme="minorHAnsi"/>
                <w:sz w:val="20"/>
                <w:szCs w:val="20"/>
                <w:lang w:val="en-US"/>
              </w:rPr>
            </w:pPr>
            <w:r w:rsidRPr="00EC3E91">
              <w:rPr>
                <w:rFonts w:cstheme="minorHAnsi"/>
                <w:sz w:val="20"/>
                <w:szCs w:val="20"/>
                <w:lang w:val="en-US"/>
              </w:rPr>
              <w:t>adults and children in primary care, National Institute for Health and Care Excellence.</w:t>
            </w:r>
          </w:p>
          <w:p w14:paraId="1D3ABD71" w14:textId="77777777" w:rsidR="00FF4BD9" w:rsidRPr="00EC3E91" w:rsidRDefault="00FF4BD9" w:rsidP="00336D50">
            <w:pPr>
              <w:rPr>
                <w:rFonts w:cstheme="minorHAnsi"/>
                <w:sz w:val="20"/>
                <w:szCs w:val="20"/>
                <w:lang w:val="en-US"/>
              </w:rPr>
            </w:pPr>
          </w:p>
          <w:p w14:paraId="4B028240" w14:textId="70612684" w:rsidR="00FF4BD9" w:rsidRPr="00EC3E91" w:rsidRDefault="00FF4BD9" w:rsidP="00C86472">
            <w:pPr>
              <w:rPr>
                <w:rFonts w:cstheme="minorHAnsi"/>
                <w:sz w:val="20"/>
                <w:szCs w:val="20"/>
                <w:lang w:val="en-US"/>
              </w:rPr>
            </w:pPr>
            <w:r w:rsidRPr="00EC3E91">
              <w:rPr>
                <w:rFonts w:cstheme="minorHAnsi"/>
                <w:sz w:val="20"/>
                <w:szCs w:val="20"/>
                <w:lang w:val="en-US"/>
              </w:rPr>
              <w:t xml:space="preserve"> Management of sore throat and indications for tonsillectomy. By the Scottish International Guidelines Network. </w:t>
            </w:r>
          </w:p>
        </w:tc>
        <w:tc>
          <w:tcPr>
            <w:tcW w:w="2551" w:type="dxa"/>
          </w:tcPr>
          <w:p w14:paraId="3A4BB189" w14:textId="465FFB6F" w:rsidR="00FF4BD9" w:rsidRPr="00EC3E91" w:rsidRDefault="00FF4BD9" w:rsidP="009549DD">
            <w:pPr>
              <w:rPr>
                <w:rFonts w:cstheme="minorHAnsi"/>
                <w:sz w:val="20"/>
                <w:szCs w:val="20"/>
                <w:lang w:val="en-US"/>
              </w:rPr>
            </w:pPr>
            <w:r w:rsidRPr="00EC3E91">
              <w:rPr>
                <w:rFonts w:cstheme="minorHAnsi"/>
                <w:sz w:val="20"/>
                <w:szCs w:val="20"/>
                <w:lang w:val="en-US"/>
              </w:rPr>
              <w:t xml:space="preserve">remind clinicians, conduct cyclical small tests of </w:t>
            </w:r>
            <w:r w:rsidR="00761C16" w:rsidRPr="00EC3E91">
              <w:rPr>
                <w:rFonts w:cstheme="minorHAnsi"/>
                <w:sz w:val="20"/>
                <w:szCs w:val="20"/>
                <w:lang w:val="en-US"/>
              </w:rPr>
              <w:t>change, conduct</w:t>
            </w:r>
            <w:r w:rsidRPr="00EC3E91">
              <w:rPr>
                <w:rFonts w:cstheme="minorHAnsi"/>
                <w:sz w:val="20"/>
                <w:szCs w:val="20"/>
                <w:lang w:val="en-US"/>
              </w:rPr>
              <w:t xml:space="preserve"> local needs assessment</w:t>
            </w:r>
          </w:p>
        </w:tc>
      </w:tr>
      <w:tr w:rsidR="00FF4BD9" w:rsidRPr="00E119DD" w14:paraId="101F0DDB" w14:textId="77777777" w:rsidTr="00FF4BD9">
        <w:trPr>
          <w:tblHeader/>
        </w:trPr>
        <w:tc>
          <w:tcPr>
            <w:tcW w:w="709" w:type="dxa"/>
          </w:tcPr>
          <w:p w14:paraId="1D5E6F88" w14:textId="6753653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{"citationItems":[{"id":"ITEM-1","itemData":{"ISSN":"0266-4623","abstract":"OBJECTIVES: This study examines the cost-effectiveness of the OPTI-SCRIPT intervention on potentially inappropriate prescribing in primary care. METHODS: Economic evaluation, using incremental cost-effectiveness and cost utility analyses, conducted alongside a cluster randomized controlled trial of twenty-one general practices and 196 patients, to compare a multifaceted intervention with usual practice in primary care in Ireland. Potentially inappropriate prescriptions (PIPs) were determined by a pharmacist. Incremental costs, PIPs, and quality-adjusted life-years (QALYs) at 12-month follow-up were estimated using multilevel regression. Uncertainty was explored using cost-effectiveness acceptability curves. RESULTS: The intervention was associated with a nonsignificant mean cost increase of 407 (95 percent CIs, -357-1170), a significant mean reduction in PIPs of 0.379 (95 percent CI, 0.092-0.666), and a nonsignificant mean increase in QALYs of 0.013 (95 percent CIs, -0.016-0.042). The incremental cost per PIP avoided was 1,269 (95 percent CI, -1400-6302) and the incremental cost per QALY gained was 30,535 (95 percent CI, -334,846-289,498). The probability of the intervention being cost-effective was 0.602 at a threshold value of 45,000 per QALY gained and was at least 0.845 at threshold values of 2,500 per PIP avoided and higher. CONCLUSIONS: While the OPTI-SCRIPT intervention was effective in reducing potentially inappropriate prescribing in primary care in Ireland, our findings highlight the uncertainty with respect to its cost-effectiveness. Further studies are required to explore the health and economic implications of interventions targeting potentially inappropriate prescribing.","author":[{"dropping-particle":"","family":"Gillespie","given":"P","non-dropping-particle":"","parse-names":false,"suffix":""},{"dropping-particle":"","family":"Clyne","given":"B","non-dropping-particle":"","parse-names":false,"suffix":""},{"dropping-particle":"","family":"Raymakers","given":"A","non-dropping-particle":"","parse-names":false,"suffix":""},{"dropping-particle":"","family":"Fahey","given":"T","non-dropping-particle":"","parse-names":false,"suffix":""},{"dropping-particle":"","family":"Hughes","given":"C M","non-dropping-particle":"","parse-names":false,"suffix":""},{"dropping-particle":"","family":"Smith","given":"S M","non-dropping-particle":"","parse-names":false,"suffix":""}],"container-title":"International Journal of Technology Assessment in Health Care","id":"ITEM-1","issue":"4","issued":{"date-parts":[["2017"]]},"page":"494-503","title":"Reducing Potentially Inappropriate Prescribing for Older People in Primary Care: Cost-Effectiveness of the Opti-Script Intervention","type":"article-journal","volume":"33"},"uris":["http://www.mendeley.com/documents/?uuid=80a4fe2e-f53f-4892-8a6d-99e1c4839d9a"]}],"mendeley":{"formattedCitation":"(119)","plainTextFormattedCitation":"(119)","previouslyFormattedCitation":"(119)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(119)</w:t>
            </w:r>
            <w:r w:rsidRPr="00EC3E91">
              <w:rPr>
                <w:rFonts w:cstheme="minorHAnsi"/>
                <w:sz w:val="20"/>
                <w:szCs w:val="20"/>
                <w:lang w:val="en-US"/>
              </w:rPr>
              <w:fldChar w:fldCharType="end"/>
            </w:r>
          </w:p>
        </w:tc>
        <w:tc>
          <w:tcPr>
            <w:tcW w:w="992" w:type="dxa"/>
          </w:tcPr>
          <w:p w14:paraId="4AE97C7D" w14:textId="2D1961D4" w:rsidR="00FF4BD9" w:rsidRPr="00EC3E91" w:rsidRDefault="00FF4BD9" w:rsidP="009549DD">
            <w:pPr>
              <w:rPr>
                <w:rFonts w:cstheme="minorHAnsi"/>
                <w:sz w:val="20"/>
                <w:szCs w:val="20"/>
                <w:lang w:val="en-US"/>
              </w:rPr>
            </w:pPr>
            <w:r w:rsidRPr="00EC3E91">
              <w:rPr>
                <w:rFonts w:cstheme="minorHAnsi"/>
                <w:sz w:val="20"/>
                <w:szCs w:val="20"/>
                <w:lang w:val="en-US"/>
              </w:rPr>
              <w:t xml:space="preserve">Ireland </w:t>
            </w:r>
          </w:p>
        </w:tc>
        <w:tc>
          <w:tcPr>
            <w:tcW w:w="993" w:type="dxa"/>
          </w:tcPr>
          <w:p w14:paraId="7A599735" w14:textId="0374F56A"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5A0AB740" w14:textId="5DABBE17"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6824FAC6" w14:textId="2EE2C5DB" w:rsidR="00FF4BD9" w:rsidRPr="00EC3E91" w:rsidRDefault="00FF4BD9" w:rsidP="009549DD">
            <w:pPr>
              <w:rPr>
                <w:rFonts w:cstheme="minorHAnsi"/>
                <w:sz w:val="20"/>
                <w:szCs w:val="20"/>
                <w:lang w:val="en-US"/>
              </w:rPr>
            </w:pPr>
            <w:r w:rsidRPr="00EC3E91">
              <w:rPr>
                <w:rFonts w:cstheme="minorHAnsi"/>
                <w:sz w:val="20"/>
                <w:szCs w:val="20"/>
                <w:lang w:val="en-US"/>
              </w:rPr>
              <w:t xml:space="preserve">Cost Effectiveness </w:t>
            </w:r>
          </w:p>
        </w:tc>
        <w:tc>
          <w:tcPr>
            <w:tcW w:w="1134" w:type="dxa"/>
          </w:tcPr>
          <w:p w14:paraId="6DB566AD" w14:textId="03066050" w:rsidR="00FF4BD9" w:rsidRPr="00EC3E91" w:rsidRDefault="00FF4BD9" w:rsidP="009549DD">
            <w:pPr>
              <w:rPr>
                <w:rFonts w:cstheme="minorHAnsi"/>
                <w:sz w:val="20"/>
                <w:szCs w:val="20"/>
                <w:lang w:val="en-US"/>
              </w:rPr>
            </w:pPr>
            <w:r w:rsidRPr="00EC3E91">
              <w:rPr>
                <w:rFonts w:cstheme="minorHAnsi"/>
                <w:sz w:val="20"/>
                <w:szCs w:val="20"/>
                <w:lang w:val="en-US"/>
              </w:rPr>
              <w:t xml:space="preserve">PIM Elderly </w:t>
            </w:r>
          </w:p>
        </w:tc>
        <w:tc>
          <w:tcPr>
            <w:tcW w:w="2126" w:type="dxa"/>
          </w:tcPr>
          <w:p w14:paraId="6330F880" w14:textId="288AF385" w:rsidR="00FF4BD9" w:rsidRPr="00EC3E91" w:rsidRDefault="00FF4BD9" w:rsidP="009549DD">
            <w:pPr>
              <w:rPr>
                <w:rFonts w:cstheme="minorHAnsi"/>
                <w:sz w:val="20"/>
                <w:szCs w:val="20"/>
                <w:lang w:val="en-US"/>
              </w:rPr>
            </w:pPr>
            <w:r w:rsidRPr="00EC3E91">
              <w:rPr>
                <w:rFonts w:cstheme="minorHAnsi"/>
                <w:sz w:val="20"/>
                <w:szCs w:val="20"/>
                <w:lang w:val="en-US"/>
              </w:rPr>
              <w:t xml:space="preserve">Potentially inappropriate medications in primary care </w:t>
            </w:r>
          </w:p>
        </w:tc>
        <w:tc>
          <w:tcPr>
            <w:tcW w:w="3969" w:type="dxa"/>
          </w:tcPr>
          <w:p w14:paraId="68BA37DD" w14:textId="7757C766" w:rsidR="00FF4BD9" w:rsidRPr="00EC3E91" w:rsidRDefault="00761C16" w:rsidP="008B3709">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 </w:t>
            </w:r>
            <w:r w:rsidR="00FF4BD9" w:rsidRPr="00EC3E91">
              <w:rPr>
                <w:rFonts w:cstheme="minorHAnsi"/>
                <w:sz w:val="20"/>
                <w:szCs w:val="20"/>
                <w:lang w:val="en-US"/>
              </w:rPr>
              <w:br/>
            </w:r>
            <w:r w:rsidR="00FF4BD9" w:rsidRPr="00EC3E91">
              <w:rPr>
                <w:rFonts w:cstheme="minorHAnsi"/>
                <w:sz w:val="20"/>
                <w:szCs w:val="20"/>
                <w:lang w:val="en-US"/>
              </w:rPr>
              <w:br/>
              <w:t>STOPP (Screening Tool of Older Person’s Prescriptions) and START (Screening Tool to Alert doctors to Right Treatment).</w:t>
            </w:r>
          </w:p>
        </w:tc>
        <w:tc>
          <w:tcPr>
            <w:tcW w:w="2551" w:type="dxa"/>
          </w:tcPr>
          <w:p w14:paraId="4AFE12AB" w14:textId="3A8E44B5" w:rsidR="00FF4BD9" w:rsidRPr="00EC3E91" w:rsidRDefault="00FF4BD9" w:rsidP="009549DD">
            <w:pPr>
              <w:rPr>
                <w:rFonts w:cstheme="minorHAnsi"/>
                <w:sz w:val="20"/>
                <w:szCs w:val="20"/>
                <w:lang w:val="en-US"/>
              </w:rPr>
            </w:pPr>
            <w:r w:rsidRPr="00EC3E91">
              <w:rPr>
                <w:rFonts w:cstheme="minorHAnsi"/>
                <w:sz w:val="20"/>
                <w:szCs w:val="20"/>
                <w:lang w:val="en-US"/>
              </w:rPr>
              <w:t>conduct educational outreach, develop and organize quality monitoring systems, remind clinicians, develop educational materials,</w:t>
            </w:r>
          </w:p>
        </w:tc>
      </w:tr>
      <w:tr w:rsidR="00FF4BD9" w:rsidRPr="00E119DD" w14:paraId="2ABD061F" w14:textId="77777777" w:rsidTr="00FF4BD9">
        <w:trPr>
          <w:tblHeader/>
        </w:trPr>
        <w:tc>
          <w:tcPr>
            <w:tcW w:w="709" w:type="dxa"/>
          </w:tcPr>
          <w:p w14:paraId="126334F9" w14:textId="2F876EF4"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{"citationItems":[{"id":"ITEM-1","itemData":{"ISSN":"2210-7703","abstract":"Background Prescribing for the elderly is challenging. A previous observational study conducted in our geriatric psychiatry admission unit (GPAU) using STOPP/START criteria showed a high number of potentially inappropriate drug prescriptions (PIDPs). A clinical pharmacist was added to our GPAU as a strategy to reduce PIDPs. Objective The objective of the present study was to assess the impact of a clinical pharmacist on PIDPs by measuring acceptance rates of pharmacist interventions (PhIs). Setting This study was conducted at the GPAU of Lausanne University Hospital. Method The clinical pharmacist attended four GPAU meetings weekly. Complete medication reviews were performed daily. The clinical pharmacist conducted standard analyses based on clinical judgment and STOPP/START criteria assessment. A PhI was generated when a PIDP was detected. When a PhI was accepted, the PIDP was considered as eliminated. Acceptance rate of PhI was calculated (number of PhI accepted/total number of PhI). Main outcome measure PhIs acceptance rates. Results In a cohort of 102 patients seen between July 2013 and February 2014, a total of 697 PhIs (average 6.8/patient) were made based on standard evaluation (n = 479) and STOPP/START criteria (n = 243). The global acceptance rate was 68% (standard, 78%; STOPP/START, 47%). Conclusion Good PhIs acceptance rates demonstrated that a clinical pharmacist can reduce PIDPs in a GPAU. PhIs based on standard evaluation had a higher acceptance than those based on STOPP/START criteria, probably because they are better adapted to individual patients. However, these two evaluation approaches can be used in a complementary manner.","author":[{"dropping-particle":"","family":"Hannou","given":"S","non-dropping-particle":"","parse-names":false,"suffix":""},{"dropping-particle":"","family":"Voirol","given":"P","non-dropping-particle":"","parse-names":false,"suffix":""},{"dropping-particle":"","family":"Pannatier","given":"A","non-dropping-particle":"","parse-names":false,"suffix":""},{"dropping-particle":"","family":"Weibel","given":"M L","non-dropping-particle":"","parse-names":false,"suffix":""},{"dropping-particle":"","family":"Sadeghipour","given":"F","non-dropping-particle":"","parse-names":false,"suffix":""},{"dropping-particle":"","family":"Gunten","given":"A","non-dropping-particle":"von","parse-names":false,"suffix":""},{"dropping-particle":"","family":"Mall","given":"J F","non-dropping-particle":"","parse-names":false,"suffix":""},{"dropping-particle":"","family":"Giorgi Salamun","given":"I","non-dropping-particle":"De","parse-names":false,"suffix":""}],"container-title":"International Journal of Clinical Pharmacy","id":"ITEM-1","issue":"6","issued":{"date-parts":[["2017"]]},"page":"1228-1236","title":"Pharmacist intervention acceptance for the reduction of potentially inappropriate drug prescribing in acute psychiatry","type":"article-journal","volume":"39"},"uris":["http://www.mendeley.com/documents/?uuid=7943a0a7-4c3b-4cf5-a055-4367f9ead14d"]}],"mendeley":{"formattedCitation":"(120)","plainTextFormattedCitation":"(120)","previouslyFormattedCitation":"(120)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(120)</w:t>
            </w:r>
            <w:r w:rsidRPr="00EC3E91">
              <w:rPr>
                <w:rFonts w:cstheme="minorHAnsi"/>
                <w:sz w:val="20"/>
                <w:szCs w:val="20"/>
                <w:lang w:val="en-US"/>
              </w:rPr>
              <w:fldChar w:fldCharType="end"/>
            </w:r>
          </w:p>
        </w:tc>
        <w:tc>
          <w:tcPr>
            <w:tcW w:w="992" w:type="dxa"/>
          </w:tcPr>
          <w:p w14:paraId="02F3E098" w14:textId="1259837C" w:rsidR="00FF4BD9" w:rsidRPr="00EC3E91" w:rsidRDefault="00FF4BD9" w:rsidP="00835940">
            <w:pPr>
              <w:rPr>
                <w:rFonts w:cstheme="minorHAnsi"/>
                <w:sz w:val="20"/>
                <w:szCs w:val="20"/>
                <w:lang w:val="en-US"/>
              </w:rPr>
            </w:pPr>
            <w:r w:rsidRPr="00EC3E91">
              <w:rPr>
                <w:rFonts w:cstheme="minorHAnsi"/>
                <w:sz w:val="20"/>
                <w:szCs w:val="20"/>
                <w:lang w:val="en-US"/>
              </w:rPr>
              <w:t>Switzerland</w:t>
            </w:r>
          </w:p>
        </w:tc>
        <w:tc>
          <w:tcPr>
            <w:tcW w:w="993" w:type="dxa"/>
          </w:tcPr>
          <w:p w14:paraId="60FBDA2B" w14:textId="6FA6DBE3"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38ED913F" w14:textId="22259D58"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0CE9DE67" w14:textId="4A29EF1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305D7F5" w14:textId="5A1F22ED"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123A90DF" w14:textId="7164770F" w:rsidR="00FF4BD9" w:rsidRPr="00EC3E91" w:rsidRDefault="00FF4BD9" w:rsidP="009549DD">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6BD47DB3" w14:textId="22268340" w:rsidR="00FF4BD9" w:rsidRPr="00EC3E91" w:rsidRDefault="00FF4BD9" w:rsidP="008B3709">
            <w:pPr>
              <w:rPr>
                <w:rFonts w:cstheme="minorHAnsi"/>
                <w:sz w:val="20"/>
                <w:szCs w:val="20"/>
                <w:lang w:val="en-US"/>
              </w:rPr>
            </w:pPr>
            <w:r w:rsidRPr="00EC3E91">
              <w:rPr>
                <w:rFonts w:cstheme="minorHAnsi"/>
                <w:sz w:val="20"/>
                <w:szCs w:val="20"/>
                <w:lang w:val="en-US"/>
              </w:rPr>
              <w:t xml:space="preserve">STOPP (Screening Tool of Older Person’s Prescriptions) and START (Screening Tool to Alert doctors to Right Treatment). </w:t>
            </w:r>
          </w:p>
        </w:tc>
        <w:tc>
          <w:tcPr>
            <w:tcW w:w="2551" w:type="dxa"/>
          </w:tcPr>
          <w:p w14:paraId="51E71FD5" w14:textId="497F6E95" w:rsidR="00FF4BD9" w:rsidRPr="00EC3E91" w:rsidRDefault="00FF4BD9" w:rsidP="009549DD">
            <w:pPr>
              <w:rPr>
                <w:rFonts w:cstheme="minorHAnsi"/>
                <w:sz w:val="20"/>
                <w:szCs w:val="20"/>
                <w:lang w:val="en-US"/>
              </w:rPr>
            </w:pPr>
            <w:r w:rsidRPr="00EC3E91">
              <w:rPr>
                <w:rFonts w:cstheme="minorHAnsi"/>
                <w:sz w:val="20"/>
                <w:szCs w:val="20"/>
                <w:lang w:val="en-US"/>
              </w:rPr>
              <w:t xml:space="preserve">Conduct educational outreach </w:t>
            </w:r>
          </w:p>
        </w:tc>
      </w:tr>
      <w:tr w:rsidR="00FF4BD9" w:rsidRPr="00E119DD" w14:paraId="729B15A1" w14:textId="77777777" w:rsidTr="00FF4BD9">
        <w:trPr>
          <w:tblHeader/>
        </w:trPr>
        <w:tc>
          <w:tcPr>
            <w:tcW w:w="709" w:type="dxa"/>
          </w:tcPr>
          <w:p w14:paraId="30A0A1A3" w14:textId="11C11EF2"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{"citationItems":[{"id":"ITEM-1","itemData":{"ISSN":"2168-6106","abstract":"Importance: Feedback interventions using routinely collected health data might reduce antibiotic use nationwide without requiring the substantial resources and structural efforts of other antibiotic stewardship programs. Objective: To determine if quarterly antibiotic prescription feedback over 2 years reduces antibiotic use when implemented in a complex health care system. Design, Setting, and Participants: Pragmatic randomized trial using routinely collected claims data on 2900 primary care physicians with the highest antibiotic prescription rates in Switzerland. Interventions: Physicians were randomized to quarterly updated personalized antibiotic prescription feedback over 2 years (n=1450) or usual care (n=1450). Feedback was provided both by mail and online from October 2013 to October 2015 and was supported by an initial 1-time provision of evidence-based guidelines. Main Outcomes and Measures: The primary outcome was the prescribed defined daily doses (DDD) of any antibiotic to any patient per 100 consultations in the first year analyzed by intention-to-treat. We further analyzed prescriptions of specific antibiotics, age groups, and sex for the first and second year to investigate persistency of effects over time. Results: The 2900 physicians had 10660124 consultations over 2 years of follow-up, prescribed 1175780 packages of antibiotics with 10290182 DDD. Physicians receiving feedback prescribed the same amount of antibiotics to all patients in the first year (between-group difference, 0.81%; 95% CI, -2.56% to 4.30%; P=.64) and second year (between-group difference, -1.73%; 95% CI, -5.07% to 1.72%; P=.32) compared with the control group. Prescribing to children aged 6 to 18 years was -8.61% lower in the feedback than in the control group in the first year (95% CI, -14.87% to -1.90%; P=.01). This difference diminished in the second year (between-group difference, -4.10%; 95% CI, -10.78% to 3.07%; P=.25). Physicians receiving feedback prescribed fewer antibiotics to adults aged 19 to 65 years in the second year (between-group difference, -4.59%; 95% CI, -7.91% to -1.16%; P&lt;.01). Prescribing to other patient groups or of specific antibiotic types was not significantly different between groups. Conclusions and Relevance: This nationwide antibiotic stewardship program with routine feedback on antibiotic prescribing was not associated with a change of antibiotic use. In older children, adolescents, and younger adults less antibiotics were prescribed,…","author":[{"dropping-particle":"","family":"Hemkens","given":"L G","non-dropping-particle":"","parse-names":false,"suffix":""},{"dropping-particle":"","family":"Saccilotto","given":"R","non-dropping-particle":"","parse-names":false,"suffix":""},{"dropping-particle":"","family":"Reyes","given":"S L","non-dropping-particle":"","parse-names":false,"suffix":""},{"dropping-particle":"","family":"Glinz","given":"D","non-dropping-particle":"","parse-names":false,"suffix":""},{"dropping-particle":"","family":"Zumbrunn","given":"T","non-dropping-particle":"","parse-names":false,"suffix":""},{"dropping-particle":"","family":"Grolimund","given":"O","non-dropping-particle":"","parse-names":false,"suffix":""},{"dropping-particle":"","family":"Gloy","given":"V","non-dropping-particle":"","parse-names":false,"suffix":""},{"dropping-particle":"","family":"Raatz","given":"H","non-dropping-particle":"","parse-names":false,"suffix":""},{"dropping-particle":"","family":"Widmer","given":"A","non-dropping-particle":"","parse-names":false,"suffix":""},{"dropping-particle":"","family":"Zeller","given":"A","non-dropping-particle":"","parse-names":false,"suffix":""},{"dropping-particle":"","family":"Bucher","given":"H C","non-dropping-particle":"","parse-names":false,"suffix":""}],"container-title":"JAMA Internal Medicine","id":"ITEM-1","issue":"2","issued":{"date-parts":[["2017"]]},"page":"176-183","title":"Personalized Prescription Feedback Using Routinely Collected Data to Reduce Antibiotic Use in Primary Care: A Randomized Clinical Trial","type":"article-journal","volume":"177"},"uris":["http://www.mendeley.com/documents/?uuid=dd989266-94dc-40d6-b896-3d48ac65f53e"]}],"mendeley":{"formattedCitation":"(121)","plainTextFormattedCitation":"(121)","previouslyFormattedCitation":"(121)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(121)</w:t>
            </w:r>
            <w:r w:rsidRPr="00EC3E91">
              <w:rPr>
                <w:rFonts w:cstheme="minorHAnsi"/>
                <w:sz w:val="20"/>
                <w:szCs w:val="20"/>
                <w:lang w:val="en-US"/>
              </w:rPr>
              <w:fldChar w:fldCharType="end"/>
            </w:r>
          </w:p>
        </w:tc>
        <w:tc>
          <w:tcPr>
            <w:tcW w:w="992" w:type="dxa"/>
          </w:tcPr>
          <w:p w14:paraId="1D65C3E8" w14:textId="3D17CB7E" w:rsidR="00FF4BD9" w:rsidRPr="00EC3E91" w:rsidRDefault="00FF4BD9" w:rsidP="009549DD">
            <w:pPr>
              <w:rPr>
                <w:rFonts w:cstheme="minorHAnsi"/>
                <w:sz w:val="20"/>
                <w:szCs w:val="20"/>
                <w:lang w:val="en-US"/>
              </w:rPr>
            </w:pPr>
            <w:r w:rsidRPr="00EC3E91">
              <w:rPr>
                <w:rFonts w:cstheme="minorHAnsi"/>
                <w:sz w:val="20"/>
                <w:szCs w:val="20"/>
                <w:lang w:val="en-US"/>
              </w:rPr>
              <w:t xml:space="preserve">Switzerland </w:t>
            </w:r>
          </w:p>
        </w:tc>
        <w:tc>
          <w:tcPr>
            <w:tcW w:w="993" w:type="dxa"/>
          </w:tcPr>
          <w:p w14:paraId="64195F04" w14:textId="3627F89D"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3C5EFE16" w14:textId="1D00B6A4"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23465F78" w14:textId="488D66E4"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5DC95163" w14:textId="78570406"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0F443828" w14:textId="389A3E94"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472B0D4E" w14:textId="0A503053" w:rsidR="00FF4BD9" w:rsidRPr="00EC3E91" w:rsidRDefault="00FF4BD9" w:rsidP="009549DD">
            <w:pPr>
              <w:rPr>
                <w:rFonts w:cstheme="minorHAnsi"/>
                <w:sz w:val="20"/>
                <w:szCs w:val="20"/>
                <w:lang w:val="en-US"/>
              </w:rPr>
            </w:pPr>
            <w:r w:rsidRPr="00EC3E91">
              <w:rPr>
                <w:rFonts w:cstheme="minorHAnsi"/>
                <w:sz w:val="20"/>
                <w:szCs w:val="20"/>
                <w:lang w:val="en-US"/>
              </w:rPr>
              <w:t>German Society for General Medicine and Family Medicine &amp; British National Institute of Clinical Excellence (NICE) guidelines</w:t>
            </w:r>
          </w:p>
        </w:tc>
        <w:tc>
          <w:tcPr>
            <w:tcW w:w="2551" w:type="dxa"/>
          </w:tcPr>
          <w:p w14:paraId="59AA3AB5" w14:textId="7EEEA041" w:rsidR="00FF4BD9" w:rsidRPr="00EC3E91" w:rsidRDefault="00FF4BD9" w:rsidP="009549DD">
            <w:pPr>
              <w:rPr>
                <w:rFonts w:cstheme="minorHAnsi"/>
                <w:sz w:val="20"/>
                <w:szCs w:val="20"/>
                <w:lang w:val="en-US"/>
              </w:rPr>
            </w:pPr>
            <w:r w:rsidRPr="00EC3E91">
              <w:rPr>
                <w:rFonts w:cstheme="minorHAnsi"/>
                <w:sz w:val="20"/>
                <w:szCs w:val="20"/>
                <w:lang w:val="en-US"/>
              </w:rPr>
              <w:t xml:space="preserve">Audit and provide feedback </w:t>
            </w:r>
          </w:p>
        </w:tc>
      </w:tr>
      <w:tr w:rsidR="00FF4BD9" w:rsidRPr="00E119DD" w14:paraId="195CEB02" w14:textId="77777777" w:rsidTr="00FF4BD9">
        <w:trPr>
          <w:tblHeader/>
        </w:trPr>
        <w:tc>
          <w:tcPr>
            <w:tcW w:w="709" w:type="dxa"/>
          </w:tcPr>
          <w:p w14:paraId="4299C690" w14:textId="3299D5EB"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 The efficacy of imaging clinical decision support (CDS) varies. Our objective was to identify CDS factors contributing to imaging order cancellation or modification. SUBJECTS AND METHODS: This pre-post study was performed across four institutions participating in the Medicare Imaging Demonstration. The intervention was CDS at order entry for selected outpatient imaging procedures. On the basis of the information entered, computerized alerts indicated to providers whether orders were not covered by guidelines, appropriate, of uncertain appropriateness, or inappropriate according to professional society guidelines. Ordering providers could override or accept CDS. We considered actionable alerts to be those that could generate an immediate order behavior change in the ordering physician (i.e., cancellation of inappropriate orders or modification of orders of uncertain appropriateness that had a recommended alternative). Chi-square and logistic regression identified predictors of order cancellation or modification after an alert. RESULTS: A total of 98,894 radiology orders were entered (83,114 after the intervention). Providers ignored 98.9%, modified 1.1%, and cancelled 0.03% of orders in response to alerts. Actionable alerts had a 10 fold higher rate of modification (8.1% vs 0.7%; p &lt; 0.0001) or cancellation (0.2% vs 0.02%; p &lt; 0.0001) orders compared with nonactionable alerts. Orders from institutions with preexisting imaging CDS had a sevenfold lower rate of cancellation or modification than was seen at sites with newly implemented CDS (1.4% vs 0.2%; p &lt; 0.0001). In multivariate analysis, actionable alerts were 12 times more likely to result in order cancellation or modification. Orders at sites with preexisting CDS were 7.7 times less likely to be cancelled or modified (p &lt; 0.0001). CONCLUSION: Using results from the Medicare Imaging Demonstration project, we identified potential factors that were associated with CDS effect on provider imaging ordering; these findings may have implications for future design of such computerized systems.","author":[{"dropping-particle":"","family":"Ip","given":"I K","non-dropping-particle":"","parse-names":false,"suffix":""},{"dropping-particle":"","family":"Lacson","given":"R","non-dropping-particle":"","parse-names":false,"suffix":""},{"dropping-particle":"","family":"Hentel","given":"K","non-dropping-particle":"","parse-names":false,"suffix":""},{"dropping-particle":"","family":"Malhotra","given":"S","non-dropping-particle":"","parse-names":false,"suffix":""},{"dropping-particle":"","family":"Darer","given":"J","non-dropping-particle":"","parse-names":false,"suffix":""},{"dropping-particle":"","family":"Langlotz","given":"C","non-dropping-particle":"","parse-names":false,"suffix":""},{"dropping-particle":"","family":"Weiss","given":"J","non-dropping-particle":"","parse-names":false,"suffix":""},{"dropping-particle":"","family":"Raja","given":"A S","non-dropping-particle":"","parse-names":false,"suffix":""},{"dropping-particle":"","family":"Khorasani","given":"R","non-dropping-particle":"","parse-names":false,"suffix":""}],"container-title":"AJR. American Journal of Roentgenology","id":"ITEM-1","issue":"2","issued":{"date-parts":[["2017"]]},"page":"351-357","title":"JOURNAL CLUB: Predictors of Provider Response to Clinical Decision Support: Lessons Learned From the Medicare Imaging Demonstration","type":"article-journal","volume":"208"},"uris":["http://www.mendeley.com/documents/?uuid=1ffab76e-65f8-4d26-a192-5b12c7952613"]}],"mendeley":{"formattedCitation":"(122)","plainTextFormattedCitation":"(122)","previouslyFormattedCitation":"(122)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(122)</w:t>
            </w:r>
            <w:r w:rsidRPr="00EC3E91">
              <w:rPr>
                <w:rFonts w:cstheme="minorHAnsi"/>
                <w:sz w:val="20"/>
                <w:szCs w:val="20"/>
                <w:lang w:val="en-US"/>
              </w:rPr>
              <w:fldChar w:fldCharType="end"/>
            </w:r>
          </w:p>
        </w:tc>
        <w:tc>
          <w:tcPr>
            <w:tcW w:w="992" w:type="dxa"/>
          </w:tcPr>
          <w:p w14:paraId="20634C92" w14:textId="0292CDBF"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1C7D30BE" w14:textId="475B3143" w:rsidR="00FF4BD9" w:rsidRPr="00EC3E91" w:rsidRDefault="00FF4BD9" w:rsidP="009549DD">
            <w:pPr>
              <w:rPr>
                <w:rFonts w:cstheme="minorHAnsi"/>
                <w:sz w:val="20"/>
                <w:szCs w:val="20"/>
                <w:lang w:val="en-US"/>
              </w:rPr>
            </w:pPr>
            <w:r w:rsidRPr="00EC3E91">
              <w:rPr>
                <w:rFonts w:cstheme="minorHAnsi"/>
                <w:sz w:val="20"/>
                <w:szCs w:val="20"/>
                <w:lang w:val="en-US"/>
              </w:rPr>
              <w:t xml:space="preserve">? </w:t>
            </w:r>
          </w:p>
        </w:tc>
        <w:tc>
          <w:tcPr>
            <w:tcW w:w="850" w:type="dxa"/>
          </w:tcPr>
          <w:p w14:paraId="09C3A93E" w14:textId="01268DB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2405630" w14:textId="128E140C" w:rsidR="00FF4BD9" w:rsidRPr="00EC3E91" w:rsidRDefault="00FF4BD9" w:rsidP="009549DD">
            <w:pPr>
              <w:rPr>
                <w:rFonts w:cstheme="minorHAnsi"/>
                <w:sz w:val="20"/>
                <w:szCs w:val="20"/>
                <w:lang w:val="en-US"/>
              </w:rPr>
            </w:pPr>
            <w:r w:rsidRPr="00EC3E91">
              <w:rPr>
                <w:rFonts w:cstheme="minorHAnsi"/>
                <w:sz w:val="20"/>
                <w:szCs w:val="20"/>
                <w:lang w:val="en-US"/>
              </w:rPr>
              <w:t xml:space="preserve">Efficacy/Effectiveness </w:t>
            </w:r>
          </w:p>
        </w:tc>
        <w:tc>
          <w:tcPr>
            <w:tcW w:w="1134" w:type="dxa"/>
          </w:tcPr>
          <w:p w14:paraId="69373EC9" w14:textId="1B1CCD00"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07708C93" w14:textId="45E49462" w:rsidR="00FF4BD9" w:rsidRPr="00EC3E91" w:rsidRDefault="00FF4BD9" w:rsidP="009549DD">
            <w:pPr>
              <w:rPr>
                <w:rFonts w:cstheme="minorHAnsi"/>
                <w:sz w:val="20"/>
                <w:szCs w:val="20"/>
                <w:lang w:val="en-US"/>
              </w:rPr>
            </w:pPr>
            <w:r w:rsidRPr="00EC3E91">
              <w:rPr>
                <w:rFonts w:cstheme="minorHAnsi"/>
                <w:sz w:val="20"/>
                <w:szCs w:val="20"/>
                <w:lang w:val="en-US"/>
              </w:rPr>
              <w:t>Inappropriate imaging</w:t>
            </w:r>
          </w:p>
        </w:tc>
        <w:tc>
          <w:tcPr>
            <w:tcW w:w="3969" w:type="dxa"/>
          </w:tcPr>
          <w:p w14:paraId="03CD97EE" w14:textId="465994ED" w:rsidR="00FF4BD9" w:rsidRPr="00EC3E91" w:rsidRDefault="00761C16" w:rsidP="009549DD">
            <w:pPr>
              <w:rPr>
                <w:rFonts w:cstheme="minorHAnsi"/>
                <w:sz w:val="20"/>
                <w:szCs w:val="20"/>
                <w:lang w:val="en-US"/>
              </w:rPr>
            </w:pPr>
            <w:r w:rsidRPr="00EC3E91">
              <w:rPr>
                <w:rFonts w:cstheme="minorHAnsi"/>
                <w:sz w:val="20"/>
                <w:szCs w:val="20"/>
                <w:lang w:val="en-US"/>
              </w:rPr>
              <w:t xml:space="preserve">Not </w:t>
            </w:r>
            <w:r w:rsidR="00796746" w:rsidRPr="00EC3E91">
              <w:rPr>
                <w:rFonts w:cstheme="minorHAnsi"/>
                <w:sz w:val="20"/>
                <w:szCs w:val="20"/>
                <w:lang w:val="en-US"/>
              </w:rPr>
              <w:t xml:space="preserve">covered </w:t>
            </w:r>
            <w:r w:rsidR="00594F8A" w:rsidRPr="00EC3E91">
              <w:rPr>
                <w:rFonts w:cstheme="minorHAnsi"/>
                <w:sz w:val="20"/>
                <w:szCs w:val="20"/>
                <w:lang w:val="en-US"/>
              </w:rPr>
              <w:t xml:space="preserve">by </w:t>
            </w:r>
            <w:r w:rsidR="001026C6" w:rsidRPr="00EC3E91">
              <w:rPr>
                <w:rFonts w:cstheme="minorHAnsi"/>
                <w:sz w:val="20"/>
                <w:szCs w:val="20"/>
                <w:lang w:val="en-US"/>
              </w:rPr>
              <w:t xml:space="preserve">guidelines, </w:t>
            </w:r>
            <w:r w:rsidR="009C6C1F" w:rsidRPr="00EC3E91">
              <w:rPr>
                <w:rFonts w:cstheme="minorHAnsi"/>
                <w:sz w:val="20"/>
                <w:szCs w:val="20"/>
                <w:lang w:val="en-US"/>
              </w:rPr>
              <w:t xml:space="preserve">of uncertain appropriateness, or </w:t>
            </w:r>
            <w:r w:rsidR="007452BB" w:rsidRPr="00EC3E91">
              <w:rPr>
                <w:rFonts w:cstheme="minorHAnsi"/>
                <w:sz w:val="20"/>
                <w:szCs w:val="20"/>
                <w:lang w:val="en-US"/>
              </w:rPr>
              <w:t>inappropriate according to professional society guidelines that had</w:t>
            </w:r>
            <w:r w:rsidR="00FF4BD9" w:rsidRPr="00EC3E91">
              <w:rPr>
                <w:rFonts w:cstheme="minorHAnsi"/>
                <w:sz w:val="20"/>
                <w:szCs w:val="20"/>
                <w:lang w:val="en-US"/>
              </w:rPr>
              <w:t xml:space="preserve"> been preselected by CMS, primarily from the American College of Radiology and the American College of Cardiology.</w:t>
            </w:r>
          </w:p>
        </w:tc>
        <w:tc>
          <w:tcPr>
            <w:tcW w:w="2551" w:type="dxa"/>
          </w:tcPr>
          <w:p w14:paraId="014A459B" w14:textId="04D670AF" w:rsidR="00FF4BD9" w:rsidRPr="00EC3E91" w:rsidRDefault="00FF4BD9" w:rsidP="009549DD">
            <w:pPr>
              <w:rPr>
                <w:rFonts w:cstheme="minorHAnsi"/>
                <w:sz w:val="20"/>
                <w:szCs w:val="20"/>
                <w:lang w:val="en-US"/>
              </w:rPr>
            </w:pPr>
            <w:r w:rsidRPr="00EC3E91">
              <w:rPr>
                <w:rFonts w:cstheme="minorHAnsi"/>
                <w:sz w:val="20"/>
                <w:szCs w:val="20"/>
                <w:lang w:val="en-US"/>
              </w:rPr>
              <w:t xml:space="preserve">Remind Clinicians, audit and provide feedback </w:t>
            </w:r>
          </w:p>
        </w:tc>
      </w:tr>
      <w:tr w:rsidR="00FF4BD9" w:rsidRPr="00E119DD" w14:paraId="5FF4B4CD" w14:textId="77777777" w:rsidTr="00FF4BD9">
        <w:trPr>
          <w:tblHeader/>
        </w:trPr>
        <w:tc>
          <w:tcPr>
            <w:tcW w:w="709" w:type="dxa"/>
          </w:tcPr>
          <w:p w14:paraId="1CB058D6" w14:textId="4B212D97"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 Clinical decision support (CDS) can be a useful tool to decrease inappropriate imaging by providing evidence-based information to clinicians at the point of care. The objective of this case study is to highlight lessons from a health care improvement initiative using CDS to encourage use of ultrasound rather than computed tomography (CT) scans as an initial diagnostic tool for suspected appendicitis in pediatric patients. Methods: The percentage of suspected pediatric appendicitis cases receiving ultrasounds and CT scans was calculated using electronic health record data. Four steps for implementing health information technology were identified in a literature scan that guided data collection and analysis: Planning, software customization and workflow design, training and user support, and optimization. Results: During the fourth quarter of 2010, 1 in 7 pediatric patients with suspected appendicitis received an ultrasound and almost half received a CT scan. By the first quarter of 2012, ultrasounds were performed in 40.8% of these cases and the use of CT scans declined to 39.9% of suspected pediatric appendicitis cases. Conclusion: Four lessons emerged. First, all levels of staff should be involved in the planning process to make organizational priorities actionable and build buy-in for each healthcare improvement initiative. Second, it takes time to design and test the alert to ensure that clinical guidelines are being properly applied. Third, re-engineering the workflow is critical for usability; in this case, ensuring the availability of ultrasound staff was particularly important. Finally, the effectiveness of CDS depends on applying relevant evidence-based practice guidelines to real-time patient data.","author":[{"dropping-particle":"","family":"Jones","given":"E B","non-dropping-particle":"","parse-names":false,"suffix":""},{"dropping-particle":"","family":"Swain","given":"M","non-dropping-particle":"","parse-names":false,"suffix":""},{"dropping-particle":"","family":"Burdick","given":"T","non-dropping-particle":"","parse-names":false,"suffix":""}],"container-title":"Journal of Clinical Outcomes Management","id":"ITEM-1","issue":"11","issued":{"date-parts":[["2017"]]},"title":"Using clinical decision support to reduce inappropriate imaging: A health care improvement case study","type":"article-journal","volume":"24"},"uris":["http://www.mendeley.com/documents/?uuid=9ea4b26f-8462-4fe9-b3f2-bc1b70d97816"]}],"mendeley":{"formattedCitation":"(123)","plainTextFormattedCitation":"(123)","previouslyFormattedCitation":"(123)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(123)</w:t>
            </w:r>
            <w:r w:rsidRPr="00EC3E91">
              <w:rPr>
                <w:rFonts w:cstheme="minorHAnsi"/>
                <w:sz w:val="20"/>
                <w:szCs w:val="20"/>
                <w:lang w:val="en-US"/>
              </w:rPr>
              <w:fldChar w:fldCharType="end"/>
            </w:r>
          </w:p>
        </w:tc>
        <w:tc>
          <w:tcPr>
            <w:tcW w:w="992" w:type="dxa"/>
          </w:tcPr>
          <w:p w14:paraId="344CD60F" w14:textId="526D4D06"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02BCC426" w14:textId="36D133C2"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1EBD949A" w14:textId="606FB8CE" w:rsidR="00FF4BD9" w:rsidRPr="00EC3E91" w:rsidRDefault="00FF4BD9" w:rsidP="009549DD">
            <w:pPr>
              <w:rPr>
                <w:rFonts w:cstheme="minorHAnsi"/>
                <w:sz w:val="20"/>
                <w:szCs w:val="20"/>
                <w:lang w:val="en-US"/>
              </w:rPr>
            </w:pPr>
            <w:r w:rsidRPr="00EC3E91">
              <w:rPr>
                <w:rFonts w:cstheme="minorHAnsi"/>
                <w:sz w:val="20"/>
                <w:szCs w:val="20"/>
                <w:lang w:val="en-US"/>
              </w:rPr>
              <w:t xml:space="preserve">Mixed Case study </w:t>
            </w:r>
          </w:p>
        </w:tc>
        <w:tc>
          <w:tcPr>
            <w:tcW w:w="851" w:type="dxa"/>
          </w:tcPr>
          <w:p w14:paraId="69FA88E9" w14:textId="62105440" w:rsidR="00FF4BD9" w:rsidRPr="00EC3E91" w:rsidRDefault="00FF4BD9" w:rsidP="009549DD">
            <w:pPr>
              <w:rPr>
                <w:rFonts w:cstheme="minorHAnsi"/>
                <w:sz w:val="20"/>
                <w:szCs w:val="20"/>
                <w:lang w:val="en-US"/>
              </w:rPr>
            </w:pPr>
            <w:r w:rsidRPr="00EC3E91">
              <w:rPr>
                <w:rFonts w:cstheme="minorHAnsi"/>
                <w:sz w:val="20"/>
                <w:szCs w:val="20"/>
                <w:lang w:val="en-US"/>
              </w:rPr>
              <w:t>Process evaluation</w:t>
            </w:r>
          </w:p>
        </w:tc>
        <w:tc>
          <w:tcPr>
            <w:tcW w:w="1134" w:type="dxa"/>
          </w:tcPr>
          <w:p w14:paraId="4B634B3E" w14:textId="3CF6FE0E" w:rsidR="00FF4BD9" w:rsidRPr="00EC3E91" w:rsidRDefault="00226199" w:rsidP="009549DD">
            <w:pPr>
              <w:rPr>
                <w:rFonts w:cstheme="minorHAnsi"/>
                <w:sz w:val="20"/>
                <w:szCs w:val="20"/>
                <w:lang w:val="en-US"/>
              </w:rPr>
            </w:pPr>
            <w:r>
              <w:rPr>
                <w:rFonts w:cstheme="minorHAnsi"/>
                <w:sz w:val="20"/>
                <w:szCs w:val="20"/>
                <w:lang w:val="en-US"/>
              </w:rPr>
              <w:t>Imaging</w:t>
            </w:r>
            <w:r w:rsidR="00FF4BD9" w:rsidRPr="00EC3E91">
              <w:rPr>
                <w:rFonts w:cstheme="minorHAnsi"/>
                <w:sz w:val="20"/>
                <w:szCs w:val="20"/>
                <w:lang w:val="en-US"/>
              </w:rPr>
              <w:t xml:space="preserve"> </w:t>
            </w:r>
          </w:p>
        </w:tc>
        <w:tc>
          <w:tcPr>
            <w:tcW w:w="2126" w:type="dxa"/>
          </w:tcPr>
          <w:p w14:paraId="3B4A5D98" w14:textId="3CFC02A7" w:rsidR="00FF4BD9" w:rsidRPr="00EC3E91" w:rsidRDefault="00FF4BD9" w:rsidP="009549DD">
            <w:pPr>
              <w:rPr>
                <w:rFonts w:cstheme="minorHAnsi"/>
                <w:sz w:val="20"/>
                <w:szCs w:val="20"/>
                <w:lang w:val="en-US"/>
              </w:rPr>
            </w:pPr>
            <w:r w:rsidRPr="00EC3E91">
              <w:rPr>
                <w:rFonts w:cstheme="minorHAnsi"/>
                <w:sz w:val="20"/>
                <w:szCs w:val="20"/>
                <w:lang w:val="en-US"/>
              </w:rPr>
              <w:t>Conducting a CT scan to evaluate suspected appendicitis in children</w:t>
            </w:r>
          </w:p>
        </w:tc>
        <w:tc>
          <w:tcPr>
            <w:tcW w:w="3969" w:type="dxa"/>
          </w:tcPr>
          <w:p w14:paraId="2EF5626B" w14:textId="0B725A18" w:rsidR="00FF4BD9" w:rsidRPr="00EC3E91" w:rsidRDefault="00FF4BD9" w:rsidP="008B3709">
            <w:pPr>
              <w:rPr>
                <w:rFonts w:cstheme="minorHAnsi"/>
                <w:sz w:val="20"/>
                <w:szCs w:val="20"/>
                <w:lang w:val="en-US"/>
              </w:rPr>
            </w:pPr>
            <w:r w:rsidRPr="00EC3E91">
              <w:rPr>
                <w:rFonts w:cstheme="minorHAnsi"/>
                <w:sz w:val="20"/>
                <w:szCs w:val="20"/>
                <w:lang w:val="en-US"/>
              </w:rPr>
              <w:t>Choosing Wisely</w:t>
            </w:r>
          </w:p>
        </w:tc>
        <w:tc>
          <w:tcPr>
            <w:tcW w:w="2551" w:type="dxa"/>
          </w:tcPr>
          <w:p w14:paraId="16CD6051" w14:textId="4972C52E" w:rsidR="00FF4BD9" w:rsidRPr="00EC3E91" w:rsidRDefault="00FF4BD9" w:rsidP="009549DD">
            <w:pPr>
              <w:rPr>
                <w:rFonts w:cstheme="minorHAnsi"/>
                <w:sz w:val="20"/>
                <w:szCs w:val="20"/>
                <w:lang w:val="en-US"/>
              </w:rPr>
            </w:pPr>
            <w:r w:rsidRPr="00EC3E91">
              <w:rPr>
                <w:rFonts w:cstheme="minorHAnsi"/>
                <w:sz w:val="20"/>
                <w:szCs w:val="20"/>
                <w:lang w:val="en-US"/>
              </w:rPr>
              <w:t>remind clinicians, use advisory boards and workgroups, develop educational materials</w:t>
            </w:r>
          </w:p>
        </w:tc>
      </w:tr>
      <w:tr w:rsidR="00FF4BD9" w:rsidRPr="00E119DD" w14:paraId="78EB80C7" w14:textId="77777777" w:rsidTr="00FF4BD9">
        <w:trPr>
          <w:tblHeader/>
        </w:trPr>
        <w:tc>
          <w:tcPr>
            <w:tcW w:w="709" w:type="dxa"/>
          </w:tcPr>
          <w:p w14:paraId="49C91136" w14:textId="740DF4A3"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{"citationItems":[{"id":"ITEM-1","itemData":{"ISSN":"0970-258X","abstract":"Background. Elective coronary interventional procedures are often overused and sometimes inappropriately used. The incentives for overuse are greater in low- and middle-income countries, where much of healthcare is provided by poorly regulated, fee-for-service systems. Overuse and inappropriate use increase healthcare costs and are potentially harmful to patients. Linking appropriate use of elective procedures to their reimbursement might deter overuse. Methods. We explored the feasibility of introducing appropriateness criteria as a precondition to settling reimbursement claims in a publicly funded health insurance scheme in Maharashtra, India. Clinical algorithms were developed from the current best-practice criteria and used to determine appropriateness at the time of obtaining pre-authorization for elective percutaneous coronary intervention (PCI) and coronary artery bypass graft (CABG) surgeries. The number of PCIs as a proportion of the total number of procedures reimbursed under the scheme was the primary outcome measure. This proportion was compared for 1-year periods before and after implementation of appropriateness-based reimbursement, using the chi-square test. Comparisons were also made separately for public and private hospitals. The change in the proportion of CABG surgeries over the same time periods was used as a comparator (as they are less subject to inappropriate use). Results. The insurance scheme provided cover to a population of 20 424 585 (18.2% of the population of Maharashtra) in 8 districts, through 106 hospitals (73 private and 33 public). There was a 12.3% (95% CI 8.9%-15.5%, p = 0.0001) reduction in the proportion of PCIs performed in the 1-year period after the introduction of appropriateness-based reimbursement. The reduction was similar for public and private hospitals. There was no significant change in the proportion of CABG surgeries (2.3% v. 2.2%, p = 0.20). At current rates, use of appropriateness-based reimbursement would result in approximately 783 (95% CI 483-1099) less Pas with potential annual savings of about (sic)57 million (US$0.93 million; 95% CI 0.57-1.3) to the government scheme. Conclusions. It seems feasible to implement an appropriateness-based system for reimbursement of elective coronary interventional procedures in a government-funded health insurance scheme in a developing country. This potentially cost-saving approach may reduce inappropriate use.","author":[{"dropping-particle":"","family":"Karthikeyan","given":"G","non-dropping-particle":"","parse-names":false,"suffix":""},{"dropping-particle":"","family":"Shirodkar","given":"U","non-dropping-particle":"","parse-names":false,"suffix":""},{"dropping-particle":"","family":"Rajivlochan","given":"M","non-dropping-particle":"","parse-names":false,"suffix":""},{"dropping-particle":"","family":"Birch","given":"S","non-dropping-particle":"","parse-names":false,"suffix":""}],"container-title":"National Medical Journal of India","id":"ITEM-1","issue":"1","issued":{"date-parts":[["2017"]]},"page":"11-14","title":"Appropriateness-based reimbursement of elective invasive coronary procedures in low- and middle-income countries: Preliminary assessment of feasibility in India","type":"article-journal","volume":"30"},"uris":["http://www.mendeley.com/documents/?uuid=a58d8e45-7df2-4f4d-a79d-9d8323f62c95"]}],"mendeley":{"formattedCitation":"(124)","plainTextFormattedCitation":"(124)","previouslyFormattedCitation":"(124)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(124)</w:t>
            </w:r>
            <w:r w:rsidRPr="00EC3E91">
              <w:rPr>
                <w:rFonts w:cstheme="minorHAnsi"/>
                <w:sz w:val="20"/>
                <w:szCs w:val="20"/>
                <w:lang w:val="en-US"/>
              </w:rPr>
              <w:fldChar w:fldCharType="end"/>
            </w:r>
          </w:p>
        </w:tc>
        <w:tc>
          <w:tcPr>
            <w:tcW w:w="992" w:type="dxa"/>
          </w:tcPr>
          <w:p w14:paraId="41A61E4E" w14:textId="1482F0CD" w:rsidR="00FF4BD9" w:rsidRPr="00EC3E91" w:rsidRDefault="00FF4BD9" w:rsidP="009549DD">
            <w:pPr>
              <w:rPr>
                <w:rFonts w:cstheme="minorHAnsi"/>
                <w:sz w:val="20"/>
                <w:szCs w:val="20"/>
                <w:lang w:val="en-US"/>
              </w:rPr>
            </w:pPr>
            <w:r w:rsidRPr="00EC3E91">
              <w:rPr>
                <w:rFonts w:cstheme="minorHAnsi"/>
                <w:sz w:val="20"/>
                <w:szCs w:val="20"/>
                <w:lang w:val="en-US"/>
              </w:rPr>
              <w:t xml:space="preserve">India </w:t>
            </w:r>
          </w:p>
        </w:tc>
        <w:tc>
          <w:tcPr>
            <w:tcW w:w="993" w:type="dxa"/>
          </w:tcPr>
          <w:p w14:paraId="1CE58070" w14:textId="4E6FC27B"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2B7D03F5" w14:textId="3A5CC775" w:rsidR="00FF4BD9" w:rsidRPr="00EC3E91" w:rsidRDefault="00FF4BD9" w:rsidP="009549DD">
            <w:pPr>
              <w:rPr>
                <w:rFonts w:cstheme="minorHAnsi"/>
                <w:sz w:val="20"/>
                <w:szCs w:val="20"/>
                <w:lang w:val="en-US"/>
              </w:rPr>
            </w:pPr>
            <w:r w:rsidRPr="00EC3E91">
              <w:rPr>
                <w:rFonts w:cstheme="minorHAnsi"/>
                <w:sz w:val="20"/>
                <w:szCs w:val="20"/>
                <w:lang w:val="en-US"/>
              </w:rPr>
              <w:t xml:space="preserve">Quant Feasibility </w:t>
            </w:r>
          </w:p>
        </w:tc>
        <w:tc>
          <w:tcPr>
            <w:tcW w:w="851" w:type="dxa"/>
          </w:tcPr>
          <w:p w14:paraId="760D9B7A" w14:textId="257EC6D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312907C" w14:textId="6F8B368F" w:rsidR="00FF4BD9" w:rsidRPr="00EC3E91" w:rsidRDefault="00FF4BD9" w:rsidP="00206C4F">
            <w:pPr>
              <w:rPr>
                <w:rFonts w:cstheme="minorHAnsi"/>
                <w:sz w:val="20"/>
                <w:szCs w:val="20"/>
                <w:lang w:val="en-US"/>
              </w:rPr>
            </w:pPr>
            <w:r w:rsidRPr="00EC3E91">
              <w:rPr>
                <w:rFonts w:cstheme="minorHAnsi"/>
                <w:sz w:val="20"/>
                <w:szCs w:val="20"/>
                <w:lang w:val="en-US"/>
              </w:rPr>
              <w:t xml:space="preserve">Surgical and non-surgical procedure </w:t>
            </w:r>
          </w:p>
        </w:tc>
        <w:tc>
          <w:tcPr>
            <w:tcW w:w="2126" w:type="dxa"/>
          </w:tcPr>
          <w:p w14:paraId="7A3D8D94" w14:textId="3B332539" w:rsidR="00FF4BD9" w:rsidRPr="00EC3E91" w:rsidRDefault="00FF4BD9" w:rsidP="009549DD">
            <w:pPr>
              <w:rPr>
                <w:rFonts w:cstheme="minorHAnsi"/>
                <w:sz w:val="20"/>
                <w:szCs w:val="20"/>
                <w:lang w:val="en-US"/>
              </w:rPr>
            </w:pPr>
            <w:r w:rsidRPr="00EC3E91">
              <w:rPr>
                <w:rFonts w:cstheme="minorHAnsi"/>
                <w:sz w:val="20"/>
                <w:szCs w:val="20"/>
                <w:lang w:val="en-US"/>
              </w:rPr>
              <w:t>Inappropriate elective percutaneous coronary intervention</w:t>
            </w:r>
          </w:p>
        </w:tc>
        <w:tc>
          <w:tcPr>
            <w:tcW w:w="3969" w:type="dxa"/>
          </w:tcPr>
          <w:p w14:paraId="266D713D" w14:textId="6492DF84" w:rsidR="00FF4BD9" w:rsidRPr="00EC3E91" w:rsidRDefault="00FF4BD9" w:rsidP="008B3709">
            <w:pPr>
              <w:rPr>
                <w:rFonts w:cstheme="minorHAnsi"/>
                <w:sz w:val="20"/>
                <w:szCs w:val="20"/>
                <w:lang w:val="en-US"/>
              </w:rPr>
            </w:pPr>
            <w:r w:rsidRPr="00EC3E91">
              <w:rPr>
                <w:rFonts w:cstheme="minorHAnsi"/>
                <w:sz w:val="20"/>
                <w:szCs w:val="20"/>
                <w:lang w:val="en-US"/>
              </w:rPr>
              <w:t xml:space="preserve">Appropriate use criteria for coronary revascularization focused update: A report of the American College of Cardiology </w:t>
            </w:r>
            <w:r w:rsidR="00761C16" w:rsidRPr="00EC3E91">
              <w:rPr>
                <w:rFonts w:cstheme="minorHAnsi"/>
                <w:sz w:val="20"/>
                <w:szCs w:val="20"/>
                <w:lang w:val="en-US"/>
              </w:rPr>
              <w:t xml:space="preserve">Foundation </w:t>
            </w:r>
            <w:r w:rsidR="00796746" w:rsidRPr="00EC3E91">
              <w:rPr>
                <w:rFonts w:cstheme="minorHAnsi"/>
                <w:sz w:val="20"/>
                <w:szCs w:val="20"/>
                <w:lang w:val="en-US"/>
              </w:rPr>
              <w:t xml:space="preserve">Appropriate </w:t>
            </w:r>
            <w:r w:rsidR="00594F8A" w:rsidRPr="00EC3E91">
              <w:rPr>
                <w:rFonts w:cstheme="minorHAnsi"/>
                <w:sz w:val="20"/>
                <w:szCs w:val="20"/>
                <w:lang w:val="en-US"/>
              </w:rPr>
              <w:t xml:space="preserve">Use </w:t>
            </w:r>
            <w:r w:rsidR="001026C6" w:rsidRPr="00EC3E91">
              <w:rPr>
                <w:rFonts w:cstheme="minorHAnsi"/>
                <w:sz w:val="20"/>
                <w:szCs w:val="20"/>
                <w:lang w:val="en-US"/>
              </w:rPr>
              <w:t xml:space="preserve">Criteria </w:t>
            </w:r>
            <w:r w:rsidR="009C6C1F" w:rsidRPr="00EC3E91">
              <w:rPr>
                <w:rFonts w:cstheme="minorHAnsi"/>
                <w:sz w:val="20"/>
                <w:szCs w:val="20"/>
                <w:lang w:val="en-US"/>
              </w:rPr>
              <w:t>Task Force</w:t>
            </w:r>
            <w:r w:rsidRPr="00EC3E91">
              <w:rPr>
                <w:rFonts w:cstheme="minorHAnsi"/>
                <w:sz w:val="20"/>
                <w:szCs w:val="20"/>
                <w:lang w:val="en-US"/>
              </w:rPr>
              <w:t xml:space="preserve">. </w:t>
            </w:r>
          </w:p>
        </w:tc>
        <w:tc>
          <w:tcPr>
            <w:tcW w:w="2551" w:type="dxa"/>
          </w:tcPr>
          <w:p w14:paraId="4F9DEF20" w14:textId="1582C3B3" w:rsidR="00FF4BD9" w:rsidRPr="00EC3E91" w:rsidRDefault="00FF4BD9" w:rsidP="009549DD">
            <w:pPr>
              <w:rPr>
                <w:rFonts w:cstheme="minorHAnsi"/>
                <w:sz w:val="20"/>
                <w:szCs w:val="20"/>
                <w:lang w:val="en-US"/>
              </w:rPr>
            </w:pPr>
            <w:r w:rsidRPr="00EC3E91">
              <w:rPr>
                <w:rFonts w:cstheme="minorHAnsi"/>
                <w:sz w:val="20"/>
                <w:szCs w:val="20"/>
                <w:lang w:val="en-US"/>
              </w:rPr>
              <w:t>use other payment schemes, [ACCOUNTABILITY TOOL]</w:t>
            </w:r>
          </w:p>
        </w:tc>
      </w:tr>
      <w:tr w:rsidR="00FF4BD9" w:rsidRPr="00EC3E91" w14:paraId="72E8D30C" w14:textId="77777777" w:rsidTr="00FF4BD9">
        <w:trPr>
          <w:tblHeader/>
        </w:trPr>
        <w:tc>
          <w:tcPr>
            <w:tcW w:w="709" w:type="dxa"/>
          </w:tcPr>
          <w:p w14:paraId="7DB8508B" w14:textId="3F367AE2" w:rsidR="00FF4BD9" w:rsidRPr="00EC3E91" w:rsidRDefault="00FF4BD9" w:rsidP="00206C4F">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{"citationItems":[{"id":"ITEM-1","itemData":{"abstract":"In 2013, the Danish Health and Medicines Authorities published a National Clinical Guideline on the treatment of age-related cataracts. The guideline provided evidence-based recommendations on the indication for cataract surgery, cataract surgery in patients with age-related macular degeneration, on the use of toric intraocular lenses (IOLs) to correct preoperative corneal astigmatism, the use of intracameral and topical antibiotics to prevent endophthalmitis, choice of anti-inflammatory medication to control postoperative inflammation and prevent cystoid macular oedema, the use of immediate sequential bilateral cataract surgery and on the postoperative check-up of patients. A questionnaire was sent to all members of the Danish Ophthalmological Society before and after publication of the guideline. The responses showed that the guideline had changed practice patterns so that surgeons were more likely to prescribe non-steroidal anti-inflammatory eye drops and to not prescribe topical antibiotic eye drops after the guideline was published. Other parameters, most notably the use of toric IOLs and use of postoperative examinations were more guided by reimbursement standards than by evidence-based medicine. Thus, evidence-based guidelines do change practice patterns unless they are counteracted by the reimbursement system.","author":[{"dropping-particle":"","family":"Kessel","given":"L","non-dropping-particle":"","parse-names":false,"suffix":""},{"dropping-particle":"","family":"Erngaard","given":"D","non-dropping-particle":"","parse-names":false,"suffix":""},{"dropping-particle":"","family":"Flesner","given":"P","non-dropping-particle":"","parse-names":false,"suffix":""},{"dropping-particle":"","family":"Andresen","given":"J","non-dropping-particle":"","parse-names":false,"suffix":""},{"dropping-particle":"","family":"Hjortdal","given":"J","non-dropping-particle":"","parse-names":false,"suffix":""}],"container-title":"Acta Opthalmologica","id":"ITEM-1","issue":"4","issued":{"date-parts":[["2017"]]},"page":"337-343","title":"Do evidence-based guidelines change clinical practice patterns?","type":"article-journal","volume":"95"},"uris":["http://www.mendeley.com/documents/?uuid=8fa2e762-0f84-47e0-aa40-bcaeceb8ca19"]}],"mendeley":{"formattedCitation":"(125)","plainTextFormattedCitation":"(125)","previouslyFormattedCitation":"(125)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(125)</w:t>
            </w:r>
            <w:r w:rsidRPr="00EC3E91">
              <w:rPr>
                <w:rFonts w:cstheme="minorHAnsi"/>
                <w:sz w:val="20"/>
                <w:szCs w:val="20"/>
                <w:lang w:val="en-US"/>
              </w:rPr>
              <w:fldChar w:fldCharType="end"/>
            </w:r>
          </w:p>
        </w:tc>
        <w:tc>
          <w:tcPr>
            <w:tcW w:w="992" w:type="dxa"/>
          </w:tcPr>
          <w:p w14:paraId="22F6E740" w14:textId="1EE3BC62" w:rsidR="00FF4BD9" w:rsidRPr="00EC3E91" w:rsidRDefault="00FF4BD9" w:rsidP="009549DD">
            <w:pPr>
              <w:rPr>
                <w:rFonts w:cstheme="minorHAnsi"/>
                <w:sz w:val="20"/>
                <w:szCs w:val="20"/>
                <w:lang w:val="en-US"/>
              </w:rPr>
            </w:pPr>
            <w:r w:rsidRPr="00EC3E91">
              <w:rPr>
                <w:rFonts w:cstheme="minorHAnsi"/>
                <w:sz w:val="20"/>
                <w:szCs w:val="20"/>
                <w:lang w:val="en-US"/>
              </w:rPr>
              <w:t>Denmark</w:t>
            </w:r>
          </w:p>
        </w:tc>
        <w:tc>
          <w:tcPr>
            <w:tcW w:w="993" w:type="dxa"/>
          </w:tcPr>
          <w:p w14:paraId="75123460" w14:textId="7B0D1327" w:rsidR="00FF4BD9" w:rsidRPr="00EC3E91" w:rsidRDefault="00FF4BD9" w:rsidP="009549DD">
            <w:pPr>
              <w:rPr>
                <w:rFonts w:cstheme="minorHAnsi"/>
                <w:sz w:val="20"/>
                <w:szCs w:val="20"/>
                <w:lang w:val="en-US"/>
              </w:rPr>
            </w:pPr>
            <w:r w:rsidRPr="00EC3E91">
              <w:rPr>
                <w:rFonts w:cstheme="minorHAnsi"/>
                <w:sz w:val="20"/>
                <w:szCs w:val="20"/>
                <w:lang w:val="en-US"/>
              </w:rPr>
              <w:t>Multiple settings</w:t>
            </w:r>
          </w:p>
        </w:tc>
        <w:tc>
          <w:tcPr>
            <w:tcW w:w="850" w:type="dxa"/>
          </w:tcPr>
          <w:p w14:paraId="56703492" w14:textId="3A8EA753"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99D9BE2" w14:textId="09D81229"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1E71F496" w14:textId="4DCC9AE6" w:rsidR="00FF4BD9" w:rsidRPr="00EC3E91" w:rsidRDefault="00FF4BD9" w:rsidP="009549DD">
            <w:pPr>
              <w:rPr>
                <w:rFonts w:cstheme="minorHAnsi"/>
                <w:sz w:val="20"/>
                <w:szCs w:val="20"/>
                <w:lang w:val="en-US"/>
              </w:rPr>
            </w:pPr>
            <w:r w:rsidRPr="00EC3E91">
              <w:rPr>
                <w:rFonts w:cstheme="minorHAnsi"/>
                <w:sz w:val="20"/>
                <w:szCs w:val="20"/>
                <w:lang w:val="en-US"/>
              </w:rPr>
              <w:t xml:space="preserve">Surgical and non-surgical procedures </w:t>
            </w:r>
          </w:p>
        </w:tc>
        <w:tc>
          <w:tcPr>
            <w:tcW w:w="2126" w:type="dxa"/>
          </w:tcPr>
          <w:p w14:paraId="14C0DCE9" w14:textId="53043C97" w:rsidR="00FF4BD9" w:rsidRPr="00EC3E91" w:rsidRDefault="00FF4BD9" w:rsidP="009549DD">
            <w:pPr>
              <w:rPr>
                <w:rFonts w:cstheme="minorHAnsi"/>
                <w:sz w:val="20"/>
                <w:szCs w:val="20"/>
                <w:lang w:val="en-US"/>
              </w:rPr>
            </w:pPr>
            <w:r w:rsidRPr="00EC3E91">
              <w:rPr>
                <w:rFonts w:cstheme="minorHAnsi"/>
                <w:sz w:val="20"/>
                <w:szCs w:val="20"/>
                <w:lang w:val="en-US"/>
              </w:rPr>
              <w:t>Cataract surgery</w:t>
            </w:r>
          </w:p>
        </w:tc>
        <w:tc>
          <w:tcPr>
            <w:tcW w:w="3969" w:type="dxa"/>
          </w:tcPr>
          <w:p w14:paraId="45E795E2" w14:textId="4810DE3D" w:rsidR="00FF4BD9" w:rsidRPr="006A62A1" w:rsidRDefault="00FF4BD9" w:rsidP="008B3709">
            <w:pPr>
              <w:rPr>
                <w:rFonts w:cstheme="minorHAnsi"/>
                <w:sz w:val="20"/>
                <w:szCs w:val="20"/>
              </w:rPr>
            </w:pPr>
            <w:r w:rsidRPr="006A62A1">
              <w:rPr>
                <w:rFonts w:cstheme="minorHAnsi"/>
                <w:sz w:val="20"/>
                <w:szCs w:val="20"/>
              </w:rPr>
              <w:t xml:space="preserve">Sundhedsstyrelsen (2013): National kliniskretningslinje for behandling af aldersbetingetgr a stær. </w:t>
            </w:r>
          </w:p>
        </w:tc>
        <w:tc>
          <w:tcPr>
            <w:tcW w:w="2551" w:type="dxa"/>
          </w:tcPr>
          <w:p w14:paraId="4F3E72A8" w14:textId="77777777"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p w14:paraId="606DE4A1" w14:textId="73949969" w:rsidR="00FF4BD9" w:rsidRPr="00EC3E91" w:rsidRDefault="00FF4BD9" w:rsidP="009549DD">
            <w:pPr>
              <w:rPr>
                <w:rFonts w:cstheme="minorHAnsi"/>
                <w:sz w:val="20"/>
                <w:szCs w:val="20"/>
                <w:lang w:val="en-US"/>
              </w:rPr>
            </w:pPr>
          </w:p>
        </w:tc>
      </w:tr>
      <w:tr w:rsidR="00FF4BD9" w:rsidRPr="00E119DD" w14:paraId="2FAAD6DE" w14:textId="77777777" w:rsidTr="00FF4BD9">
        <w:trPr>
          <w:tblHeader/>
        </w:trPr>
        <w:tc>
          <w:tcPr>
            <w:tcW w:w="709" w:type="dxa"/>
          </w:tcPr>
          <w:p w14:paraId="68F5560A" w14:textId="34439DF5"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 Persistent concern exists about the variable and possibly inappropriate utilization of high-cost imaging tests. The purpose of this study is to assess the influence of appropriate use criteria attributes on altering ambulatory imaging orders deemed inappropriate. MATERIALS AND METHODS: This secondary analysis included Medicare Imaging Demonstration data collected from three health care systems in 2011-2013 via the use of clinical decision support (CDS) during ambulatory imaging order entry. The CDS system captured whether orders were inappropriate per the appropriate use criteria of professional societies and provided advice during the intervention period. For orders deemed inappropriate, we assessed the impact of the availability of alternative test recommendations, conflicts with local best practices, and the strength of evidence for appropriate use criteria on the primary outcome of cancellation or modification of inappropriate orders. Expert review determined conflicts with local best practices for 250 recommendations for abdominal and thoracic CT orders. Strength of evidence was assessed for the 15 most commonly triggered recommendations that were deemed inappropriate. A chi-square test was used for univariate analysis. RESULTS: A total of 1691 of 63,222 imaging test orders (2.7%) were deemed inappropriate during the intervention period; this amount decreased from 364 of 11,675 test orders (3.1%) in the baseline period (p &lt; 0.00001). Of 270 inappropriate recommendations with alternative test recommendations, 28 (10.4%) were modified, compared with four of 1024 inappropriate recommendations without alternatives (0.4%) (p &lt; 0.0001). Seventy-eight of 250 recommendations (31%) conflicted with local best practices, but only six of 69 inappropriate recommendations (9%) conflicted (p &lt; 0.001). No inappropriate recommendations that conflicted with local best practices were modified. All 15 commonly triggered recommendations had an Oxford Centre for Evidence-Based Medicine level of evidence of 5 (i.e., expert opinion). CONCLUSION: Orders for imaging tests that were deemed inappropriate were modified infrequently, more often with alternative recommendations present and only for appropriate use criteria consistent with local best practices.","author":[{"dropping-particle":"","family":"Lacson","given":"R","non-dropping-particle":"","parse-names":false,"suffix":""},{"dropping-particle":"","family":"Ip","given":"I","non-dropping-particle":"","parse-names":false,"suffix":""},{"dropping-particle":"","family":"Hentel","given":"K D","non-dropping-particle":"","parse-names":false,"suffix":""},{"dropping-particle":"","family":"Malhotra","given":"S","non-dropping-particle":"","parse-names":false,"suffix":""},{"dropping-particle":"","family":"Balthazar","given":"P","non-dropping-particle":"","parse-names":false,"suffix":""},{"dropping-particle":"","family":"Langlotz","given":"C P","non-dropping-particle":"","parse-names":false,"suffix":""},{"dropping-particle":"","family":"Raja","given":"A S","non-dropping-particle":"","parse-names":false,"suffix":""},{"dropping-particle":"","family":"Khorasani","given":"R","non-dropping-particle":"","parse-names":false,"suffix":""}],"container-title":"AJR. American Journal of Roentgenology","id":"ITEM-1","issue":"5","issued":{"date-parts":[["2017"]]},"page":"1051-1057","title":"Medicare Imaging Demonstration: Assessing Attributes of Appropriate Use Criteria and Their Influence on Ordering Behavior","type":"article-journal","volume":"208"},"uris":["http://www.mendeley.com/documents/?uuid=8a00d2a5-b28a-4620-a7e5-9c755f9797ae"]}],"mendeley":{"formattedCitation":"(126)","plainTextFormattedCitation":"(126)","previouslyFormattedCitation":"(126)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(126)</w:t>
            </w:r>
            <w:r w:rsidRPr="00EC3E91">
              <w:rPr>
                <w:rFonts w:cstheme="minorHAnsi"/>
                <w:sz w:val="20"/>
                <w:szCs w:val="20"/>
                <w:lang w:val="en-US"/>
              </w:rPr>
              <w:fldChar w:fldCharType="end"/>
            </w:r>
          </w:p>
        </w:tc>
        <w:tc>
          <w:tcPr>
            <w:tcW w:w="992" w:type="dxa"/>
          </w:tcPr>
          <w:p w14:paraId="26F2A004" w14:textId="4C24F6EE"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44F17FE3" w14:textId="78851267" w:rsidR="00FF4BD9" w:rsidRPr="00EC3E91" w:rsidRDefault="00FF4BD9" w:rsidP="009549DD">
            <w:pPr>
              <w:rPr>
                <w:rFonts w:cstheme="minorHAnsi"/>
                <w:sz w:val="20"/>
                <w:szCs w:val="20"/>
                <w:lang w:val="en-US"/>
              </w:rPr>
            </w:pPr>
            <w:r w:rsidRPr="00EC3E91">
              <w:rPr>
                <w:rFonts w:cstheme="minorHAnsi"/>
                <w:sz w:val="20"/>
                <w:szCs w:val="20"/>
                <w:lang w:val="en-US"/>
              </w:rPr>
              <w:t>Multiple settings</w:t>
            </w:r>
          </w:p>
        </w:tc>
        <w:tc>
          <w:tcPr>
            <w:tcW w:w="850" w:type="dxa"/>
          </w:tcPr>
          <w:p w14:paraId="7FC3F769" w14:textId="508B666B"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BF77015" w14:textId="2B091B93"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E938FB2" w14:textId="5E712B20" w:rsidR="00FF4BD9" w:rsidRPr="00EC3E91" w:rsidRDefault="00226199" w:rsidP="009549DD">
            <w:pPr>
              <w:rPr>
                <w:rFonts w:cstheme="minorHAnsi"/>
                <w:sz w:val="20"/>
                <w:szCs w:val="20"/>
                <w:lang w:val="en-US"/>
              </w:rPr>
            </w:pPr>
            <w:r>
              <w:rPr>
                <w:rFonts w:cstheme="minorHAnsi"/>
                <w:sz w:val="20"/>
                <w:szCs w:val="20"/>
                <w:lang w:val="en-US"/>
              </w:rPr>
              <w:t>Imaging</w:t>
            </w:r>
          </w:p>
        </w:tc>
        <w:tc>
          <w:tcPr>
            <w:tcW w:w="2126" w:type="dxa"/>
          </w:tcPr>
          <w:p w14:paraId="7DFC9719" w14:textId="0FC8EB76" w:rsidR="00FF4BD9" w:rsidRPr="00EC3E91" w:rsidRDefault="00FF4BD9" w:rsidP="009549DD">
            <w:pPr>
              <w:rPr>
                <w:rFonts w:cstheme="minorHAnsi"/>
                <w:sz w:val="20"/>
                <w:szCs w:val="20"/>
                <w:lang w:val="en-US"/>
              </w:rPr>
            </w:pPr>
            <w:r w:rsidRPr="00EC3E91">
              <w:rPr>
                <w:rFonts w:cstheme="minorHAnsi"/>
                <w:sz w:val="20"/>
                <w:szCs w:val="20"/>
                <w:lang w:val="en-US"/>
              </w:rPr>
              <w:t>Inappropriate imaging</w:t>
            </w:r>
          </w:p>
        </w:tc>
        <w:tc>
          <w:tcPr>
            <w:tcW w:w="3969" w:type="dxa"/>
          </w:tcPr>
          <w:p w14:paraId="0875B60F" w14:textId="6372741C" w:rsidR="00FF4BD9" w:rsidRPr="00EC3E91" w:rsidRDefault="00FF4BD9" w:rsidP="00A441CB">
            <w:pPr>
              <w:rPr>
                <w:rFonts w:cstheme="minorHAnsi"/>
                <w:sz w:val="20"/>
                <w:szCs w:val="20"/>
                <w:lang w:val="en-US"/>
              </w:rPr>
            </w:pPr>
            <w:r w:rsidRPr="00EC3E91">
              <w:rPr>
                <w:rFonts w:cstheme="minorHAnsi"/>
                <w:sz w:val="20"/>
                <w:szCs w:val="20"/>
                <w:lang w:val="en-US"/>
              </w:rPr>
              <w:t xml:space="preserve">Haynes RB, Wilczynski NL. Effects of </w:t>
            </w:r>
            <w:r w:rsidR="009F4850" w:rsidRPr="00EC3E91">
              <w:rPr>
                <w:rFonts w:cstheme="minorHAnsi"/>
                <w:sz w:val="20"/>
                <w:szCs w:val="20"/>
                <w:lang w:val="en-US"/>
              </w:rPr>
              <w:t>computerized clinical</w:t>
            </w:r>
            <w:r w:rsidRPr="00EC3E91">
              <w:rPr>
                <w:rFonts w:cstheme="minorHAnsi"/>
                <w:sz w:val="20"/>
                <w:szCs w:val="20"/>
                <w:lang w:val="en-US"/>
              </w:rPr>
              <w:t xml:space="preserve"> decision support systems on </w:t>
            </w:r>
            <w:r w:rsidR="009F4850" w:rsidRPr="00EC3E91">
              <w:rPr>
                <w:rFonts w:cstheme="minorHAnsi"/>
                <w:sz w:val="20"/>
                <w:szCs w:val="20"/>
                <w:lang w:val="en-US"/>
              </w:rPr>
              <w:t>practitioner</w:t>
            </w:r>
            <w:r w:rsidRPr="00EC3E91">
              <w:rPr>
                <w:rFonts w:cstheme="minorHAnsi"/>
                <w:sz w:val="20"/>
                <w:szCs w:val="20"/>
                <w:lang w:val="en-US"/>
              </w:rPr>
              <w:t xml:space="preserve"> performance and patient outcomes: methods of a decision-maker-researcher partnership systematic review. Implement Sci 2010; 5:12</w:t>
            </w:r>
          </w:p>
          <w:p w14:paraId="26D60D55" w14:textId="77777777" w:rsidR="00FF4BD9" w:rsidRPr="00EC3E91" w:rsidRDefault="00FF4BD9" w:rsidP="00A441CB">
            <w:pPr>
              <w:rPr>
                <w:rFonts w:cstheme="minorHAnsi"/>
                <w:sz w:val="20"/>
                <w:szCs w:val="20"/>
                <w:lang w:val="en-US"/>
              </w:rPr>
            </w:pPr>
          </w:p>
          <w:p w14:paraId="7CCA2BF9" w14:textId="77777777" w:rsidR="00FF4BD9" w:rsidRPr="00EC3E91" w:rsidRDefault="00FF4BD9" w:rsidP="00A441CB">
            <w:pPr>
              <w:rPr>
                <w:rFonts w:cstheme="minorHAnsi"/>
                <w:sz w:val="20"/>
                <w:szCs w:val="20"/>
                <w:lang w:val="en-US"/>
              </w:rPr>
            </w:pPr>
            <w:r w:rsidRPr="00EC3E91">
              <w:rPr>
                <w:rFonts w:cstheme="minorHAnsi"/>
                <w:sz w:val="20"/>
                <w:szCs w:val="20"/>
                <w:lang w:val="en-US"/>
              </w:rPr>
              <w:t xml:space="preserve"> Archambault PM, Turgeon AF, Witteman HO, et al.  Implementation  and  evaluation  of  a  Wiki  in-volving  multiple  stakeholders  including  patients  in the promotion of best practices in trauma care: the WikiTrauma interrupted time series protocol. JMIR Res Protoc 2015; 4:e21</w:t>
            </w:r>
          </w:p>
          <w:p w14:paraId="7305F534" w14:textId="77777777" w:rsidR="00FF4BD9" w:rsidRPr="00EC3E91" w:rsidRDefault="00FF4BD9" w:rsidP="00A441CB">
            <w:pPr>
              <w:rPr>
                <w:rFonts w:cstheme="minorHAnsi"/>
                <w:sz w:val="20"/>
                <w:szCs w:val="20"/>
                <w:lang w:val="en-US"/>
              </w:rPr>
            </w:pPr>
          </w:p>
          <w:p w14:paraId="469CAE92" w14:textId="3CCFA0E4" w:rsidR="00FF4BD9" w:rsidRPr="00EC3E91" w:rsidRDefault="00FF4BD9" w:rsidP="00A441CB">
            <w:pPr>
              <w:rPr>
                <w:rFonts w:cstheme="minorHAnsi"/>
                <w:sz w:val="20"/>
                <w:szCs w:val="20"/>
                <w:lang w:val="en-US"/>
              </w:rPr>
            </w:pPr>
            <w:r w:rsidRPr="00EC3E91">
              <w:rPr>
                <w:rFonts w:cstheme="minorHAnsi"/>
                <w:sz w:val="20"/>
                <w:szCs w:val="20"/>
                <w:lang w:val="en-US"/>
              </w:rPr>
              <w:t xml:space="preserve"> Djulbegovic B, Kumar A, Kaufman RM, Tobian A, Guyatt GH. Quality of evidence is a key determinant for making a strong guidelines recommendation. J Clin Epidemiol 2015; 68:727–737</w:t>
            </w:r>
          </w:p>
          <w:p w14:paraId="03E1F96D" w14:textId="77777777" w:rsidR="00FF4BD9" w:rsidRPr="00EC3E91" w:rsidRDefault="00FF4BD9" w:rsidP="00A441CB">
            <w:pPr>
              <w:rPr>
                <w:rFonts w:cstheme="minorHAnsi"/>
                <w:sz w:val="20"/>
                <w:szCs w:val="20"/>
                <w:lang w:val="en-US"/>
              </w:rPr>
            </w:pPr>
          </w:p>
          <w:p w14:paraId="5E3D889A" w14:textId="5927204E" w:rsidR="00FF4BD9" w:rsidRPr="00EC3E91" w:rsidRDefault="00FF4BD9" w:rsidP="00A441CB">
            <w:pPr>
              <w:rPr>
                <w:rFonts w:cstheme="minorHAnsi"/>
                <w:sz w:val="20"/>
                <w:szCs w:val="20"/>
                <w:lang w:val="en-US"/>
              </w:rPr>
            </w:pPr>
            <w:r w:rsidRPr="00E119DD">
              <w:rPr>
                <w:rFonts w:cstheme="minorHAnsi"/>
                <w:sz w:val="20"/>
                <w:szCs w:val="20"/>
                <w:lang w:val="en-US"/>
              </w:rPr>
              <w:t xml:space="preserve">Li Y, Kong N, Lawley M, Weiss L, Pagán JA. </w:t>
            </w:r>
            <w:r w:rsidRPr="00EC3E91">
              <w:rPr>
                <w:rFonts w:cstheme="minorHAnsi"/>
                <w:sz w:val="20"/>
                <w:szCs w:val="20"/>
                <w:lang w:val="en-US"/>
              </w:rPr>
              <w:t xml:space="preserve">Advancing the use of evidence-based decision-making in local health departments with systems science  methodologies.  Am  J  </w:t>
            </w:r>
            <w:r w:rsidR="00600638" w:rsidRPr="00EC3E91">
              <w:rPr>
                <w:rFonts w:cstheme="minorHAnsi"/>
                <w:sz w:val="20"/>
                <w:szCs w:val="20"/>
                <w:lang w:val="en-US"/>
              </w:rPr>
              <w:t>Public Health</w:t>
            </w:r>
            <w:r w:rsidRPr="00EC3E91">
              <w:rPr>
                <w:rFonts w:cstheme="minorHAnsi"/>
                <w:sz w:val="20"/>
                <w:szCs w:val="20"/>
                <w:lang w:val="en-US"/>
              </w:rPr>
              <w:t xml:space="preserve">  2015;  105(suppl 2):S217–S222</w:t>
            </w:r>
          </w:p>
        </w:tc>
        <w:tc>
          <w:tcPr>
            <w:tcW w:w="2551" w:type="dxa"/>
          </w:tcPr>
          <w:p w14:paraId="79AE52C9" w14:textId="5463701B" w:rsidR="00FF4BD9" w:rsidRPr="00EC3E91" w:rsidRDefault="00FF4BD9" w:rsidP="009549DD">
            <w:pPr>
              <w:rPr>
                <w:rFonts w:cstheme="minorHAnsi"/>
                <w:sz w:val="20"/>
                <w:szCs w:val="20"/>
                <w:lang w:val="en-US"/>
              </w:rPr>
            </w:pPr>
            <w:r w:rsidRPr="00EC3E91">
              <w:rPr>
                <w:rFonts w:cstheme="minorHAnsi"/>
                <w:sz w:val="20"/>
                <w:szCs w:val="20"/>
                <w:lang w:val="en-US"/>
              </w:rPr>
              <w:t xml:space="preserve">Remind clinicians </w:t>
            </w:r>
          </w:p>
        </w:tc>
      </w:tr>
      <w:tr w:rsidR="00FF4BD9" w:rsidRPr="00E119DD" w14:paraId="218978AA" w14:textId="77777777" w:rsidTr="00FF4BD9">
        <w:trPr>
          <w:tblHeader/>
        </w:trPr>
        <w:tc>
          <w:tcPr>
            <w:tcW w:w="709" w:type="dxa"/>
          </w:tcPr>
          <w:p w14:paraId="4801C137" w14:textId="47F23092"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{"citationItems":[{"id":"ITEM-1","itemData":{"abstract":"Faced with national requirements to promote antimicrobial stewardship and reduce drug-resistant infections, community hospitals are challenged to make the best use of existing resources. Eighteen months after building antibiotic decision support into our electronic order platform, high-risk antibiotic use decreased by 83% (P&lt;.001) at our community hospital. Hospital-acquired Clostridium difficile infections declined 24% (P=.07).","author":[{"dropping-particle":"","family":"Lambl","given":"B B","non-dropping-particle":"","parse-names":false,"suffix":""},{"dropping-particle":"","family":"Kaufman","given":"N","non-dropping-particle":"","parse-names":false,"suffix":""},{"dropping-particle":"","family":"Kurowski","given":"J","non-dropping-particle":"","parse-names":false,"suffix":""},{"dropping-particle":"","family":"O'Neill","given":"W","non-dropping-particle":"","parse-names":false,"suffix":""},{"dropping-particle":"","family":"Buckley F.","given":"Jr.","non-dropping-particle":"","parse-names":false,"suffix":""},{"dropping-particle":"","family":"Duram","given":"M","non-dropping-particle":"","parse-names":false,"suffix":""},{"dropping-particle":"","family":"Swartz","given":"B","non-dropping-particle":"","parse-names":false,"suffix":""},{"dropping-particle":"","family":"Phillips","given":"D","non-dropping-particle":"","parse-names":false,"suffix":""},{"dropping-particle":"","family":"Rein","given":"M","non-dropping-particle":"","parse-names":false,"suffix":""},{"dropping-particle":"","family":"Rubin","given":"M","non-dropping-particle":"","parse-names":false,"suffix":""}],"container-title":"Journal of the American Medical Informatics Association","id":"ITEM-1","issue":"5","issued":{"date-parts":[["2017"]]},"page":"981-985","title":"Does electronic stewardship work?","type":"article-journal","volume":"24"},"uris":["http://www.mendeley.com/documents/?uuid=2b62834e-7472-4510-9970-6e8954856a25"]}],"mendeley":{"formattedCitation":"(127)","plainTextFormattedCitation":"(127)","previouslyFormattedCitation":"(127)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(127)</w:t>
            </w:r>
            <w:r w:rsidRPr="00EC3E91">
              <w:rPr>
                <w:rFonts w:cstheme="minorHAnsi"/>
                <w:sz w:val="20"/>
                <w:szCs w:val="20"/>
                <w:lang w:val="en-US"/>
              </w:rPr>
              <w:fldChar w:fldCharType="end"/>
            </w:r>
          </w:p>
        </w:tc>
        <w:tc>
          <w:tcPr>
            <w:tcW w:w="992" w:type="dxa"/>
          </w:tcPr>
          <w:p w14:paraId="065E2829" w14:textId="3FF449AE"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653763D1" w14:textId="0C6698F4"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18FD283D" w14:textId="61685E7F" w:rsidR="00FF4BD9" w:rsidRPr="00EC3E91" w:rsidRDefault="00FF4BD9" w:rsidP="009549DD">
            <w:pPr>
              <w:rPr>
                <w:rFonts w:cstheme="minorHAnsi"/>
                <w:sz w:val="20"/>
                <w:szCs w:val="20"/>
                <w:lang w:val="en-US"/>
              </w:rPr>
            </w:pPr>
            <w:r w:rsidRPr="00EC3E91">
              <w:rPr>
                <w:rFonts w:cstheme="minorHAnsi"/>
                <w:sz w:val="20"/>
                <w:szCs w:val="20"/>
                <w:lang w:val="en-US"/>
              </w:rPr>
              <w:t xml:space="preserve">Quant Pre-post </w:t>
            </w:r>
          </w:p>
        </w:tc>
        <w:tc>
          <w:tcPr>
            <w:tcW w:w="851" w:type="dxa"/>
          </w:tcPr>
          <w:p w14:paraId="42FD616F" w14:textId="0CF2431E"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D8FBEC9" w14:textId="77795637"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5E96E83B" w14:textId="40AF2878" w:rsidR="00FF4BD9" w:rsidRPr="00EC3E91" w:rsidRDefault="00FF4BD9" w:rsidP="009549DD">
            <w:pPr>
              <w:rPr>
                <w:rFonts w:cstheme="minorHAnsi"/>
                <w:sz w:val="20"/>
                <w:szCs w:val="20"/>
                <w:lang w:val="en-US"/>
              </w:rPr>
            </w:pPr>
            <w:r w:rsidRPr="00EC3E91">
              <w:rPr>
                <w:rFonts w:cstheme="minorHAnsi"/>
                <w:sz w:val="20"/>
                <w:szCs w:val="20"/>
                <w:lang w:val="en-US"/>
              </w:rPr>
              <w:t>Inappropriate use of high-risk antibiotics</w:t>
            </w:r>
          </w:p>
        </w:tc>
        <w:tc>
          <w:tcPr>
            <w:tcW w:w="3969" w:type="dxa"/>
          </w:tcPr>
          <w:p w14:paraId="4F8AED48" w14:textId="4A2A99F5" w:rsidR="00FF4BD9" w:rsidRPr="00EC3E91" w:rsidRDefault="00FF4BD9" w:rsidP="00A441CB">
            <w:pPr>
              <w:rPr>
                <w:rFonts w:cstheme="minorHAnsi"/>
                <w:sz w:val="20"/>
                <w:szCs w:val="20"/>
                <w:lang w:val="en-US"/>
              </w:rPr>
            </w:pPr>
            <w:r w:rsidRPr="00EC3E91">
              <w:rPr>
                <w:rFonts w:cstheme="minorHAnsi"/>
                <w:sz w:val="20"/>
                <w:szCs w:val="20"/>
                <w:lang w:val="en-US"/>
              </w:rPr>
              <w:t>CDC STD Treatment Guidelines.</w:t>
            </w:r>
          </w:p>
          <w:p w14:paraId="1FBDD234" w14:textId="77777777" w:rsidR="00FF4BD9" w:rsidRPr="00EC3E91" w:rsidRDefault="00FF4BD9" w:rsidP="00A441CB">
            <w:pPr>
              <w:rPr>
                <w:rFonts w:cstheme="minorHAnsi"/>
                <w:sz w:val="20"/>
                <w:szCs w:val="20"/>
                <w:lang w:val="en-US"/>
              </w:rPr>
            </w:pPr>
          </w:p>
          <w:p w14:paraId="69BEC38A" w14:textId="0D931168" w:rsidR="00FF4BD9" w:rsidRPr="00EC3E91" w:rsidRDefault="00FF4BD9" w:rsidP="008B3709">
            <w:pPr>
              <w:rPr>
                <w:rFonts w:cstheme="minorHAnsi"/>
                <w:sz w:val="20"/>
                <w:szCs w:val="20"/>
                <w:lang w:val="en-US"/>
              </w:rPr>
            </w:pPr>
            <w:r w:rsidRPr="00EC3E91">
              <w:rPr>
                <w:rFonts w:cstheme="minorHAnsi"/>
                <w:sz w:val="20"/>
                <w:szCs w:val="20"/>
                <w:lang w:val="en-US"/>
              </w:rPr>
              <w:t xml:space="preserve"> ATS/IDSA Community </w:t>
            </w:r>
            <w:r w:rsidR="00600638" w:rsidRPr="00EC3E91">
              <w:rPr>
                <w:rFonts w:cstheme="minorHAnsi"/>
                <w:sz w:val="20"/>
                <w:szCs w:val="20"/>
                <w:lang w:val="en-US"/>
              </w:rPr>
              <w:t xml:space="preserve">Acquired </w:t>
            </w:r>
            <w:r w:rsidR="00796746" w:rsidRPr="00EC3E91">
              <w:rPr>
                <w:rFonts w:cstheme="minorHAnsi"/>
                <w:sz w:val="20"/>
                <w:szCs w:val="20"/>
                <w:lang w:val="en-US"/>
              </w:rPr>
              <w:t xml:space="preserve">Pneumonia </w:t>
            </w:r>
            <w:r w:rsidR="00594F8A" w:rsidRPr="00EC3E91">
              <w:rPr>
                <w:rFonts w:cstheme="minorHAnsi"/>
                <w:sz w:val="20"/>
                <w:szCs w:val="20"/>
                <w:lang w:val="en-US"/>
              </w:rPr>
              <w:t>in Adults</w:t>
            </w:r>
            <w:r w:rsidRPr="00EC3E91">
              <w:rPr>
                <w:rFonts w:cstheme="minorHAnsi"/>
                <w:sz w:val="20"/>
                <w:szCs w:val="20"/>
                <w:lang w:val="en-US"/>
              </w:rPr>
              <w:t xml:space="preserve">:  </w:t>
            </w:r>
            <w:r w:rsidR="001026C6" w:rsidRPr="00EC3E91">
              <w:rPr>
                <w:rFonts w:cstheme="minorHAnsi"/>
                <w:sz w:val="20"/>
                <w:szCs w:val="20"/>
                <w:lang w:val="en-US"/>
              </w:rPr>
              <w:t>Guidelines for</w:t>
            </w:r>
            <w:r w:rsidRPr="00EC3E91">
              <w:rPr>
                <w:rFonts w:cstheme="minorHAnsi"/>
                <w:sz w:val="20"/>
                <w:szCs w:val="20"/>
                <w:lang w:val="en-US"/>
              </w:rPr>
              <w:t xml:space="preserve"> Management. </w:t>
            </w:r>
          </w:p>
          <w:p w14:paraId="4DD71DB6" w14:textId="77777777" w:rsidR="00FF4BD9" w:rsidRPr="00EC3E91" w:rsidRDefault="00FF4BD9" w:rsidP="008B3709">
            <w:pPr>
              <w:rPr>
                <w:rFonts w:cstheme="minorHAnsi"/>
                <w:sz w:val="20"/>
                <w:szCs w:val="20"/>
                <w:lang w:val="en-US"/>
              </w:rPr>
            </w:pPr>
          </w:p>
          <w:p w14:paraId="5E57F6A6" w14:textId="1CEBF804" w:rsidR="00FF4BD9" w:rsidRPr="00EC3E91" w:rsidRDefault="00FF4BD9" w:rsidP="008B3709">
            <w:pPr>
              <w:rPr>
                <w:rFonts w:cstheme="minorHAnsi"/>
                <w:sz w:val="20"/>
                <w:szCs w:val="20"/>
                <w:lang w:val="en-US"/>
              </w:rPr>
            </w:pPr>
            <w:r w:rsidRPr="00EC3E91">
              <w:rPr>
                <w:rFonts w:cstheme="minorHAnsi"/>
                <w:sz w:val="20"/>
                <w:szCs w:val="20"/>
                <w:lang w:val="en-US"/>
              </w:rPr>
              <w:t>IDSA Practice Guidelines for Management of Skin and Soft Tissue Infections.</w:t>
            </w:r>
          </w:p>
        </w:tc>
        <w:tc>
          <w:tcPr>
            <w:tcW w:w="2551" w:type="dxa"/>
          </w:tcPr>
          <w:p w14:paraId="6F9E28A0" w14:textId="002ED196" w:rsidR="00FF4BD9" w:rsidRPr="00EC3E91" w:rsidRDefault="00FF4BD9" w:rsidP="009549DD">
            <w:pPr>
              <w:rPr>
                <w:rFonts w:cstheme="minorHAnsi"/>
                <w:sz w:val="20"/>
                <w:szCs w:val="20"/>
                <w:lang w:val="en-US"/>
              </w:rPr>
            </w:pPr>
            <w:r w:rsidRPr="00EC3E91">
              <w:rPr>
                <w:rFonts w:cstheme="minorHAnsi"/>
                <w:sz w:val="20"/>
                <w:szCs w:val="20"/>
                <w:lang w:val="en-US"/>
              </w:rPr>
              <w:t xml:space="preserve">remind clinicians, [ACCOUNTABILITY TOOL], conduct educational meeting  </w:t>
            </w:r>
          </w:p>
        </w:tc>
      </w:tr>
      <w:tr w:rsidR="00FF4BD9" w:rsidRPr="00E119DD" w14:paraId="5CF23D82" w14:textId="77777777" w:rsidTr="00FF4BD9">
        <w:trPr>
          <w:tblHeader/>
        </w:trPr>
        <w:tc>
          <w:tcPr>
            <w:tcW w:w="709" w:type="dxa"/>
          </w:tcPr>
          <w:p w14:paraId="31E6D306" w14:textId="336608E4"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{"citationItems":[{"id":"ITEM-1","itemData":{"abstract":"OBJECTIVES: Appropriate laboratory utilization more often than not needs to be initiated by the laboratory. This study was performed to analyze the impact on test ordering patterns in the emergency department obtained by omitting certain tests from the electronic tick box request form. The tests could still be ordered by writing the full name of the test or by a phone call. METHODS: Erythrocyte sedimentation rate (ESR), fibrinogen, aspartate aminotransferase (AST), calcium and lipase were omitted from the electronic request form and could subsequently be ordered either by phone or a typed-in request. A reflex testing protocol was elaborated for reduction of creatine kinase (CK) and CK-MB analyses. All interventions were introduced with prior consultation with clinical staff and according to current guidelines. The reduction of test orders and costs in the post-intervention period was assessed. All data were retrieved retrospectively from the laboratory information system (LIS). RESULTS: Disappearance from the tick box request form resulted in a significant decrease in the number of requests for targeted tests in the post-intervention year, mostly affecting AST and fibrinogen (83% and 79% reduction of ordering, respectively), followed by a 58% reduction in calcium orders, and 54% and 43% reductions in ESR and lipase requests, respectively. A substantial reduction in CK requests was also observed, while CK-MB requests almost disappeared. Annual cost savings that emerged from all implemented interventions were estimated to be 19,445. CONCLUSION: Significant reduction in ordering of selected tests was achieved simply by limiting their availability in hospital computerized order entry (COE) system. The present data suggest that removal of laboratory tests from the electronic request form can be an effective tool for changing physicians' test ordering behavior.","author":[{"dropping-particle":"","family":"Lapic","given":"I","non-dropping-particle":"","parse-names":false,"suffix":""},{"dropping-particle":"","family":"Juros","given":"G F","non-dropping-particle":"","parse-names":false,"suffix":""},{"dropping-particle":"","family":"Rako","given":"I","non-dropping-particle":"","parse-names":false,"suffix":""},{"dropping-particle":"","family":"Rogic","given":"D","non-dropping-particle":"","parse-names":false,"suffix":""}],"container-title":"International Journal of Medical Informatics","id":"ITEM-1","issued":{"date-parts":[["2017"]]},"page":"29-34","title":"Changing the electronic request form proves to be an effective tool for optimizing laboratory test utilization in the emergency department","type":"article-journal","volume":"102"},"uris":["http://www.mendeley.com/documents/?uuid=dbb10912-fd24-406b-81e4-7cfc82bfd9ed"]}],"mendeley":{"formattedCitation":"(128)","plainTextFormattedCitation":"(128)","previouslyFormattedCitation":"(128)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(128)</w:t>
            </w:r>
            <w:r w:rsidRPr="00EC3E91">
              <w:rPr>
                <w:rFonts w:cstheme="minorHAnsi"/>
                <w:sz w:val="20"/>
                <w:szCs w:val="20"/>
                <w:lang w:val="en-US"/>
              </w:rPr>
              <w:fldChar w:fldCharType="end"/>
            </w:r>
          </w:p>
        </w:tc>
        <w:tc>
          <w:tcPr>
            <w:tcW w:w="992" w:type="dxa"/>
          </w:tcPr>
          <w:p w14:paraId="7F3A48AB" w14:textId="4FBBD0E5" w:rsidR="00FF4BD9" w:rsidRPr="00EC3E91" w:rsidRDefault="00FF4BD9" w:rsidP="009549DD">
            <w:pPr>
              <w:rPr>
                <w:rFonts w:cstheme="minorHAnsi"/>
                <w:sz w:val="20"/>
                <w:szCs w:val="20"/>
                <w:lang w:val="en-US"/>
              </w:rPr>
            </w:pPr>
            <w:r w:rsidRPr="00EC3E91">
              <w:rPr>
                <w:rFonts w:cstheme="minorHAnsi"/>
                <w:sz w:val="20"/>
                <w:szCs w:val="20"/>
                <w:lang w:val="en-US"/>
              </w:rPr>
              <w:t xml:space="preserve">Croatia </w:t>
            </w:r>
          </w:p>
        </w:tc>
        <w:tc>
          <w:tcPr>
            <w:tcW w:w="993" w:type="dxa"/>
          </w:tcPr>
          <w:p w14:paraId="7A02D0DD" w14:textId="02C68EE4"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59139B28" w14:textId="0A84091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60342485" w14:textId="0BE52F2B"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B69FE19" w14:textId="24D8F8B3"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p>
        </w:tc>
        <w:tc>
          <w:tcPr>
            <w:tcW w:w="2126" w:type="dxa"/>
          </w:tcPr>
          <w:p w14:paraId="3C45E19E" w14:textId="39AE3D11" w:rsidR="00FF4BD9" w:rsidRPr="00EC3E91" w:rsidRDefault="00FF4BD9" w:rsidP="009549DD">
            <w:pPr>
              <w:rPr>
                <w:rFonts w:cstheme="minorHAnsi"/>
                <w:sz w:val="20"/>
                <w:szCs w:val="20"/>
                <w:lang w:val="en-US"/>
              </w:rPr>
            </w:pPr>
            <w:r w:rsidRPr="00EC3E91">
              <w:rPr>
                <w:rFonts w:cstheme="minorHAnsi"/>
                <w:sz w:val="20"/>
                <w:szCs w:val="20"/>
                <w:lang w:val="en-US"/>
              </w:rPr>
              <w:t>Inappropriate laboratory testing</w:t>
            </w:r>
          </w:p>
        </w:tc>
        <w:tc>
          <w:tcPr>
            <w:tcW w:w="3969" w:type="dxa"/>
          </w:tcPr>
          <w:p w14:paraId="5FED50C0" w14:textId="7C5B5FF1" w:rsidR="00FF4BD9" w:rsidRPr="00EC3E91" w:rsidRDefault="00FF4BD9" w:rsidP="008B3709">
            <w:pPr>
              <w:rPr>
                <w:rFonts w:cstheme="minorHAnsi"/>
                <w:sz w:val="20"/>
                <w:szCs w:val="20"/>
                <w:lang w:val="en-US"/>
              </w:rPr>
            </w:pPr>
            <w:r w:rsidRPr="00EC3E91">
              <w:rPr>
                <w:rFonts w:cstheme="minorHAnsi"/>
                <w:sz w:val="20"/>
                <w:szCs w:val="20"/>
                <w:lang w:val="en-US"/>
              </w:rPr>
              <w:t>The third universal definition of myocardial infarction by a Writing group on behalf of the joint ESC/ACCF/AHA/WHF Task force for the universal definition of myocardial infarction.</w:t>
            </w:r>
          </w:p>
        </w:tc>
        <w:tc>
          <w:tcPr>
            <w:tcW w:w="2551" w:type="dxa"/>
          </w:tcPr>
          <w:p w14:paraId="339EB252" w14:textId="77777777" w:rsidR="00FF4BD9" w:rsidRPr="00EC3E91" w:rsidRDefault="00FF4BD9" w:rsidP="009549DD">
            <w:pPr>
              <w:rPr>
                <w:rFonts w:cstheme="minorHAnsi"/>
                <w:sz w:val="20"/>
                <w:szCs w:val="20"/>
                <w:lang w:val="en-US"/>
              </w:rPr>
            </w:pPr>
            <w:r w:rsidRPr="00EC3E91">
              <w:rPr>
                <w:rFonts w:cstheme="minorHAnsi"/>
                <w:sz w:val="20"/>
                <w:szCs w:val="20"/>
                <w:lang w:val="en-US"/>
              </w:rPr>
              <w:t xml:space="preserve">Change physical structure and equipment </w:t>
            </w:r>
          </w:p>
          <w:p w14:paraId="2E3FB43C" w14:textId="4B599194" w:rsidR="00FF4BD9" w:rsidRPr="00EC3E91" w:rsidRDefault="00FF4BD9" w:rsidP="009549DD">
            <w:pPr>
              <w:rPr>
                <w:rFonts w:cstheme="minorHAnsi"/>
                <w:sz w:val="20"/>
                <w:szCs w:val="20"/>
                <w:lang w:val="en-US"/>
              </w:rPr>
            </w:pPr>
          </w:p>
        </w:tc>
      </w:tr>
      <w:tr w:rsidR="00FF4BD9" w:rsidRPr="00E119DD" w14:paraId="1F4A5100" w14:textId="77777777" w:rsidTr="00FF4BD9">
        <w:trPr>
          <w:tblHeader/>
        </w:trPr>
        <w:tc>
          <w:tcPr>
            <w:tcW w:w="709" w:type="dxa"/>
          </w:tcPr>
          <w:p w14:paraId="542E8AA7" w14:textId="29AACD17"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{"citationItems":[{"id":"ITEM-1","itemData":{"author":[{"dropping-particle":"","family":"Linder","given":"J A","non-dropping-particle":"","parse-names":false,"suffix":""},{"dropping-particle":"","family":"Meeker","given":"D","non-dropping-particle":"","parse-names":false,"suffix":""},{"dropping-particle":"","family":"Fox","given":"C R","non-dropping-particle":"","parse-names":false,"suffix":""},{"dropping-particle":"","family":"Friedberg","given":"M W","non-dropping-particle":"","parse-names":false,"suffix":""},{"dropping-particle":"","family":"Persell","given":"S D","non-dropping-particle":"","parse-names":false,"suffix":""},{"dropping-particle":"","family":"Goldstein","given":"N J","non-dropping-particle":"","parse-names":false,"suffix":""},{"dropping-particle":"","family":"Doctor","given":"J N","non-dropping-particle":"","parse-names":false,"suffix":""}],"container-title":"JAMA","id":"ITEM-1","issue":"14","issued":{"date-parts":[["2017"]]},"page":"1391-1392","title":"Effects of Behavioral Interventions on Inappropriate Antibiotic Prescribing in Primary Care 12 Months After Stopping Interventions","type":"article-journal","volume":"318"},"uris":["http://www.mendeley.com/documents/?uuid=f519f5a6-9f2a-4afa-ad7e-e47bf5eaba11"]}],"mendeley":{"formattedCitation":"(129)","plainTextFormattedCitation":"(129)","previouslyFormattedCitation":"(129)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(129)</w:t>
            </w:r>
            <w:r w:rsidRPr="00EC3E91">
              <w:rPr>
                <w:rFonts w:cstheme="minorHAnsi"/>
                <w:sz w:val="20"/>
                <w:szCs w:val="20"/>
                <w:lang w:val="en-US"/>
              </w:rPr>
              <w:fldChar w:fldCharType="end"/>
            </w:r>
          </w:p>
        </w:tc>
        <w:tc>
          <w:tcPr>
            <w:tcW w:w="992" w:type="dxa"/>
          </w:tcPr>
          <w:p w14:paraId="188A0E20" w14:textId="7BE08454"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034C92DB" w14:textId="0EA5B451"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2BAA9C00" w14:textId="6D1E8724"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4B2F6792" w14:textId="3919BF78" w:rsidR="00FF4BD9" w:rsidRPr="00EC3E91" w:rsidRDefault="00FF4BD9" w:rsidP="009549DD">
            <w:pPr>
              <w:rPr>
                <w:rFonts w:cstheme="minorHAnsi"/>
                <w:sz w:val="20"/>
                <w:szCs w:val="20"/>
                <w:lang w:val="en-US"/>
              </w:rPr>
            </w:pPr>
            <w:r w:rsidRPr="00EC3E91">
              <w:rPr>
                <w:rFonts w:cstheme="minorHAnsi"/>
                <w:sz w:val="20"/>
                <w:szCs w:val="20"/>
                <w:lang w:val="en-US"/>
              </w:rPr>
              <w:t xml:space="preserve">Efficacy Effectiveness </w:t>
            </w:r>
          </w:p>
        </w:tc>
        <w:tc>
          <w:tcPr>
            <w:tcW w:w="1134" w:type="dxa"/>
          </w:tcPr>
          <w:p w14:paraId="74A52606" w14:textId="2CF6AA1A"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5E7F50C2" w14:textId="2C65DD56" w:rsidR="00FF4BD9" w:rsidRPr="00EC3E91" w:rsidRDefault="00FF4BD9" w:rsidP="00603A89">
            <w:pPr>
              <w:rPr>
                <w:rFonts w:cstheme="minorHAnsi"/>
                <w:sz w:val="20"/>
                <w:szCs w:val="20"/>
                <w:lang w:val="en-US"/>
              </w:rPr>
            </w:pPr>
            <w:r w:rsidRPr="00EC3E91">
              <w:rPr>
                <w:rFonts w:cstheme="minorHAnsi"/>
                <w:sz w:val="20"/>
                <w:szCs w:val="20"/>
                <w:lang w:val="en-US"/>
              </w:rPr>
              <w:t xml:space="preserve">Inappropriate use of antibiotics </w:t>
            </w:r>
          </w:p>
          <w:p w14:paraId="554A13C4" w14:textId="264D73F2" w:rsidR="00FF4BD9" w:rsidRPr="00EC3E91" w:rsidRDefault="00FF4BD9" w:rsidP="00A441CB">
            <w:pPr>
              <w:rPr>
                <w:rFonts w:cstheme="minorHAnsi"/>
                <w:sz w:val="20"/>
                <w:szCs w:val="20"/>
                <w:lang w:val="en-US"/>
              </w:rPr>
            </w:pPr>
            <w:r w:rsidRPr="00EC3E91">
              <w:rPr>
                <w:rFonts w:cstheme="minorHAnsi"/>
                <w:sz w:val="20"/>
                <w:szCs w:val="20"/>
                <w:lang w:val="en-US"/>
              </w:rPr>
              <w:t>for nonspecific</w:t>
            </w:r>
          </w:p>
          <w:p w14:paraId="15E5389F" w14:textId="77777777" w:rsidR="00FF4BD9" w:rsidRPr="00EC3E91" w:rsidRDefault="00FF4BD9" w:rsidP="00A441CB">
            <w:pPr>
              <w:rPr>
                <w:rFonts w:cstheme="minorHAnsi"/>
                <w:sz w:val="20"/>
                <w:szCs w:val="20"/>
                <w:lang w:val="en-US"/>
              </w:rPr>
            </w:pPr>
            <w:r w:rsidRPr="00EC3E91">
              <w:rPr>
                <w:rFonts w:cstheme="minorHAnsi"/>
                <w:sz w:val="20"/>
                <w:szCs w:val="20"/>
                <w:lang w:val="en-US"/>
              </w:rPr>
              <w:t>upper respiratory tract infections, acute bronchitis, and</w:t>
            </w:r>
          </w:p>
          <w:p w14:paraId="7EB0BA26" w14:textId="15B9ED41" w:rsidR="00FF4BD9" w:rsidRPr="00EC3E91" w:rsidRDefault="00FF4BD9" w:rsidP="00A441CB">
            <w:pPr>
              <w:rPr>
                <w:rFonts w:cstheme="minorHAnsi"/>
                <w:sz w:val="20"/>
                <w:szCs w:val="20"/>
                <w:lang w:val="en-US"/>
              </w:rPr>
            </w:pPr>
            <w:r w:rsidRPr="00EC3E91">
              <w:rPr>
                <w:rFonts w:cstheme="minorHAnsi"/>
                <w:sz w:val="20"/>
                <w:szCs w:val="20"/>
                <w:lang w:val="en-US"/>
              </w:rPr>
              <w:t>influenza.</w:t>
            </w:r>
          </w:p>
        </w:tc>
        <w:tc>
          <w:tcPr>
            <w:tcW w:w="3969" w:type="dxa"/>
          </w:tcPr>
          <w:p w14:paraId="5CE23B50" w14:textId="4623E1BF" w:rsidR="00FF4BD9" w:rsidRPr="00EC3E91" w:rsidRDefault="00FF4BD9" w:rsidP="008B3709">
            <w:pPr>
              <w:rPr>
                <w:rFonts w:cstheme="minorHAnsi"/>
                <w:sz w:val="20"/>
                <w:szCs w:val="20"/>
                <w:lang w:val="en-US"/>
              </w:rPr>
            </w:pPr>
            <w:r w:rsidRPr="00EC3E91">
              <w:rPr>
                <w:rFonts w:cstheme="minorHAnsi"/>
                <w:sz w:val="20"/>
                <w:szCs w:val="20"/>
                <w:lang w:val="en-US"/>
              </w:rPr>
              <w:t xml:space="preserve">Principles of Appropriate Antibiotic Use for Treatment of Nonspecific Upper Respiratory Tract Infections in Adults from Annals of Internal Medicine (Journal). </w:t>
            </w:r>
          </w:p>
        </w:tc>
        <w:tc>
          <w:tcPr>
            <w:tcW w:w="2551" w:type="dxa"/>
          </w:tcPr>
          <w:p w14:paraId="6E0A6179" w14:textId="31AD9B7A" w:rsidR="00FF4BD9" w:rsidRPr="00EC3E91" w:rsidRDefault="00FF4BD9" w:rsidP="009549DD">
            <w:pPr>
              <w:rPr>
                <w:rFonts w:cstheme="minorHAnsi"/>
                <w:sz w:val="20"/>
                <w:szCs w:val="20"/>
                <w:lang w:val="en-US"/>
              </w:rPr>
            </w:pPr>
            <w:r w:rsidRPr="00EC3E91">
              <w:rPr>
                <w:rFonts w:cstheme="minorHAnsi"/>
                <w:sz w:val="20"/>
                <w:szCs w:val="20"/>
                <w:lang w:val="en-US"/>
              </w:rPr>
              <w:t>make training dynamic, remind clinicians, change physical structure and equipment, audit and provide feedback, [ACCOUNTABILITY TOOL]</w:t>
            </w:r>
          </w:p>
        </w:tc>
      </w:tr>
      <w:tr w:rsidR="00FF4BD9" w:rsidRPr="00E119DD" w14:paraId="195D36B4" w14:textId="77777777" w:rsidTr="00FF4BD9">
        <w:trPr>
          <w:tblHeader/>
        </w:trPr>
        <w:tc>
          <w:tcPr>
            <w:tcW w:w="709" w:type="dxa"/>
          </w:tcPr>
          <w:p w14:paraId="0112322A" w14:textId="41B90AE2"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{"citationItems":[{"id":"ITEM-1","itemData":{"ISSN":"1932-6203","abstract":"Objective To evaluate the impact and cost-benefit of clinical pharmacist interventions on inappropriate use of prophylactic acid suppressant in hepatobiliary surgical patients in a Chinese tertiary hospital. Methods A retro-prospective intervention study of patients undergoing elective operations was performed in the Department of Hepatobiliary Surgery of the Affiliated Hospital of Southwest Medical University. Patients admitted from October to December 2015 and from October to December 2016, served as the pre-intervention and the post-intervention group, respectively. Clinical pharmacist interventions in the post-intervention group included real-time monitoring medical records and recommending that surgeons prescribe prophylactic acid suppressants according to the criteria established by the hospital administration. Then, the clinical outcomes of post-intervention group were compared with the pre-intervention group which lacked pharmacist interventions. In addition, cost-benefit analysis was conducted to determine the economic effects of implementing the clinical pharmacist interventions in acid suppressant prophylaxis in perioperative period. Results Clinical pharmacist interventions significantly decreased the rate of the use of no indications for prophylactic acid suppressant and of the cases of inappropriate drug selection, dose, route, replacement and prolonged duration of prophylaxis (P &lt; 0.05 or P &lt; 0.001), resulting in significant increase by 10.65% in the percentage of cases adhering to all the criteria (P &lt; 0.001). Moreover, significant reductions were found in the average usage quantity (P&lt;0.001), mean cost (P = 0.03) and mean duration (P &lt; 0.001) of prophylaxis acid suppressant. The ratio of the mean cost savings for acid suppressants to the mean cost of pharmacist time was 13.61:1. Conclusion The clinical pharmacist's real-time interventions facilitated the rational use of prophylactic acid suppressant and resulted in favorable economic outcomes in hepatobiliary surgery.","author":[{"dropping-particle":"","family":"Luo","given":"H L","non-dropping-particle":"","parse-names":false,"suffix":""},{"dropping-particle":"","family":"Fan","given":"Q Z","non-dropping-particle":"","parse-names":false,"suffix":""},{"dropping-particle":"","family":"Xiao","given":"S L","non-dropping-particle":"","parse-names":false,"suffix":""},{"dropping-particle":"","family":"Chen","given":"K","non-dropping-particle":"","parse-names":false,"suffix":""}],"container-title":"Plos One","id":"ITEM-1","issue":"10","issued":{"date-parts":[["2017"]]},"page":"15","title":"Impact of clinical pharmacist interventions on inappropriate prophylactic acid suppressant use in hepatobiliary surgical patients undergoing elective operations","type":"article-journal","volume":"12"},"uris":["http://www.mendeley.com/documents/?uuid=2e440f49-635d-4845-97d7-0a99714383bc"]}],"mendeley":{"formattedCitation":"(130)","plainTextFormattedCitation":"(130)","previouslyFormattedCitation":"(130)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(130)</w:t>
            </w:r>
            <w:r w:rsidRPr="00EC3E91">
              <w:rPr>
                <w:rFonts w:cstheme="minorHAnsi"/>
                <w:sz w:val="20"/>
                <w:szCs w:val="20"/>
                <w:lang w:val="en-US"/>
              </w:rPr>
              <w:fldChar w:fldCharType="end"/>
            </w:r>
          </w:p>
        </w:tc>
        <w:tc>
          <w:tcPr>
            <w:tcW w:w="992" w:type="dxa"/>
          </w:tcPr>
          <w:p w14:paraId="321B1B79" w14:textId="34558681" w:rsidR="00FF4BD9" w:rsidRPr="00EC3E91" w:rsidRDefault="00FF4BD9" w:rsidP="009549DD">
            <w:pPr>
              <w:rPr>
                <w:rFonts w:cstheme="minorHAnsi"/>
                <w:sz w:val="20"/>
                <w:szCs w:val="20"/>
                <w:lang w:val="en-US"/>
              </w:rPr>
            </w:pPr>
            <w:r w:rsidRPr="00EC3E91">
              <w:rPr>
                <w:rFonts w:cstheme="minorHAnsi"/>
                <w:sz w:val="20"/>
                <w:szCs w:val="20"/>
                <w:lang w:val="en-US"/>
              </w:rPr>
              <w:t xml:space="preserve">China </w:t>
            </w:r>
          </w:p>
        </w:tc>
        <w:tc>
          <w:tcPr>
            <w:tcW w:w="993" w:type="dxa"/>
          </w:tcPr>
          <w:p w14:paraId="54F9BCDC" w14:textId="2979C1CA"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0BCF2957" w14:textId="20D794A0"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571AF7F" w14:textId="68E2622B"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15665A28" w14:textId="3D049777" w:rsidR="00FF4BD9" w:rsidRPr="00EC3E91" w:rsidRDefault="00FF4BD9" w:rsidP="009549DD">
            <w:pPr>
              <w:rPr>
                <w:rFonts w:cstheme="minorHAnsi"/>
                <w:sz w:val="20"/>
                <w:szCs w:val="20"/>
                <w:lang w:val="en-US"/>
              </w:rPr>
            </w:pPr>
            <w:r w:rsidRPr="00EC3E91">
              <w:rPr>
                <w:rFonts w:cstheme="minorHAnsi"/>
                <w:sz w:val="20"/>
                <w:szCs w:val="20"/>
                <w:lang w:val="en-US"/>
              </w:rPr>
              <w:t>Stress ulcer prophylaxis</w:t>
            </w:r>
          </w:p>
        </w:tc>
        <w:tc>
          <w:tcPr>
            <w:tcW w:w="2126" w:type="dxa"/>
          </w:tcPr>
          <w:p w14:paraId="129D5ACB" w14:textId="37B80F85" w:rsidR="00FF4BD9" w:rsidRPr="00EC3E91" w:rsidRDefault="00FF4BD9" w:rsidP="009549DD">
            <w:pPr>
              <w:rPr>
                <w:rFonts w:cstheme="minorHAnsi"/>
                <w:sz w:val="20"/>
                <w:szCs w:val="20"/>
                <w:lang w:val="en-US"/>
              </w:rPr>
            </w:pPr>
            <w:r w:rsidRPr="00EC3E91">
              <w:rPr>
                <w:rFonts w:cstheme="minorHAnsi"/>
                <w:sz w:val="20"/>
                <w:szCs w:val="20"/>
                <w:lang w:val="en-US"/>
              </w:rPr>
              <w:t>Inappropriate use of prophylactic acid suppressant in hepatobiliary surgical patients</w:t>
            </w:r>
          </w:p>
        </w:tc>
        <w:tc>
          <w:tcPr>
            <w:tcW w:w="3969" w:type="dxa"/>
          </w:tcPr>
          <w:p w14:paraId="39B0E24E" w14:textId="699849A1" w:rsidR="00FF4BD9" w:rsidRPr="00EC3E91" w:rsidRDefault="00FF4BD9" w:rsidP="008B3709">
            <w:pPr>
              <w:rPr>
                <w:rFonts w:cstheme="minorHAnsi"/>
                <w:sz w:val="20"/>
                <w:szCs w:val="20"/>
                <w:lang w:val="en-US"/>
              </w:rPr>
            </w:pPr>
            <w:r w:rsidRPr="00EC3E91">
              <w:rPr>
                <w:rFonts w:cstheme="minorHAnsi"/>
                <w:sz w:val="20"/>
                <w:szCs w:val="20"/>
                <w:lang w:val="en-US"/>
              </w:rPr>
              <w:t xml:space="preserve">ASHP Therapeutic Guidelines on Stress Ulcer Prophylaxis. </w:t>
            </w:r>
          </w:p>
        </w:tc>
        <w:tc>
          <w:tcPr>
            <w:tcW w:w="2551" w:type="dxa"/>
          </w:tcPr>
          <w:p w14:paraId="51E6ABE4" w14:textId="706F2B45" w:rsidR="00FF4BD9" w:rsidRPr="00EC3E91" w:rsidRDefault="00FF4BD9" w:rsidP="009549DD">
            <w:pPr>
              <w:rPr>
                <w:rFonts w:cstheme="minorHAnsi"/>
                <w:sz w:val="20"/>
                <w:szCs w:val="20"/>
                <w:lang w:val="en-US"/>
              </w:rPr>
            </w:pPr>
            <w:r w:rsidRPr="00EC3E91">
              <w:rPr>
                <w:rFonts w:cstheme="minorHAnsi"/>
                <w:sz w:val="20"/>
                <w:szCs w:val="20"/>
                <w:lang w:val="en-US"/>
              </w:rPr>
              <w:t>develop and organize quality monitoring systems, make training dynamic, develop educational materials, audit and provide feedback,</w:t>
            </w:r>
          </w:p>
        </w:tc>
      </w:tr>
      <w:tr w:rsidR="00FF4BD9" w:rsidRPr="00E119DD" w14:paraId="7C2C8C88" w14:textId="77777777" w:rsidTr="00FF4BD9">
        <w:trPr>
          <w:tblHeader/>
        </w:trPr>
        <w:tc>
          <w:tcPr>
            <w:tcW w:w="709" w:type="dxa"/>
          </w:tcPr>
          <w:p w14:paraId="280847F2" w14:textId="4BB5608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{"citationItems":[{"id":"ITEM-1","itemData":{"ISSN":"0305-7453","abstract":"Objectives: : Prospective audit and feedback interventions are the core components of an antimicrobial stewardship programme. Herein, we describe the sustained impact of an antimicrobial stewardship programme, based on a novel clinical decision-support system (Antimicrobial Prescription Surveillance System; APSS), on antimicrobial use and costs, hospital length of stay (LOS) in days and the proportion of inappropriate antimicrobial prescriptions. Methods: A quasi-experimental, retrospective study was conducted using interrupted time series between 2008 and 2013. Data on all hospitalized adults receiving antimicrobials were extracted from the data warehouse of a 677 bed academic centre. The intervention started in August 2010. Prospective audit and feedback interventions, led by a pharmacist, were triggered by APSS based on deviations from published and local guidelines. Changes in outcomes before and after the intervention were compared using segmented regression analysis. Results: APSS reviewed 40605 hospitalizations for 35778 patients who received antimicrobials. The intervention was associated with a decrease in the average LOS (level change -0.92, P &lt;0.01; trend -0.08, P &lt;0.01; intercept 11.4 days), antimicrobial consumption in DDDs/1000 inpatient days (level change -32.4, P &lt;0.01; trend -1.12, P &lt; 0.02; intercept 243 DDDs per 1000 days of hospitalization), antimicrobial spending in Canadian dollars (level change -19649, P =0.01; trend -1881, P &lt;0.01; intercept $74683) and proportion of non-concordance with local guidelines for prescribing antimicrobials (level change -2.3, P =0.04; intercept 41%). Conclusions: The implementation of the APSS-initiated strategy was associated with a positive impact on antimicrobial use and spending, LOS and inappropriate prescriptions. The high rate of accepted interventions may have contributed to these results.","author":[{"dropping-particle":"","family":"Nault","given":"V","non-dropping-particle":"","parse-names":false,"suffix":""},{"dropping-particle":"","family":"Pepin","given":"J","non-dropping-particle":"","parse-names":false,"suffix":""},{"dropping-particle":"","family":"Beaudoin","given":"M","non-dropping-particle":"","parse-names":false,"suffix":""},{"dropping-particle":"","family":"Perron","given":"J","non-dropping-particle":"","parse-names":false,"suffix":""},{"dropping-particle":"","family":"Moutquin","given":"J M","non-dropping-particle":"","parse-names":false,"suffix":""},{"dropping-particle":"","family":"Valiquette","given":"L","non-dropping-particle":"","parse-names":false,"suffix":""}],"container-title":"Journal of Antimicrobial Chemotherapy","id":"ITEM-1","issue":"3","issued":{"date-parts":[["2017"]]},"page":"933-940","title":"Sustained impact of a computer-assisted antimicrobial stewardship intervention on antimicrobial use and length of stay","type":"article-journal","volume":"72"},"uris":["http://www.mendeley.com/documents/?uuid=ca85b18a-229c-488f-85e8-74051a1aeb26"]}],"mendeley":{"formattedCitation":"(131)","plainTextFormattedCitation":"(131)","previouslyFormattedCitation":"(131)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(131)</w:t>
            </w:r>
            <w:r w:rsidRPr="00EC3E91">
              <w:rPr>
                <w:rFonts w:cstheme="minorHAnsi"/>
                <w:sz w:val="20"/>
                <w:szCs w:val="20"/>
                <w:lang w:val="en-US"/>
              </w:rPr>
              <w:fldChar w:fldCharType="end"/>
            </w:r>
          </w:p>
        </w:tc>
        <w:tc>
          <w:tcPr>
            <w:tcW w:w="992" w:type="dxa"/>
          </w:tcPr>
          <w:p w14:paraId="60BCDD5D" w14:textId="3E195BEB" w:rsidR="00FF4BD9" w:rsidRPr="00EC3E91" w:rsidRDefault="00FF4BD9" w:rsidP="009549DD">
            <w:pPr>
              <w:rPr>
                <w:rFonts w:cstheme="minorHAnsi"/>
                <w:sz w:val="20"/>
                <w:szCs w:val="20"/>
                <w:lang w:val="en-US"/>
              </w:rPr>
            </w:pPr>
            <w:r w:rsidRPr="00EC3E91">
              <w:rPr>
                <w:rFonts w:cstheme="minorHAnsi"/>
                <w:sz w:val="20"/>
                <w:szCs w:val="20"/>
                <w:lang w:val="en-US"/>
              </w:rPr>
              <w:t xml:space="preserve">Canada </w:t>
            </w:r>
          </w:p>
        </w:tc>
        <w:tc>
          <w:tcPr>
            <w:tcW w:w="993" w:type="dxa"/>
          </w:tcPr>
          <w:p w14:paraId="48851971" w14:textId="112107D4"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352DEA07" w14:textId="393980AC" w:rsidR="00FF4BD9" w:rsidRPr="00EC3E91" w:rsidRDefault="00FF4BD9" w:rsidP="009549DD">
            <w:pPr>
              <w:rPr>
                <w:rFonts w:cstheme="minorHAnsi"/>
                <w:sz w:val="20"/>
                <w:szCs w:val="20"/>
                <w:lang w:val="en-US"/>
              </w:rPr>
            </w:pPr>
            <w:r w:rsidRPr="00EC3E91">
              <w:rPr>
                <w:rFonts w:cstheme="minorHAnsi"/>
                <w:sz w:val="20"/>
                <w:szCs w:val="20"/>
                <w:lang w:val="en-US"/>
              </w:rPr>
              <w:t>Quant Quasi-experimental</w:t>
            </w:r>
          </w:p>
        </w:tc>
        <w:tc>
          <w:tcPr>
            <w:tcW w:w="851" w:type="dxa"/>
          </w:tcPr>
          <w:p w14:paraId="3D77F08D" w14:textId="3052AE7A"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D541B2D" w14:textId="2FF7C6F4"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5EA371E6" w14:textId="55CF9D82"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3F557B9E" w14:textId="0015AA66" w:rsidR="00FF4BD9" w:rsidRPr="00EC3E91" w:rsidRDefault="00FF4BD9" w:rsidP="009549DD">
            <w:pPr>
              <w:rPr>
                <w:rFonts w:cstheme="minorHAnsi"/>
                <w:sz w:val="20"/>
                <w:szCs w:val="20"/>
                <w:lang w:val="en-US"/>
              </w:rPr>
            </w:pPr>
            <w:r w:rsidRPr="00EC3E91">
              <w:rPr>
                <w:rFonts w:cstheme="minorHAnsi"/>
                <w:sz w:val="20"/>
                <w:szCs w:val="20"/>
                <w:lang w:val="en-US"/>
              </w:rPr>
              <w:t xml:space="preserve">IDSA guidelines </w:t>
            </w:r>
          </w:p>
        </w:tc>
        <w:tc>
          <w:tcPr>
            <w:tcW w:w="2551" w:type="dxa"/>
          </w:tcPr>
          <w:p w14:paraId="4D7427ED" w14:textId="55A3A7EB" w:rsidR="00FF4BD9" w:rsidRPr="00EC3E91" w:rsidRDefault="00FF4BD9" w:rsidP="009549DD">
            <w:pPr>
              <w:rPr>
                <w:rFonts w:cstheme="minorHAnsi"/>
                <w:sz w:val="20"/>
                <w:szCs w:val="20"/>
                <w:lang w:val="en-US"/>
              </w:rPr>
            </w:pPr>
            <w:r w:rsidRPr="00EC3E91">
              <w:rPr>
                <w:rFonts w:cstheme="minorHAnsi"/>
                <w:sz w:val="20"/>
                <w:szCs w:val="20"/>
                <w:lang w:val="en-US"/>
              </w:rPr>
              <w:t>develop and organize quality monitoring systems, audit and provide feedback</w:t>
            </w:r>
          </w:p>
        </w:tc>
      </w:tr>
      <w:tr w:rsidR="00FF4BD9" w:rsidRPr="00EC3E91" w14:paraId="7B758D60" w14:textId="77777777" w:rsidTr="00FF4BD9">
        <w:trPr>
          <w:tblHeader/>
        </w:trPr>
        <w:tc>
          <w:tcPr>
            <w:tcW w:w="709" w:type="dxa"/>
          </w:tcPr>
          <w:p w14:paraId="54182AA7" w14:textId="584F625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Identifying hospitals that are both early and consistent adopters of high-value care can help shed light on the culture and practices at those institutions that are necessary to promote high-value care nationwide. The use of troponin to diagnose acute myocardial infarction (AMI), and not to test for myoglobin or creatine kinase-MB (CK-MB), is a high-value recommendation of the Choosing Wisely® campaign. OBJECTIVE: To examine the variation in cardiac biomarker testing and the effect of the Choosing Wisely® troponin-only recommendation for the diagnosis of AMI. DESIGN: A retrospective observational study using administrative ordering data from Vizient’s Clinical Database/Resource Manager. SETTING: Ninety-one academic medical centers from the fourth quarter of 2013 through the third quarter of 2016. PATIENTS: Hospitalized patients with a principal discharge diagnosis of AMI. INTERVENTION: The Choosing Wisely® recommendation to order troponin-only testing to diagnose AMI was released during the first quarter of 2015. RESULTS: In 19 hospitals, troponin-only testing was consistently ordered to diagnose AMI before the Choosing Wisely® recommendation and throughout the study period. In 34 hospitals, both troponin and myoglobin/CK-MB were ordered to diagnose AMI even after the Choosing Wisely® recommendation. In 26 hospitals with low rates of troponin-only testing before the Choosing Wisely® recommendation, the release of the recommendation was associated with a statistically significant increase in the rate of troponin-only testing to diagnose AMI. CONCLUSION: In institutions with low rates of troponin-only testing prior to the Choosing Wisely® recommendation, the recommendation was associated with a significant increase in the rate of troponin-only testing.","author":[{"dropping-particle":"","family":"Prochaska","given":"M T","non-dropping-particle":"","parse-names":false,"suffix":""},{"dropping-particle":"","family":"Hohmann","given":"S F","non-dropping-particle":"","parse-names":false,"suffix":""},{"dropping-particle":"","family":"Modes","given":"M","non-dropping-particle":"","parse-names":false,"suffix":""},{"dropping-particle":"","family":"Arora","given":"V M","non-dropping-particle":"","parse-names":false,"suffix":""}],"container-title":"Journal of Hospital Medicine","id":"ITEM-1","issue":"12","issued":{"date-parts":[["2017"]]},"page":"957-962","title":"Trends in troponin-only testing for AMI in academic teaching hospitals and the impact of choosing wisely®","type":"article-journal","volume":"12"},"uris":["http://www.mendeley.com/documents/?uuid=d440a67f-9d11-4a48-b527-9c0bc94aeaf9"]}],"mendeley":{"formattedCitation":"(132)","plainTextFormattedCitation":"(132)","previouslyFormattedCitation":"(132)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(132)</w:t>
            </w:r>
            <w:r w:rsidRPr="00EC3E91">
              <w:rPr>
                <w:rFonts w:cstheme="minorHAnsi"/>
                <w:sz w:val="20"/>
                <w:szCs w:val="20"/>
                <w:lang w:val="en-US"/>
              </w:rPr>
              <w:fldChar w:fldCharType="end"/>
            </w:r>
          </w:p>
        </w:tc>
        <w:tc>
          <w:tcPr>
            <w:tcW w:w="992" w:type="dxa"/>
          </w:tcPr>
          <w:p w14:paraId="3E291C37" w14:textId="0315C574"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4A2C31C3" w14:textId="22452FBB"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1C7DE022" w14:textId="1CC44796"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40C271C" w14:textId="1CA6E25A"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1451DD7" w14:textId="15FD10F4" w:rsidR="00FF4BD9" w:rsidRPr="00EC3E91" w:rsidRDefault="00FF4BD9" w:rsidP="009549DD">
            <w:pPr>
              <w:rPr>
                <w:rFonts w:cstheme="minorHAnsi"/>
                <w:sz w:val="20"/>
                <w:szCs w:val="20"/>
                <w:lang w:val="en-US"/>
              </w:rPr>
            </w:pPr>
            <w:r w:rsidRPr="00EC3E91">
              <w:rPr>
                <w:rFonts w:cstheme="minorHAnsi"/>
                <w:sz w:val="20"/>
                <w:szCs w:val="20"/>
                <w:lang w:val="en-US"/>
              </w:rPr>
              <w:t>Lab tests</w:t>
            </w:r>
          </w:p>
        </w:tc>
        <w:tc>
          <w:tcPr>
            <w:tcW w:w="2126" w:type="dxa"/>
          </w:tcPr>
          <w:p w14:paraId="53966B37" w14:textId="4536060D" w:rsidR="00FF4BD9" w:rsidRPr="00EC3E91" w:rsidRDefault="00FF4BD9" w:rsidP="009549DD">
            <w:pPr>
              <w:rPr>
                <w:rFonts w:cstheme="minorHAnsi"/>
                <w:sz w:val="20"/>
                <w:szCs w:val="20"/>
                <w:lang w:val="en-US"/>
              </w:rPr>
            </w:pPr>
            <w:r w:rsidRPr="00EC3E91">
              <w:rPr>
                <w:rFonts w:cstheme="minorHAnsi"/>
                <w:sz w:val="20"/>
                <w:szCs w:val="20"/>
                <w:lang w:val="en-US"/>
              </w:rPr>
              <w:t>Inappropriate use of lab tests troponin and myoglobin/CK-MB for the diagnosis of AMI</w:t>
            </w:r>
          </w:p>
        </w:tc>
        <w:tc>
          <w:tcPr>
            <w:tcW w:w="3969" w:type="dxa"/>
          </w:tcPr>
          <w:p w14:paraId="4C9BF9F8" w14:textId="5404793F" w:rsidR="00FF4BD9" w:rsidRPr="00EC3E91" w:rsidRDefault="00FF4BD9" w:rsidP="008B3709">
            <w:pPr>
              <w:rPr>
                <w:rFonts w:cstheme="minorHAnsi"/>
                <w:sz w:val="20"/>
                <w:szCs w:val="20"/>
                <w:lang w:val="en-US"/>
              </w:rPr>
            </w:pPr>
            <w:r w:rsidRPr="00EC3E91">
              <w:rPr>
                <w:rFonts w:cstheme="minorHAnsi"/>
                <w:sz w:val="20"/>
                <w:szCs w:val="20"/>
                <w:lang w:val="en-US"/>
              </w:rPr>
              <w:t>Choosing Wisely</w:t>
            </w:r>
          </w:p>
        </w:tc>
        <w:tc>
          <w:tcPr>
            <w:tcW w:w="2551" w:type="dxa"/>
          </w:tcPr>
          <w:p w14:paraId="16D16DFF" w14:textId="3B801A9C"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tc>
      </w:tr>
      <w:tr w:rsidR="00FF4BD9" w:rsidRPr="00EC3E91" w14:paraId="2886808D" w14:textId="77777777" w:rsidTr="00FF4BD9">
        <w:trPr>
          <w:tblHeader/>
        </w:trPr>
        <w:tc>
          <w:tcPr>
            <w:tcW w:w="709" w:type="dxa"/>
          </w:tcPr>
          <w:p w14:paraId="67BD8F7D" w14:textId="5A4B289A"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{"citationItems":[{"id":"ITEM-1","itemData":{"ISSN":"2047-9980","abstract":"BACKGROUND: Concern regarding overutilization of cardiac imaging has led to the development of appropriate use criteria (AUC). Myocardial perfusion imaging (MPI) is one of the most commonly used cardiac imaging modalities worldwide. Despite multiple iterations of AUC, there is currently no evidence regarding their real-world impact on population-based utilization rates of MPI. Our goal was to assess the impact of the AUC on rates of MPI in Ontario, Canada. We hypothesized that publication of the AUC would be associated with a significant reduction in MPI rates. METHODS AND RESULTS: We conducted a retrospective cohort study of the adult population of Ontario from January 1, 2000, to December 31, 2015. Age- and sex-standardized rates were compared from 4 different periods intersected by 3 published iterations of the AUC. Overall, 3 072 611 MPI scans were performed in Ontario during our study period. The mean monthly rate increased from 14.1/10 000 in the period from January 2000 to October 2005 to 18.2/10 000 between November 2005 and June 2009. After this point in time, there was a reduction in rates, falling to a mean monthly rate of 17.1/10 000 between March 2014 and December 2015. Time series analysis revealed that publication of the 2009 AUC was associated with a significant reduction in MPI rates (P&lt;0.001). This translated into =88 849 fewer MPI scans at a cost savings of =72 million Canadian dollars. CONCLUSIONS: Our results reflect a potential real-world impact of the 2009 MPI AUC by demonstrating evidence of a significant effect on population-based rates of MPI.","author":[{"dropping-particle":"","family":"Roifman","given":"I","non-dropping-particle":"","parse-names":false,"suffix":""},{"dropping-particle":"","family":"Austin","given":"P C","non-dropping-particle":"","parse-names":false,"suffix":""},{"dropping-particle":"","family":"Qiu","given":"F","non-dropping-particle":"","parse-names":false,"suffix":""},{"dropping-particle":"","family":"Wijeysundera","given":"H C","non-dropping-particle":"","parse-names":false,"suffix":""}],"container-title":"Journal of the American Heart Association","id":"ITEM-1","issue":"6","issued":{"date-parts":[["2017"]]},"page":"5","title":"Impact of the Publication of Appropriate Use Criteria on Utilization Rates of Myocardial Perfusion Imaging Studies in Ontario, Canada: A Population-Based Study","type":"article-journal","volume":"6"},"uris":["http://www.mendeley.com/documents/?uuid=ae130fbe-5a5c-4700-8e4e-49422a06a64a"]}],"mendeley":{"formattedCitation":"(133)","plainTextFormattedCitation":"(133)","previouslyFormattedCitation":"(133)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(133)</w:t>
            </w:r>
            <w:r w:rsidRPr="00EC3E91">
              <w:rPr>
                <w:rFonts w:cstheme="minorHAnsi"/>
                <w:sz w:val="20"/>
                <w:szCs w:val="20"/>
                <w:lang w:val="en-US"/>
              </w:rPr>
              <w:fldChar w:fldCharType="end"/>
            </w:r>
          </w:p>
        </w:tc>
        <w:tc>
          <w:tcPr>
            <w:tcW w:w="992" w:type="dxa"/>
          </w:tcPr>
          <w:p w14:paraId="6E3692BD" w14:textId="79B26239" w:rsidR="00FF4BD9" w:rsidRPr="00EC3E91" w:rsidRDefault="00FF4BD9" w:rsidP="009549DD">
            <w:pPr>
              <w:rPr>
                <w:rFonts w:cstheme="minorHAnsi"/>
                <w:sz w:val="20"/>
                <w:szCs w:val="20"/>
                <w:lang w:val="en-US"/>
              </w:rPr>
            </w:pPr>
            <w:r w:rsidRPr="00EC3E91">
              <w:rPr>
                <w:rFonts w:cstheme="minorHAnsi"/>
                <w:sz w:val="20"/>
                <w:szCs w:val="20"/>
                <w:lang w:val="en-US"/>
              </w:rPr>
              <w:t xml:space="preserve">Canada </w:t>
            </w:r>
          </w:p>
        </w:tc>
        <w:tc>
          <w:tcPr>
            <w:tcW w:w="993" w:type="dxa"/>
          </w:tcPr>
          <w:p w14:paraId="3EA83ED1" w14:textId="6EC7CA59"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577EAFF7" w14:textId="4FAE4595" w:rsidR="00FF4BD9" w:rsidRPr="00EC3E91" w:rsidRDefault="00FF4BD9" w:rsidP="009549DD">
            <w:pPr>
              <w:rPr>
                <w:rFonts w:cstheme="minorHAnsi"/>
                <w:sz w:val="20"/>
                <w:szCs w:val="20"/>
                <w:lang w:val="en-US"/>
              </w:rPr>
            </w:pPr>
            <w:r w:rsidRPr="00EC3E91">
              <w:rPr>
                <w:rFonts w:cstheme="minorHAnsi"/>
                <w:sz w:val="20"/>
                <w:szCs w:val="20"/>
                <w:lang w:val="en-US"/>
              </w:rPr>
              <w:t>Quant Cohort (retrospective)</w:t>
            </w:r>
          </w:p>
        </w:tc>
        <w:tc>
          <w:tcPr>
            <w:tcW w:w="851" w:type="dxa"/>
          </w:tcPr>
          <w:p w14:paraId="323180FB" w14:textId="62751010"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02DE664" w14:textId="59C46233" w:rsidR="00FF4BD9" w:rsidRPr="00EC3E91" w:rsidRDefault="00226199" w:rsidP="009549DD">
            <w:pPr>
              <w:rPr>
                <w:rFonts w:cstheme="minorHAnsi"/>
                <w:sz w:val="20"/>
                <w:szCs w:val="20"/>
                <w:lang w:val="en-US"/>
              </w:rPr>
            </w:pPr>
            <w:r>
              <w:rPr>
                <w:rFonts w:cstheme="minorHAnsi"/>
                <w:sz w:val="20"/>
                <w:szCs w:val="20"/>
                <w:lang w:val="en-US"/>
              </w:rPr>
              <w:t>Imaging</w:t>
            </w:r>
          </w:p>
        </w:tc>
        <w:tc>
          <w:tcPr>
            <w:tcW w:w="2126" w:type="dxa"/>
          </w:tcPr>
          <w:p w14:paraId="6BEC4F8F" w14:textId="362A97E2" w:rsidR="00FF4BD9" w:rsidRPr="00EC3E91" w:rsidRDefault="00FF4BD9" w:rsidP="009549DD">
            <w:pPr>
              <w:rPr>
                <w:rFonts w:cstheme="minorHAnsi"/>
                <w:sz w:val="20"/>
                <w:szCs w:val="20"/>
                <w:lang w:val="en-US"/>
              </w:rPr>
            </w:pPr>
            <w:r w:rsidRPr="00EC3E91">
              <w:rPr>
                <w:rFonts w:cstheme="minorHAnsi"/>
                <w:sz w:val="20"/>
                <w:szCs w:val="20"/>
                <w:lang w:val="en-US"/>
              </w:rPr>
              <w:t>Overutilization of non-invasive cardiac imaging</w:t>
            </w:r>
          </w:p>
        </w:tc>
        <w:tc>
          <w:tcPr>
            <w:tcW w:w="3969" w:type="dxa"/>
          </w:tcPr>
          <w:p w14:paraId="15BEC131" w14:textId="633125B6" w:rsidR="00FF4BD9" w:rsidRPr="00EC3E91" w:rsidRDefault="00FF4BD9" w:rsidP="004C72A4">
            <w:pPr>
              <w:rPr>
                <w:rFonts w:cstheme="minorHAnsi"/>
                <w:sz w:val="20"/>
                <w:szCs w:val="20"/>
                <w:lang w:val="en-US"/>
              </w:rPr>
            </w:pPr>
            <w:r w:rsidRPr="00EC3E91">
              <w:rPr>
                <w:rFonts w:cstheme="minorHAnsi"/>
                <w:sz w:val="20"/>
                <w:szCs w:val="20"/>
                <w:lang w:val="en-US"/>
              </w:rPr>
              <w:t>ACCF/ASNC appropriateness criteria for single-photon emission computed tomography myocardial perfusion imaging (SPECTMPI): a report of the American College of Cardiology Foundation Quality Strategic Directions Committee Appropriateness Criteria Working Group and the American Society of Nuclear Cardiology endorsed by the American Heart Association.</w:t>
            </w:r>
          </w:p>
          <w:p w14:paraId="520631CB" w14:textId="77777777" w:rsidR="00FF4BD9" w:rsidRPr="00EC3E91" w:rsidRDefault="00FF4BD9" w:rsidP="004C72A4">
            <w:pPr>
              <w:rPr>
                <w:rFonts w:cstheme="minorHAnsi"/>
                <w:sz w:val="20"/>
                <w:szCs w:val="20"/>
                <w:lang w:val="en-US"/>
              </w:rPr>
            </w:pPr>
          </w:p>
          <w:p w14:paraId="52B10D0A" w14:textId="3233C791" w:rsidR="00FF4BD9" w:rsidRPr="00EC3E91" w:rsidRDefault="00FF4BD9" w:rsidP="004C72A4">
            <w:pPr>
              <w:rPr>
                <w:rFonts w:cstheme="minorHAnsi"/>
                <w:sz w:val="20"/>
                <w:szCs w:val="20"/>
                <w:lang w:val="en-US"/>
              </w:rPr>
            </w:pPr>
            <w:r w:rsidRPr="00EC3E91">
              <w:rPr>
                <w:rFonts w:cstheme="minorHAnsi"/>
                <w:sz w:val="20"/>
                <w:szCs w:val="20"/>
                <w:lang w:val="en-US"/>
              </w:rPr>
              <w:t xml:space="preserve">Appropriate Use Criteria for Cardiac Radionuclide Imaging: </w:t>
            </w:r>
            <w:r w:rsidR="00600638" w:rsidRPr="00EC3E91">
              <w:rPr>
                <w:rFonts w:cstheme="minorHAnsi"/>
                <w:sz w:val="20"/>
                <w:szCs w:val="20"/>
                <w:lang w:val="en-US"/>
              </w:rPr>
              <w:t>A</w:t>
            </w:r>
            <w:r w:rsidRPr="00EC3E91">
              <w:rPr>
                <w:rFonts w:cstheme="minorHAnsi"/>
                <w:sz w:val="20"/>
                <w:szCs w:val="20"/>
                <w:lang w:val="en-US"/>
              </w:rPr>
              <w:t xml:space="preserve"> Report of the American College of Cardiology Foundation Appropriate Use Criteria Task Force. </w:t>
            </w:r>
          </w:p>
          <w:p w14:paraId="6D4E1FBB" w14:textId="77777777" w:rsidR="00FF4BD9" w:rsidRPr="00EC3E91" w:rsidRDefault="00FF4BD9" w:rsidP="004C72A4">
            <w:pPr>
              <w:rPr>
                <w:rFonts w:cstheme="minorHAnsi"/>
                <w:sz w:val="20"/>
                <w:szCs w:val="20"/>
                <w:lang w:val="en-US"/>
              </w:rPr>
            </w:pPr>
          </w:p>
          <w:p w14:paraId="63B51ADB" w14:textId="024DE5BE" w:rsidR="00FF4BD9" w:rsidRPr="00EC3E91" w:rsidRDefault="00FF4BD9" w:rsidP="00AB4F00">
            <w:pPr>
              <w:rPr>
                <w:rFonts w:cstheme="minorHAnsi"/>
                <w:sz w:val="20"/>
                <w:szCs w:val="20"/>
                <w:lang w:val="en-US"/>
              </w:rPr>
            </w:pPr>
            <w:r w:rsidRPr="00EC3E91">
              <w:rPr>
                <w:rFonts w:cstheme="minorHAnsi"/>
                <w:sz w:val="20"/>
                <w:szCs w:val="20"/>
                <w:lang w:val="en-US"/>
              </w:rPr>
              <w:t xml:space="preserve">Multimodality appropriate use criteria for the detection and risk assessment of stable ischemic heart disease: a report of the American College of Cardiology Foundation Appropriate Use Criteria Task Force. </w:t>
            </w:r>
          </w:p>
        </w:tc>
        <w:tc>
          <w:tcPr>
            <w:tcW w:w="2551" w:type="dxa"/>
          </w:tcPr>
          <w:p w14:paraId="35D431C7" w14:textId="34C7DAA1"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tc>
      </w:tr>
      <w:tr w:rsidR="00FF4BD9" w:rsidRPr="00E119DD" w14:paraId="074423B1" w14:textId="77777777" w:rsidTr="00FF4BD9">
        <w:trPr>
          <w:tblHeader/>
        </w:trPr>
        <w:tc>
          <w:tcPr>
            <w:tcW w:w="709" w:type="dxa"/>
          </w:tcPr>
          <w:p w14:paraId="4AFE7238" w14:textId="5A76E5DC"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 The purpose of this study was to assess the effects of a clinical decision support (CDS) tool aimed at decreasing the prescribing of glyburide, a potentially inappropriate medication (PIM), in patients 65 years of age and older. DESIGN: Quasi-experimental, pre-post intervention study. SETTING: Ambulatory care clinics of an academic medical center. INTERVENTION: The tool appeared to providers when entering new prescriptions or refills for glyburide. Glimepiride, which is a more appropriate sulfonylurea, was suggested as an alternative at order entry. MAIN OUTCOME MEASURE(S): The primary outcome was the prescribing of glyburide orders, measured as a percentage of the total oral diabetic medications ordered in patients 65 years of age and older, during the study period. The secondary outcome measured was the response to the CDS tool (accept versus reject). RESULTS: The CDS tool alerted providers 101 times during the 90-day postimplementation period. When the tool appeared, patients were transitioned off of glyburide 17.8% of the time. Subanalysis found that when physicians viewed the alert, patients were transitioned off of glyburide 46.2% of the time. As a percentage of the total number of oral diabetic medications, glyburide prescribing was significantly decreased from pre- to postimplementation study period (3.3% vs. 1.2%; P &lt; 0.001). CONCLUSIONS: A CDS tool can be used in the ambulatory care setting to influence prescribing and provide a safer alternative medication. Additional information is needed to test the use of a CDS tool in conjunction with education to ensure providers are comfortable with and understand implications of a CDS tool.","author":[{"dropping-particle":"","family":"Ruhl","given":"","non-dropping-particle":"","parse-names":false,"suffix":""},{"dropping-particle":"","family":"J.,","given":"D","non-dropping-particle":"","parse-names":false,"suffix":""},{"dropping-particle":"","family":"Bellone","given":"J M","non-dropping-particle":"","parse-names":false,"suffix":""},{"dropping-particle":"","family":"Wilkes","given":"E","non-dropping-particle":"","parse-names":false,"suffix":""}],"container-title":"Consultant Pharmacist","id":"ITEM-1","issue":"3","issued":{"date-parts":[["2017"]]},"page":"169-174","title":"Implementation and Assessment of an Ambulatory Prescribing Guidance Tool to Improve Patient Safety in the Geriatric Population","type":"article-journal","volume":"32"},"uris":["http://www.mendeley.com/documents/?uuid=b1df70f8-99c5-45a1-8077-ca720c9e724a"]}],"mendeley":{"formattedCitation":"(134)","plainTextFormattedCitation":"(134)","previouslyFormattedCitation":"(134)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(134)</w:t>
            </w:r>
            <w:r w:rsidRPr="00EC3E91">
              <w:rPr>
                <w:rFonts w:cstheme="minorHAnsi"/>
                <w:sz w:val="20"/>
                <w:szCs w:val="20"/>
                <w:lang w:val="en-US"/>
              </w:rPr>
              <w:fldChar w:fldCharType="end"/>
            </w:r>
          </w:p>
        </w:tc>
        <w:tc>
          <w:tcPr>
            <w:tcW w:w="992" w:type="dxa"/>
          </w:tcPr>
          <w:p w14:paraId="1E70B5BF" w14:textId="078EA271"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64F92D56" w14:textId="60020ED8"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464D2AFC" w14:textId="672A0C3B"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976F139" w14:textId="20630136"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310CBDC" w14:textId="6415D06F"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36697A95" w14:textId="382D6A1C" w:rsidR="00FF4BD9" w:rsidRPr="00EC3E91" w:rsidRDefault="00FF4BD9" w:rsidP="009549DD">
            <w:pPr>
              <w:rPr>
                <w:rFonts w:cstheme="minorHAnsi"/>
                <w:sz w:val="20"/>
                <w:szCs w:val="20"/>
                <w:lang w:val="en-US"/>
              </w:rPr>
            </w:pPr>
            <w:r w:rsidRPr="00EC3E91">
              <w:rPr>
                <w:rFonts w:cstheme="minorHAnsi"/>
                <w:sz w:val="20"/>
                <w:szCs w:val="20"/>
                <w:lang w:val="en-US"/>
              </w:rPr>
              <w:t>Inappropriate use of Glyburide</w:t>
            </w:r>
          </w:p>
        </w:tc>
        <w:tc>
          <w:tcPr>
            <w:tcW w:w="3969" w:type="dxa"/>
          </w:tcPr>
          <w:p w14:paraId="079080CC" w14:textId="1EF8A839" w:rsidR="00FF4BD9" w:rsidRPr="00EC3E91" w:rsidRDefault="00600638" w:rsidP="00AB4F00">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w:t>
            </w:r>
          </w:p>
        </w:tc>
        <w:tc>
          <w:tcPr>
            <w:tcW w:w="2551" w:type="dxa"/>
          </w:tcPr>
          <w:p w14:paraId="4DA9D458" w14:textId="3FF49044" w:rsidR="00FF4BD9" w:rsidRPr="00EC3E91" w:rsidRDefault="00FF4BD9" w:rsidP="009549DD">
            <w:pPr>
              <w:rPr>
                <w:rFonts w:cstheme="minorHAnsi"/>
                <w:sz w:val="20"/>
                <w:szCs w:val="20"/>
                <w:lang w:val="en-US"/>
              </w:rPr>
            </w:pPr>
            <w:r w:rsidRPr="00EC3E91">
              <w:rPr>
                <w:rFonts w:cstheme="minorHAnsi"/>
                <w:sz w:val="20"/>
                <w:szCs w:val="20"/>
                <w:lang w:val="en-US"/>
              </w:rPr>
              <w:t>remind clinicians, change physical structure and equipment</w:t>
            </w:r>
          </w:p>
        </w:tc>
      </w:tr>
      <w:tr w:rsidR="00FF4BD9" w:rsidRPr="00E119DD" w14:paraId="1B883A71" w14:textId="77777777" w:rsidTr="00FF4BD9">
        <w:trPr>
          <w:tblHeader/>
        </w:trPr>
        <w:tc>
          <w:tcPr>
            <w:tcW w:w="709" w:type="dxa"/>
          </w:tcPr>
          <w:p w14:paraId="5C19EA1B" w14:textId="33895DD6"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{"citationItems":[{"id":"ITEM-1","itemData":{"ISSN":"2168-6106","abstract":"Importance: Inappropriate antimicrobial prescribing leads to antimicrobial resistance and suboptimal clinical outcomes. Changing antimicrobial prescribing is a complex behavioral process that is not often taken into account in antimicrobial stewardship programs. Objective: To examine whether an antimicrobial stewardship approach grounded in behavioral theory and focusing on preserving prescriber autonomy and participation is effective in improving appropriateness of antimicrobial prescribing in hospitals. Design, Setting, and Participants: The Dutch Unique Method for Antimicrobial Stewardship (DUMAS) study was a prospective, stepped-wedge, participatory intervention study performed from October 1, 2011, through December 31, 2015. Outcomes were measured during a baseline period of 16 months and an intervention period of 12 months. The study was performed at 7 clinical departments (2 medical, 3 surgical, and 2 pediatric) in a tertiary care medical center and a general teaching hospital in the Netherlands. Physicians prescribing systemic antimicrobial drugs for any indication for patients admitted to the participating departments during the study period were included in the study. Interventions: We offered prescribers a free choice of how to improve their antimicrobial prescribing. Prescribers were stimulated to choose interventions with higher potential for success based on a root cause analysis of inappropriate prescribing. Main Outcomes and Measures: Appropriateness of antimicrobial prescriptions was determined using a validated approach based on guideline adherence and motivated guideline deviation and measured with repeated point prevalence surveys (6 per year). Appropriateness judgment was masked for the study period. Antimicrobial consumption was extracted from pharmacy records and measured as days of therapy per admission. We used linear and logistic mixed-model regression analysis to model outcomes over time. Results: A total of 1121 patient cases with 700 antimicrobial prescriptions were assessed during the baseline period and 882 patient cases with 531 antimicrobial prescriptions during the intervention period. The mean antimicrobial appropriateness increased from 64.1% at intervention start to 77.4% at 12-month follow-up (+13.3%; relative risk, 1.17; 95% CI, 1.04-1.27), without a change in slope. No decrease in antimicrobial consumption was found. Conclusions and Relevance: Use of a behavioral approach preserving prescriber autonomy resulted in…","author":[{"dropping-particle":"","family":"Sikkens","given":"J J","non-dropping-particle":"","parse-names":false,"suffix":""},{"dropping-particle":"","family":"Agtmael","given":"M A","non-dropping-particle":"van","parse-names":false,"suffix":""},{"dropping-particle":"","family":"Peters","given":"E J G","non-dropping-particle":"","parse-names":false,"suffix":""},{"dropping-particle":"","family":"Lettinga","given":"K D","non-dropping-particle":"","parse-names":false,"suffix":""},{"dropping-particle":"","family":"Kuip","given":"M","non-dropping-particle":"van der","parse-names":false,"suffix":""},{"dropping-particle":"","family":"V","given":"","non-dropping-particle":"","parse-names":false,"suffix":""},{"dropping-particle":"","family":"Enbroucke-Grauls","given":"Cmje","non-dropping-particle":"","parse-names":false,"suffix":""},{"dropping-particle":"","family":"Wagner","given":"C","non-dropping-particle":"","parse-names":false,"suffix":""},{"dropping-particle":"","family":"Kramer","given":"M H H","non-dropping-particle":"","parse-names":false,"suffix":""}],"container-title":"JAMA Internal Medicine","id":"ITEM-1","issue":"8","issued":{"date-parts":[["2017"]]},"page":"1130-1138","title":"Behavioral Approach to Appropriate Antimicrobial Prescribing in Hospitals: The Dutch Unique Method for Antimicrobial Stewardship (DUMAS) Participatory Intervention Study","type":"article-journal","volume":"177"},"uris":["http://www.mendeley.com/documents/?uuid=3851fef1-a045-4e2c-b136-0e1eded2deb5"]}],"mendeley":{"formattedCitation":"(135)","plainTextFormattedCitation":"(135)","previouslyFormattedCitation":"(135)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(135)</w:t>
            </w:r>
            <w:r w:rsidRPr="00EC3E91">
              <w:rPr>
                <w:rFonts w:cstheme="minorHAnsi"/>
                <w:sz w:val="20"/>
                <w:szCs w:val="20"/>
                <w:lang w:val="en-US"/>
              </w:rPr>
              <w:fldChar w:fldCharType="end"/>
            </w:r>
          </w:p>
        </w:tc>
        <w:tc>
          <w:tcPr>
            <w:tcW w:w="992" w:type="dxa"/>
          </w:tcPr>
          <w:p w14:paraId="6936FF79" w14:textId="5F0CCF22" w:rsidR="00FF4BD9" w:rsidRPr="00EC3E91" w:rsidRDefault="00FF4BD9" w:rsidP="009549DD">
            <w:pPr>
              <w:rPr>
                <w:rFonts w:cstheme="minorHAnsi"/>
                <w:sz w:val="20"/>
                <w:szCs w:val="20"/>
                <w:lang w:val="en-US"/>
              </w:rPr>
            </w:pPr>
            <w:r w:rsidRPr="00EC3E91">
              <w:rPr>
                <w:rFonts w:cstheme="minorHAnsi"/>
                <w:sz w:val="20"/>
                <w:szCs w:val="20"/>
                <w:lang w:val="en-US"/>
              </w:rPr>
              <w:t>Netherland</w:t>
            </w:r>
          </w:p>
        </w:tc>
        <w:tc>
          <w:tcPr>
            <w:tcW w:w="993" w:type="dxa"/>
          </w:tcPr>
          <w:p w14:paraId="7DF3B3D9" w14:textId="78D86551"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09478572" w14:textId="646B569D"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7D71266" w14:textId="4C12AFA3"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0E99E6F" w14:textId="6AD8705C" w:rsidR="00FF4BD9" w:rsidRPr="00EC3E91" w:rsidRDefault="00FF4BD9" w:rsidP="009549DD">
            <w:pPr>
              <w:rPr>
                <w:rFonts w:cstheme="minorHAnsi"/>
                <w:sz w:val="20"/>
                <w:szCs w:val="20"/>
                <w:lang w:val="en-US"/>
              </w:rPr>
            </w:pPr>
            <w:r w:rsidRPr="00EC3E91">
              <w:rPr>
                <w:rFonts w:cstheme="minorHAnsi"/>
                <w:sz w:val="20"/>
                <w:szCs w:val="20"/>
                <w:lang w:val="en-US"/>
              </w:rPr>
              <w:t xml:space="preserve">Antibiotics </w:t>
            </w:r>
          </w:p>
        </w:tc>
        <w:tc>
          <w:tcPr>
            <w:tcW w:w="2126" w:type="dxa"/>
          </w:tcPr>
          <w:p w14:paraId="0D6FD7D4" w14:textId="67F013A3"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16B788C8" w14:textId="00FD5150" w:rsidR="00FF4BD9" w:rsidRPr="00EC3E91" w:rsidRDefault="00FF4BD9" w:rsidP="009549DD">
            <w:pPr>
              <w:rPr>
                <w:rFonts w:cstheme="minorHAnsi"/>
                <w:sz w:val="20"/>
                <w:szCs w:val="20"/>
                <w:lang w:val="en-US"/>
              </w:rPr>
            </w:pPr>
            <w:r w:rsidRPr="00EC3E91">
              <w:rPr>
                <w:rFonts w:cstheme="minorHAnsi"/>
                <w:sz w:val="20"/>
                <w:szCs w:val="20"/>
                <w:lang w:val="en-US"/>
              </w:rPr>
              <w:t xml:space="preserve">National guidelines for antibiotic prescriptions. </w:t>
            </w:r>
          </w:p>
        </w:tc>
        <w:tc>
          <w:tcPr>
            <w:tcW w:w="2551" w:type="dxa"/>
          </w:tcPr>
          <w:p w14:paraId="1A070CF1" w14:textId="2D704F0B" w:rsidR="00FF4BD9" w:rsidRPr="00EC3E91" w:rsidRDefault="00FF4BD9" w:rsidP="00B75E2F">
            <w:pPr>
              <w:rPr>
                <w:rFonts w:cstheme="minorHAnsi"/>
                <w:sz w:val="20"/>
                <w:szCs w:val="20"/>
                <w:lang w:val="en-US"/>
              </w:rPr>
            </w:pPr>
            <w:r w:rsidRPr="00EC3E91">
              <w:rPr>
                <w:rFonts w:cstheme="minorHAnsi"/>
                <w:sz w:val="20"/>
                <w:szCs w:val="20"/>
                <w:lang w:val="en-US"/>
              </w:rPr>
              <w:t>Make training dynamic, identify and prepare champions, assess and redesign workflow, develop and organize quality monitoring systems, create new clinical teams, distribute educational materials, assess readiness and identify barriers and facilitators, tailor strategies</w:t>
            </w:r>
          </w:p>
        </w:tc>
      </w:tr>
      <w:tr w:rsidR="00FF4BD9" w:rsidRPr="00E119DD" w14:paraId="032CEA18" w14:textId="77777777" w:rsidTr="00FF4BD9">
        <w:trPr>
          <w:tblHeader/>
        </w:trPr>
        <w:tc>
          <w:tcPr>
            <w:tcW w:w="709" w:type="dxa"/>
          </w:tcPr>
          <w:p w14:paraId="5436C011" w14:textId="222E3264"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{"citationItems":[{"id":"ITEM-1","itemData":{"abstract":"BACKGROUND AND GOAL OF STUDY: Over-ordering of routine preoperative investigations is prevalent. Adherence to institutional guidelines differs among physicians. Our institution integrated a Clinical Decision Support (CDS) model into our hospital's Computerized Physician Ordering Entry (CPOE) system to guide physician orders. We investigate if the implementation of CDS into CPOE increases physician adherence to our institutional guidelines. METHODS: A retrospective cohort study in a tertiary academic hospital over 18 months. The CDS model incorporated into the hospital's CPOE system prompts preoperative investigations based on the patient's age, gender, American Society of Anesthesiologists (ASA) score and complexity of the surgery when physicians use the Electronic Admission Form (EAF). These investigations include: Full Blood Count (FBC), Chest Radiography (CXR), Coagulation Panel (CP), Renal Panel (RP) and Electrocardiogram (ECG). Orders are 'concordant' if they followed guidelines; 'over' if they were not required by guidelines, and 'under' if they were required by guidelines but not ordered. RESULTS AND DISCUSSION: 11,792 patients - 7977 patients in the pre-implementation group, and 3815 patients in the post-implementation group. After implementation of CDS, overall guideline-concordant ordering rate increased by 3.9%, over orders decreased by 0.6% and under-orders decreased by 3.3% (P&lt;0.001). CP showed the greatest increase in concordant orders by 12.0% and greatest decrease in under-orders by 11.1%. RP, ECG and CXR also showed modest increases in concordance rate. No significant change in ordering of FBC was found, due to the high pre-implementation concordance frequency of 96.3%. ECG and CXR have the lowest rates of concordant orders and highest rates of 'over' orders in both groups. Concordant orders were lowest in ASA 1 patients, and better in patients with higher ASA. Concordant orders across all ASA scores improved significantly after CDS was implemented. CONCLUSION: Implementation of CDS model into the CPOE system has improved physician adherence to guidelines for certain preoperative investigations.","author":[{"dropping-particle":"","family":"Sim","given":"E Y","non-dropping-particle":"","parse-names":false,"suffix":""},{"dropping-particle":"","family":"Tan","given":"D J A","non-dropping-particle":"","parse-names":false,"suffix":""},{"dropping-particle":"","family":"Abdullah","given":"H R","non-dropping-particle":"","parse-names":false,"suffix":""}],"container-title":"International Journal of Medical Informatics","id":"ITEM-1","issued":{"date-parts":[["2017"]]},"page":"29-35","title":"The use of computerized physician order entry with clinical decision support reduces practice variance in ordering preoperative investigations: A retrospective cohort study","type":"article-journal","volume":"108"},"uris":["http://www.mendeley.com/documents/?uuid=c082e6c8-6b9a-42fb-9b89-c2b76fa5fdc6"]}],"mendeley":{"formattedCitation":"(136)","plainTextFormattedCitation":"(136)","previouslyFormattedCitation":"(136)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(136)</w:t>
            </w:r>
            <w:r w:rsidRPr="00EC3E91">
              <w:rPr>
                <w:rFonts w:cstheme="minorHAnsi"/>
                <w:sz w:val="20"/>
                <w:szCs w:val="20"/>
                <w:lang w:val="en-US"/>
              </w:rPr>
              <w:fldChar w:fldCharType="end"/>
            </w:r>
          </w:p>
        </w:tc>
        <w:tc>
          <w:tcPr>
            <w:tcW w:w="992" w:type="dxa"/>
          </w:tcPr>
          <w:p w14:paraId="53731CCC" w14:textId="56028B4B" w:rsidR="00FF4BD9" w:rsidRPr="00EC3E91" w:rsidRDefault="00FF4BD9" w:rsidP="009549DD">
            <w:pPr>
              <w:rPr>
                <w:rFonts w:cstheme="minorHAnsi"/>
                <w:sz w:val="20"/>
                <w:szCs w:val="20"/>
                <w:lang w:val="en-US"/>
              </w:rPr>
            </w:pPr>
            <w:r w:rsidRPr="00EC3E91">
              <w:rPr>
                <w:rFonts w:cstheme="minorHAnsi"/>
                <w:sz w:val="20"/>
                <w:szCs w:val="20"/>
                <w:lang w:val="en-US"/>
              </w:rPr>
              <w:t xml:space="preserve">Singapore </w:t>
            </w:r>
          </w:p>
        </w:tc>
        <w:tc>
          <w:tcPr>
            <w:tcW w:w="993" w:type="dxa"/>
          </w:tcPr>
          <w:p w14:paraId="0224A909" w14:textId="661612BA" w:rsidR="00FF4BD9" w:rsidRPr="00EC3E91" w:rsidRDefault="00FF4BD9" w:rsidP="009549DD">
            <w:pPr>
              <w:rPr>
                <w:rFonts w:cstheme="minorHAnsi"/>
                <w:sz w:val="20"/>
                <w:szCs w:val="20"/>
                <w:lang w:val="en-US"/>
              </w:rPr>
            </w:pPr>
            <w:r w:rsidRPr="00EC3E91">
              <w:rPr>
                <w:rFonts w:cstheme="minorHAnsi"/>
                <w:sz w:val="20"/>
                <w:szCs w:val="20"/>
                <w:lang w:val="en-US"/>
              </w:rPr>
              <w:t xml:space="preserve">Hospital </w:t>
            </w:r>
          </w:p>
        </w:tc>
        <w:tc>
          <w:tcPr>
            <w:tcW w:w="850" w:type="dxa"/>
          </w:tcPr>
          <w:p w14:paraId="53757976" w14:textId="76A9CF76"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5CC190BD" w14:textId="3B6B8693"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8DA9095" w14:textId="148060A8" w:rsidR="00FF4BD9" w:rsidRPr="00EC3E91" w:rsidRDefault="00FF4BD9" w:rsidP="009549DD">
            <w:pPr>
              <w:rPr>
                <w:rFonts w:cstheme="minorHAnsi"/>
                <w:sz w:val="20"/>
                <w:szCs w:val="20"/>
                <w:lang w:val="en-US"/>
              </w:rPr>
            </w:pPr>
            <w:r w:rsidRPr="00EC3E91">
              <w:rPr>
                <w:rFonts w:cstheme="minorHAnsi"/>
                <w:sz w:val="20"/>
                <w:szCs w:val="20"/>
                <w:lang w:val="en-US"/>
              </w:rPr>
              <w:t xml:space="preserve">Lab tests, </w:t>
            </w:r>
            <w:r w:rsidR="00226199">
              <w:rPr>
                <w:rFonts w:cstheme="minorHAnsi"/>
                <w:sz w:val="20"/>
                <w:szCs w:val="20"/>
                <w:lang w:val="en-US"/>
              </w:rPr>
              <w:t>Imaging</w:t>
            </w:r>
          </w:p>
        </w:tc>
        <w:tc>
          <w:tcPr>
            <w:tcW w:w="2126" w:type="dxa"/>
          </w:tcPr>
          <w:p w14:paraId="43E96983" w14:textId="712ECD94" w:rsidR="00FF4BD9" w:rsidRPr="00EC3E91" w:rsidRDefault="00FF4BD9" w:rsidP="009549DD">
            <w:pPr>
              <w:rPr>
                <w:rFonts w:cstheme="minorHAnsi"/>
                <w:sz w:val="20"/>
                <w:szCs w:val="20"/>
                <w:lang w:val="en-US"/>
              </w:rPr>
            </w:pPr>
            <w:r w:rsidRPr="00EC3E91">
              <w:rPr>
                <w:rFonts w:cstheme="minorHAnsi"/>
                <w:sz w:val="20"/>
                <w:szCs w:val="20"/>
                <w:lang w:val="en-US"/>
              </w:rPr>
              <w:t>Inappropriate use of lab tests and imaging for preoperative investigations</w:t>
            </w:r>
          </w:p>
        </w:tc>
        <w:tc>
          <w:tcPr>
            <w:tcW w:w="3969" w:type="dxa"/>
          </w:tcPr>
          <w:p w14:paraId="6C81A812" w14:textId="3E2AF87E" w:rsidR="00FF4BD9" w:rsidRPr="00EC3E91" w:rsidRDefault="00FF4BD9" w:rsidP="00AB4F00">
            <w:pPr>
              <w:rPr>
                <w:rFonts w:cstheme="minorHAnsi"/>
                <w:sz w:val="20"/>
                <w:szCs w:val="20"/>
                <w:lang w:val="en-US"/>
              </w:rPr>
            </w:pPr>
            <w:r w:rsidRPr="00EC3E91">
              <w:rPr>
                <w:rFonts w:cstheme="minorHAnsi"/>
                <w:sz w:val="20"/>
                <w:szCs w:val="20"/>
                <w:lang w:val="en-US"/>
              </w:rPr>
              <w:t xml:space="preserve">Choosing wisely </w:t>
            </w:r>
          </w:p>
        </w:tc>
        <w:tc>
          <w:tcPr>
            <w:tcW w:w="2551" w:type="dxa"/>
          </w:tcPr>
          <w:p w14:paraId="4519A071" w14:textId="5854AC1C" w:rsidR="00FF4BD9" w:rsidRPr="00EC3E91" w:rsidRDefault="00FF4BD9" w:rsidP="009549DD">
            <w:pPr>
              <w:rPr>
                <w:rFonts w:cstheme="minorHAnsi"/>
                <w:sz w:val="20"/>
                <w:szCs w:val="20"/>
                <w:lang w:val="en-US"/>
              </w:rPr>
            </w:pPr>
            <w:r w:rsidRPr="00EC3E91">
              <w:rPr>
                <w:rFonts w:cstheme="minorHAnsi"/>
                <w:sz w:val="20"/>
                <w:szCs w:val="20"/>
                <w:lang w:val="en-US"/>
              </w:rPr>
              <w:t>remind clinicians, change physical structure and equipment</w:t>
            </w:r>
          </w:p>
        </w:tc>
      </w:tr>
      <w:tr w:rsidR="00FF4BD9" w:rsidRPr="00E119DD" w14:paraId="05812BD9" w14:textId="77777777" w:rsidTr="00FF4BD9">
        <w:trPr>
          <w:tblHeader/>
        </w:trPr>
        <w:tc>
          <w:tcPr>
            <w:tcW w:w="709" w:type="dxa"/>
          </w:tcPr>
          <w:p w14:paraId="6D1D426E" w14:textId="1EB9E0B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This study evaluated changes in the use of contraindicated drugs in the pediatric population, via automated alerts through the nationwide drug utilization review. METHODS: We conducted an interrupted time series analysis using the nationwide health insurance database. Study drugs consisted of a total of 72 drugs in 22 classes that were designated as age contraindicated between January 2007 and December 2011. The subjects consisted of the patients in Korea who had been prescribed with any of the study drugs at least once. Changes in the use of age-contraindicated drugs after the regulatory action were estimated as relative and absolute reductions with 95% CI. Regression analysis was carried out based on the monthly number of users prior to the announcement of age-contraindicated drugs on 3 December 2009 to estimate the predicted values, and these were then compared with the observed values after the announcement. RESULTS: A total of 2 541 888 patients were prescribed age-contraindicated drugs at least once. The percentage of age-contraindicated drug users was 2.10% of the total users (n = 3 309 566) during the period prior to the 2009 regulatory action, but it decreased to 0.30% (n = 542 529) after the action. Overall, there was an 85.71% relative reduction (95% CI: 71.53-102.72) in the percentage of age-contraindicated drug users. The projected monthly number of users of age-contraindicated drugs showed a gradual downward trend. CONCLUSION: Decreases in contraindicated drugs have accelerated after a regulatory action with automated alerts.","author":[{"dropping-particle":"","family":"Song","given":"I","non-dropping-particle":"","parse-names":false,"suffix":""},{"dropping-particle":"","family":"Shin","given":"H N","non-dropping-particle":"","parse-names":false,"suffix":""},{"dropping-particle":"","family":"Shin","given":"J Y","non-dropping-particle":"","parse-names":false,"suffix":""}],"container-title":"Pediatrics International","id":"ITEM-1","issue":"6","issued":{"date-parts":[["2017"]]},"page":"720-726","title":"Decrease in use of contraindicated drugs with automated alerts in children","type":"article-journal","volume":"59"},"uris":["http://www.mendeley.com/documents/?uuid=d88d5cc3-60e3-4e04-9f03-9f14decca526"]}],"mendeley":{"formattedCitation":"(137)","plainTextFormattedCitation":"(137)","previouslyFormattedCitation":"(137)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(137)</w:t>
            </w:r>
            <w:r w:rsidRPr="00EC3E91">
              <w:rPr>
                <w:rFonts w:cstheme="minorHAnsi"/>
                <w:sz w:val="20"/>
                <w:szCs w:val="20"/>
                <w:lang w:val="en-US"/>
              </w:rPr>
              <w:fldChar w:fldCharType="end"/>
            </w:r>
          </w:p>
        </w:tc>
        <w:tc>
          <w:tcPr>
            <w:tcW w:w="992" w:type="dxa"/>
          </w:tcPr>
          <w:p w14:paraId="168A5A25" w14:textId="460CF62A" w:rsidR="00FF4BD9" w:rsidRPr="00EC3E91" w:rsidRDefault="00FF4BD9" w:rsidP="009549DD">
            <w:pPr>
              <w:rPr>
                <w:rFonts w:cstheme="minorHAnsi"/>
                <w:sz w:val="20"/>
                <w:szCs w:val="20"/>
                <w:lang w:val="en-US"/>
              </w:rPr>
            </w:pPr>
            <w:r w:rsidRPr="00EC3E91">
              <w:rPr>
                <w:rFonts w:cstheme="minorHAnsi"/>
                <w:sz w:val="20"/>
                <w:szCs w:val="20"/>
                <w:lang w:val="en-US"/>
              </w:rPr>
              <w:t>South Korea</w:t>
            </w:r>
          </w:p>
        </w:tc>
        <w:tc>
          <w:tcPr>
            <w:tcW w:w="993" w:type="dxa"/>
          </w:tcPr>
          <w:p w14:paraId="54B1024D" w14:textId="5738CC1F" w:rsidR="00FF4BD9" w:rsidRPr="00EC3E91" w:rsidRDefault="00FF4BD9" w:rsidP="009549DD">
            <w:pPr>
              <w:rPr>
                <w:rFonts w:cstheme="minorHAnsi"/>
                <w:sz w:val="20"/>
                <w:szCs w:val="20"/>
                <w:lang w:val="en-US"/>
              </w:rPr>
            </w:pPr>
            <w:r w:rsidRPr="00EC3E91">
              <w:rPr>
                <w:rFonts w:cstheme="minorHAnsi"/>
                <w:sz w:val="20"/>
                <w:szCs w:val="20"/>
                <w:lang w:val="en-US"/>
              </w:rPr>
              <w:t>Multiple settings</w:t>
            </w:r>
          </w:p>
        </w:tc>
        <w:tc>
          <w:tcPr>
            <w:tcW w:w="850" w:type="dxa"/>
          </w:tcPr>
          <w:p w14:paraId="25B21B0B" w14:textId="137F0151"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CC42B05" w14:textId="008C2C3D"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CB3373B" w14:textId="6AC26C12"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125AB92A" w14:textId="390DEC2F" w:rsidR="00FF4BD9" w:rsidRPr="00EC3E91" w:rsidRDefault="00FF4BD9" w:rsidP="009549DD">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3D7E34DC" w14:textId="51DF8CD6" w:rsidR="00FF4BD9" w:rsidRPr="00EC3E91" w:rsidRDefault="00FF4BD9" w:rsidP="00AB4F00">
            <w:pPr>
              <w:rPr>
                <w:rFonts w:cstheme="minorHAnsi"/>
                <w:sz w:val="20"/>
                <w:szCs w:val="20"/>
                <w:lang w:val="en-US"/>
              </w:rPr>
            </w:pPr>
            <w:r w:rsidRPr="00EC3E91">
              <w:rPr>
                <w:rFonts w:cstheme="minorHAnsi"/>
                <w:sz w:val="20"/>
                <w:szCs w:val="20"/>
                <w:lang w:val="en-US"/>
              </w:rPr>
              <w:t>Public Announcement on Additional List of Age-Contraindicated Drugs. By the Ministry of Food and Drug Safety.</w:t>
            </w:r>
          </w:p>
        </w:tc>
        <w:tc>
          <w:tcPr>
            <w:tcW w:w="2551" w:type="dxa"/>
          </w:tcPr>
          <w:p w14:paraId="2DBEA308" w14:textId="214971FF" w:rsidR="00FF4BD9" w:rsidRPr="00EC3E91" w:rsidRDefault="00FF4BD9" w:rsidP="009549DD">
            <w:pPr>
              <w:rPr>
                <w:rFonts w:cstheme="minorHAnsi"/>
                <w:sz w:val="20"/>
                <w:szCs w:val="20"/>
                <w:lang w:val="en-US"/>
              </w:rPr>
            </w:pPr>
            <w:r w:rsidRPr="00EC3E91">
              <w:rPr>
                <w:rFonts w:cstheme="minorHAnsi"/>
                <w:sz w:val="20"/>
                <w:szCs w:val="20"/>
                <w:lang w:val="en-US"/>
              </w:rPr>
              <w:t>develop and organize quality monitoring systems</w:t>
            </w:r>
          </w:p>
        </w:tc>
      </w:tr>
      <w:tr w:rsidR="00FF4BD9" w:rsidRPr="00E119DD" w14:paraId="3677385F" w14:textId="77777777" w:rsidTr="00FF4BD9">
        <w:trPr>
          <w:tblHeader/>
        </w:trPr>
        <w:tc>
          <w:tcPr>
            <w:tcW w:w="709" w:type="dxa"/>
          </w:tcPr>
          <w:p w14:paraId="477BD150" w14:textId="55413A0B"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{"citationItems":[{"id":"ITEM-1","itemData":{"abstract":"INTRODUCTION: Policy interventions to address inappropriate prescribing of antipsychotic drugs to older people diagnosed with dementia are commonplace. In the UK, warnings were issued by the Medicines Healthcare products Regulatory Agency in 2004, 2009 and 2012 and the National Institute for Health and Care Excellence guidance was published in 2006. It is important to evaluate the impact of such interventions. METHODS: We analysed routinely collected primary-care data from 111,346 patients attending one of 689 general practices contributing to the Clinical Practice Research Datalink to describe the temporal changes in the prescribing of antipsychotic drugs to patients aged 65 years or over diagnosed with dementia without a concomitant psychosis diagnosis from 2001 to 2014 using an interrupted time series and a before-and-after design. Logistic regression methods were used to quantify the impact of patient and practice level variables on prescribing prevalence. RESULTS: Prescribing of first-generation antipsychotic drugs reduced from 8.9% in 2001 to 1.4% in 2014 (prevalence ratio 2014/2001 adjusted for age, sex and clustering within practices (0.14, 95% confidence interval 0.12-0.16), whereas there was little change for second-generation antipsychotic drugs (1.01, confidence interval 0.94-1.17). Between 2004 and 2012, several policy interventions coincided with a pattern of ups and downs, whereas the 2006 National Institute for Health and Care Excellence guidance was followed by a gradual longer term reduction. Since 2013, the decreasing trend in second-generation antipsychotic drug prescribing has plateaued largely driven by the increasing prescribing of risperidone. CONCLUSIONS: Increased surveillance and evaluation of drug safety warnings and guidance are needed to improve the impact of future interventions.","author":[{"dropping-particle":"","family":"Stocks","given":"S J","non-dropping-particle":"","parse-names":false,"suffix":""},{"dropping-particle":"","family":"Kontopantelis","given":"E","non-dropping-particle":"","parse-names":false,"suffix":""},{"dropping-particle":"","family":"Webb","given":"R T","non-dropping-particle":"","parse-names":false,"suffix":""},{"dropping-particle":"","family":"Avery","given":"A J","non-dropping-particle":"","parse-names":false,"suffix":""},{"dropping-particle":"","family":"Burns","given":"A","non-dropping-particle":"","parse-names":false,"suffix":""},{"dropping-particle":"","family":"Ashcroft","given":"D M","non-dropping-particle":"","parse-names":false,"suffix":""}],"container-title":"Drug Safety","id":"ITEM-1","issue":"8","issued":{"date-parts":[["2017"]]},"page":"679-692","title":"Antipsychotic Prescribing to Patients Diagnosed with Dementia Without a Diagnosis of Psychosis in the Context of National Guidance and Drug Safety Warnings: Longitudinal Study in UK General Practice","type":"article-journal","volume":"40"},"uris":["http://www.mendeley.com/documents/?uuid=955307bb-3968-4f27-92e4-05f53261e557"]}],"mendeley":{"formattedCitation":"(138)","plainTextFormattedCitation":"(138)","previouslyFormattedCitation":"(138)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(138)</w:t>
            </w:r>
            <w:r w:rsidRPr="00EC3E91">
              <w:rPr>
                <w:rFonts w:cstheme="minorHAnsi"/>
                <w:sz w:val="20"/>
                <w:szCs w:val="20"/>
                <w:lang w:val="en-US"/>
              </w:rPr>
              <w:fldChar w:fldCharType="end"/>
            </w:r>
          </w:p>
        </w:tc>
        <w:tc>
          <w:tcPr>
            <w:tcW w:w="992" w:type="dxa"/>
          </w:tcPr>
          <w:p w14:paraId="7419CDB7" w14:textId="69767D0B" w:rsidR="00FF4BD9" w:rsidRPr="00EC3E91" w:rsidRDefault="00FF4BD9" w:rsidP="009549DD">
            <w:pPr>
              <w:rPr>
                <w:rFonts w:cstheme="minorHAnsi"/>
                <w:sz w:val="20"/>
                <w:szCs w:val="20"/>
                <w:lang w:val="en-US"/>
              </w:rPr>
            </w:pPr>
            <w:r w:rsidRPr="00EC3E91">
              <w:rPr>
                <w:rFonts w:cstheme="minorHAnsi"/>
                <w:sz w:val="20"/>
                <w:szCs w:val="20"/>
                <w:lang w:val="en-US"/>
              </w:rPr>
              <w:t xml:space="preserve">UK </w:t>
            </w:r>
          </w:p>
        </w:tc>
        <w:tc>
          <w:tcPr>
            <w:tcW w:w="993" w:type="dxa"/>
          </w:tcPr>
          <w:p w14:paraId="1CF5D5A7" w14:textId="3F4A6880"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1E121800" w14:textId="5A67E2EA"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72F718C" w14:textId="6916F212"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223CE85" w14:textId="1BF15454" w:rsidR="00FF4BD9" w:rsidRPr="00EC3E91" w:rsidRDefault="00FF4BD9" w:rsidP="009549DD">
            <w:pPr>
              <w:rPr>
                <w:rFonts w:cstheme="minorHAnsi"/>
                <w:sz w:val="20"/>
                <w:szCs w:val="20"/>
                <w:lang w:val="en-US"/>
              </w:rPr>
            </w:pPr>
            <w:r w:rsidRPr="00EC3E91">
              <w:rPr>
                <w:rFonts w:cstheme="minorHAnsi"/>
                <w:sz w:val="20"/>
                <w:szCs w:val="20"/>
                <w:lang w:val="en-US"/>
              </w:rPr>
              <w:t>Antipsychotics</w:t>
            </w:r>
          </w:p>
        </w:tc>
        <w:tc>
          <w:tcPr>
            <w:tcW w:w="2126" w:type="dxa"/>
          </w:tcPr>
          <w:p w14:paraId="22B682CF" w14:textId="1E7DCBD7" w:rsidR="00FF4BD9" w:rsidRPr="00EC3E91" w:rsidRDefault="00FF4BD9" w:rsidP="009549DD">
            <w:pPr>
              <w:rPr>
                <w:rFonts w:cstheme="minorHAnsi"/>
                <w:sz w:val="20"/>
                <w:szCs w:val="20"/>
                <w:lang w:val="en-US"/>
              </w:rPr>
            </w:pPr>
            <w:r w:rsidRPr="00EC3E91">
              <w:rPr>
                <w:rFonts w:cstheme="minorHAnsi"/>
                <w:sz w:val="20"/>
                <w:szCs w:val="20"/>
                <w:lang w:val="en-US"/>
              </w:rPr>
              <w:t>Inappropriate prescribing of antipsychotics to patients diagnosed with dementia</w:t>
            </w:r>
          </w:p>
        </w:tc>
        <w:tc>
          <w:tcPr>
            <w:tcW w:w="3969" w:type="dxa"/>
          </w:tcPr>
          <w:p w14:paraId="4EC50568" w14:textId="2D5210A1" w:rsidR="00FF4BD9" w:rsidRPr="00EC3E91" w:rsidRDefault="00FF4BD9" w:rsidP="00AB4F00">
            <w:pPr>
              <w:rPr>
                <w:rFonts w:cstheme="minorHAnsi"/>
                <w:sz w:val="20"/>
                <w:szCs w:val="20"/>
                <w:lang w:val="en-US"/>
              </w:rPr>
            </w:pPr>
            <w:r w:rsidRPr="00EC3E91">
              <w:rPr>
                <w:rFonts w:cstheme="minorHAnsi"/>
                <w:sz w:val="20"/>
                <w:szCs w:val="20"/>
                <w:lang w:val="en-US"/>
              </w:rPr>
              <w:t xml:space="preserve">Dementia: supporting people with dementia and their </w:t>
            </w:r>
            <w:r w:rsidR="00D15AE9" w:rsidRPr="00EC3E91">
              <w:rPr>
                <w:rFonts w:cstheme="minorHAnsi"/>
                <w:sz w:val="20"/>
                <w:szCs w:val="20"/>
                <w:lang w:val="en-US"/>
              </w:rPr>
              <w:t>carer</w:t>
            </w:r>
            <w:r w:rsidR="00D15AE9">
              <w:rPr>
                <w:rFonts w:cstheme="minorHAnsi"/>
                <w:sz w:val="20"/>
                <w:szCs w:val="20"/>
                <w:lang w:val="en-US"/>
              </w:rPr>
              <w:t>s</w:t>
            </w:r>
            <w:r w:rsidRPr="00EC3E91">
              <w:rPr>
                <w:rFonts w:cstheme="minorHAnsi"/>
                <w:sz w:val="20"/>
                <w:szCs w:val="20"/>
                <w:lang w:val="en-US"/>
              </w:rPr>
              <w:t xml:space="preserve"> in health and social care. By the National Institute for Health and Care Excellence. </w:t>
            </w:r>
          </w:p>
        </w:tc>
        <w:tc>
          <w:tcPr>
            <w:tcW w:w="2551" w:type="dxa"/>
          </w:tcPr>
          <w:p w14:paraId="7FAF45A7" w14:textId="77777777"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w:t>
            </w:r>
          </w:p>
          <w:p w14:paraId="776D482F" w14:textId="54535CAC" w:rsidR="00FF4BD9" w:rsidRPr="00EC3E91" w:rsidRDefault="00FF4BD9" w:rsidP="009549DD">
            <w:pPr>
              <w:rPr>
                <w:rFonts w:cstheme="minorHAnsi"/>
                <w:sz w:val="20"/>
                <w:szCs w:val="20"/>
                <w:lang w:val="en-US"/>
              </w:rPr>
            </w:pPr>
          </w:p>
        </w:tc>
      </w:tr>
      <w:tr w:rsidR="00FF4BD9" w:rsidRPr="00E119DD" w14:paraId="2073C955" w14:textId="77777777" w:rsidTr="00FF4BD9">
        <w:trPr>
          <w:tblHeader/>
        </w:trPr>
        <w:tc>
          <w:tcPr>
            <w:tcW w:w="709" w:type="dxa"/>
          </w:tcPr>
          <w:p w14:paraId="16BA73C0" w14:textId="2D7C7A3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{"citationItems":[{"id":"ITEM-1","itemData":{"abstract":"Potentially inappropriate medications (PIMs) have been associated with poor outcomes in older adults. Electronic health record (EHR)-based interventions may be an effective way to reduce PIM prescribing. The main objective of this study was to evaluate changes in PIM prescribing to older adult veterans &gt;=65 years old in the ambulatory care setting preimplementation and postimplementation of medication alert messages at the point of computerized provider order entry (CPOE). Additional exploratory objectives included evaluating provider type and patient-provider relationship as a factor for change in PIM prescribing. A total of 1539 patients prealert and 1490 patients postalert were prescribed 1952 and 1897 PIMs, respectively. End points were reported as the proportion of new PIM orders of total new prescriptions. There was no significant difference in the rate of new PIMs prealert and postalert overall, 12.6% to 12.0% ( P = .13). However, there was a significant reduction in the rate of the top 10 most common newly prescribed PIMs, 9.0% to 8.3% ( P = .016), and resident providers prescribed fewer PIMs during both time periods. A simple, age-specific medication alert message during CPOE decreased the incidence of the most frequently prescribed PIMs in older adults receiving care in an ambulatory care setting.","author":[{"dropping-particle":"","family":"V","given":"","non-dropping-particle":"","parse-names":false,"suffix":""},{"dropping-particle":"","family":"Erman","given":"A J","non-dropping-particle":"","parse-names":false,"suffix":""},{"dropping-particle":"","family":"Moss","given":"J M","non-dropping-particle":"","parse-names":false,"suffix":""},{"dropping-particle":"","family":"Bryan W. E.","given":"3rd","non-dropping-particle":"","parse-names":false,"suffix":""},{"dropping-particle":"","family":"Sloane","given":"R","non-dropping-particle":"","parse-names":false,"suffix":""},{"dropping-particle":"","family":"Jackson","given":"G L","non-dropping-particle":"","parse-names":false,"suffix":""},{"dropping-particle":"","family":"Hastings","given":"S N","non-dropping-particle":"","parse-names":false,"suffix":""}],"container-title":"Journal of Pharmacy Practice","id":"ITEM-1","issue":"1","issued":{"date-parts":[["2017"]]},"page":"82-88","title":"Evaluating the Impact of Medication Safety Alerts on Prescribing of Potentially Inappropriate Medications for Older Veterans in an Ambulatory Care Setting","type":"article-journal","volume":"30"},"uris":["http://www.mendeley.com/documents/?uuid=ed0b49ee-38e2-4720-9258-9b99831d7823"]}],"mendeley":{"formattedCitation":"(139)","plainTextFormattedCitation":"(139)","previouslyFormattedCitation":"(139)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(139)</w:t>
            </w:r>
            <w:r w:rsidRPr="00EC3E91">
              <w:rPr>
                <w:rFonts w:cstheme="minorHAnsi"/>
                <w:sz w:val="20"/>
                <w:szCs w:val="20"/>
                <w:lang w:val="en-US"/>
              </w:rPr>
              <w:fldChar w:fldCharType="end"/>
            </w:r>
          </w:p>
        </w:tc>
        <w:tc>
          <w:tcPr>
            <w:tcW w:w="992" w:type="dxa"/>
          </w:tcPr>
          <w:p w14:paraId="09F73B0F" w14:textId="2A5BA982"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6CA16BAA" w14:textId="0F3DCCD4" w:rsidR="00FF4BD9" w:rsidRPr="00EC3E91" w:rsidRDefault="00FF4BD9" w:rsidP="009549DD">
            <w:pPr>
              <w:rPr>
                <w:rFonts w:cstheme="minorHAnsi"/>
                <w:sz w:val="20"/>
                <w:szCs w:val="20"/>
                <w:lang w:val="en-US"/>
              </w:rPr>
            </w:pPr>
            <w:r w:rsidRPr="00EC3E91">
              <w:rPr>
                <w:rFonts w:cstheme="minorHAnsi"/>
                <w:sz w:val="20"/>
                <w:szCs w:val="20"/>
                <w:lang w:val="en-US"/>
              </w:rPr>
              <w:t xml:space="preserve">Multiple settings </w:t>
            </w:r>
          </w:p>
        </w:tc>
        <w:tc>
          <w:tcPr>
            <w:tcW w:w="850" w:type="dxa"/>
          </w:tcPr>
          <w:p w14:paraId="07AC41F6" w14:textId="591F2EE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766B2EBD" w14:textId="4ED112C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8ED0798" w14:textId="2A39BB5E" w:rsidR="00FF4BD9" w:rsidRPr="00EC3E91" w:rsidRDefault="00FF4BD9" w:rsidP="009549DD">
            <w:pPr>
              <w:rPr>
                <w:rFonts w:cstheme="minorHAnsi"/>
                <w:sz w:val="20"/>
                <w:szCs w:val="20"/>
                <w:lang w:val="en-US"/>
              </w:rPr>
            </w:pPr>
            <w:r w:rsidRPr="00EC3E91">
              <w:rPr>
                <w:rFonts w:cstheme="minorHAnsi"/>
                <w:sz w:val="20"/>
                <w:szCs w:val="20"/>
                <w:lang w:val="en-US"/>
              </w:rPr>
              <w:t xml:space="preserve">PIM Elderly </w:t>
            </w:r>
          </w:p>
        </w:tc>
        <w:tc>
          <w:tcPr>
            <w:tcW w:w="2126" w:type="dxa"/>
          </w:tcPr>
          <w:p w14:paraId="0848FA4F" w14:textId="24EB7E87" w:rsidR="00FF4BD9" w:rsidRPr="00EC3E91" w:rsidRDefault="00FF4BD9" w:rsidP="009549DD">
            <w:pPr>
              <w:rPr>
                <w:rFonts w:cstheme="minorHAnsi"/>
                <w:sz w:val="20"/>
                <w:szCs w:val="20"/>
                <w:lang w:val="en-US"/>
              </w:rPr>
            </w:pPr>
            <w:r w:rsidRPr="00EC3E91">
              <w:rPr>
                <w:rFonts w:cstheme="minorHAnsi"/>
                <w:sz w:val="20"/>
                <w:szCs w:val="20"/>
                <w:lang w:val="en-US"/>
              </w:rPr>
              <w:t>Potentially inappropriate medications</w:t>
            </w:r>
          </w:p>
        </w:tc>
        <w:tc>
          <w:tcPr>
            <w:tcW w:w="3969" w:type="dxa"/>
          </w:tcPr>
          <w:p w14:paraId="72B762FE" w14:textId="76DD335D" w:rsidR="00FF4BD9" w:rsidRPr="00EC3E91" w:rsidRDefault="00FF4BD9" w:rsidP="00AB4F00">
            <w:pPr>
              <w:rPr>
                <w:rFonts w:cstheme="minorHAnsi"/>
                <w:sz w:val="20"/>
                <w:szCs w:val="20"/>
                <w:lang w:val="en-US"/>
              </w:rPr>
            </w:pPr>
            <w:r w:rsidRPr="00EC3E91">
              <w:rPr>
                <w:rFonts w:cstheme="minorHAnsi"/>
                <w:sz w:val="20"/>
                <w:szCs w:val="20"/>
                <w:lang w:val="en-US"/>
              </w:rPr>
              <w:t xml:space="preserve">Beers Criteria </w:t>
            </w:r>
          </w:p>
        </w:tc>
        <w:tc>
          <w:tcPr>
            <w:tcW w:w="2551" w:type="dxa"/>
          </w:tcPr>
          <w:p w14:paraId="005D9041" w14:textId="7D5A5613" w:rsidR="00FF4BD9" w:rsidRPr="00EC3E91" w:rsidRDefault="00FF4BD9" w:rsidP="009549DD">
            <w:pPr>
              <w:rPr>
                <w:rFonts w:cstheme="minorHAnsi"/>
                <w:sz w:val="20"/>
                <w:szCs w:val="20"/>
                <w:lang w:val="en-US"/>
              </w:rPr>
            </w:pPr>
            <w:r w:rsidRPr="00EC3E91">
              <w:rPr>
                <w:rFonts w:cstheme="minorHAnsi"/>
                <w:sz w:val="20"/>
                <w:szCs w:val="20"/>
                <w:lang w:val="en-US"/>
              </w:rPr>
              <w:t xml:space="preserve">Develop and organize quality improvement systems </w:t>
            </w:r>
          </w:p>
        </w:tc>
      </w:tr>
      <w:tr w:rsidR="00FF4BD9" w:rsidRPr="00E119DD" w14:paraId="40CAEA21" w14:textId="77777777" w:rsidTr="00FF4BD9">
        <w:trPr>
          <w:tblHeader/>
        </w:trPr>
        <w:tc>
          <w:tcPr>
            <w:tcW w:w="709" w:type="dxa"/>
          </w:tcPr>
          <w:p w14:paraId="14FF92CE" w14:textId="1185EBB5"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{"citationItems":[{"id":"ITEM-1","itemData":{"ISSN":"2214-109X","abstract":"Background Inappropriate antibiotic prescribing contributes to the generation of drug resistance worldwide, and is particularly common in China. We assessed the effectiveness of an antimicrobial stewardship programme aiming to reduce inappropriate antibiotic prescribing in paediatric outpatients by targeting providers and caregivers in primary care hospitals in rural China. Methods We did a pragmatic, cluster-randomised controlled trial with a 6-month intervention period. Clusters were primary care township hospitals in two counties of Guangxi province in China, which were randomly allocated to the intervention group or the control group (in a 1: 1 ratio in Rong county and in a 5: 6 ratio in Liujiang county). Randomisation was stratified by county. Eligible participants were children aged 2-14 years who attended a township hospital as an outpatient and were given a prescription following a primary diagnosis of an upper respiratory tract infection. The intervention included clinician guidelines and training on appropriate prescribing, monthly prescribing peer-review meetings, and brief caregiver education. In hospitals allocated to the control group, usual care was provided, with antibiotics prescribed at the individual clinician's discretion. Patients were masked to their allocated treatment group but doctors were not. The primary outcome was the antibiotic prescription rate in children attending the hospitals, defined as the cluster-level proportion of prescriptions for upper respiratory tract infections in 2-14-year-old outpatients, issued during the final 3 months of the 6-month intervention period (endline), that included one or more antibiotics. The outcome was based on prescription records and analysed by modified intention-to-treat. This study is registered with the ISRCTN registry, number ISRCTN14340536. Findings We recruited all 25 eligible township hospitals in the two counties (14 hospitals in Rong county and 11 in Liujiang county), and randomly allocated 12 to the intervention group and 13 to the control group. We implemented the intervention in three internal pilot clusters between July 1, 2015, and Dec 31, 2015, and in the remaining nine intervention clusters between Oct 1, 2016 and March 31, 2016. Between baseline (the 3 months before implementation of the intervention) and endline (the final 3 months of the 6-month intervention period) the antibiotic prescription rate at the individual level decreased from 82% (1936/2349) to 40% (943/235…","author":[{"dropping-particle":"","family":"Wei","given":"X L","non-dropping-particle":"","parse-names":false,"suffix":""},{"dropping-particle":"","family":"Zhang","given":"Z T","non-dropping-particle":"","parse-names":false,"suffix":""},{"dropping-particle":"","family":"Walley","given":"J D","non-dropping-particle":"","parse-names":false,"suffix":""},{"dropping-particle":"","family":"Hicks","given":"J P","non-dropping-particle":"","parse-names":false,"suffix":""},{"dropping-particle":"","family":"Zeng","given":"J","non-dropping-particle":"","parse-names":false,"suffix":""},{"dropping-particle":"","family":"Deng","given":"S M","non-dropping-particle":"","parse-names":false,"suffix":""},{"dropping-particle":"","family":"Zhou","given":"Y","non-dropping-particle":"","parse-names":false,"suffix":""},{"dropping-particle":"","family":"Yin","given":"J","non-dropping-particle":"","parse-names":false,"suffix":""},{"dropping-particle":"","family":"Newell","given":"J N","non-dropping-particle":"","parse-names":false,"suffix":""},{"dropping-particle":"","family":"Sun","given":"Q","non-dropping-particle":"","parse-names":false,"suffix":""},{"dropping-particle":"","family":"Zou","given":"G Y","non-dropping-particle":"","parse-names":false,"suffix":""},{"dropping-particle":"","family":"Guo","given":"Y","non-dropping-particle":"","parse-names":false,"suffix":""},{"dropping-particle":"","family":"Upshur","given":"R E G","non-dropping-particle":"","parse-names":false,"suffix":""},{"dropping-particle":"","family":"Lin","given":"M","non-dropping-particle":"","parse-names":false,"suffix":""}],"container-title":"Lancet Global Health","id":"ITEM-1","issue":"12","issued":{"date-parts":[["2017"]]},"page":"E1258-E1267","title":"Effect of a training and educational intervention for physicians and caregivers on antibiotic prescribing for upper respiratory tract infections in children at primary care facilities in rural China: a cluster-randomised controlled trial","type":"article-journal","volume":"5"},"uris":["http://www.mendeley.com/documents/?uuid=f3f645ca-f2c9-4fb8-8326-123d4c62cc28"]}],"mendeley":{"formattedCitation":"(140)","plainTextFormattedCitation":"(140)","previouslyFormattedCitation":"(140)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(140)</w:t>
            </w:r>
            <w:r w:rsidRPr="00EC3E91">
              <w:rPr>
                <w:rFonts w:cstheme="minorHAnsi"/>
                <w:sz w:val="20"/>
                <w:szCs w:val="20"/>
                <w:lang w:val="en-US"/>
              </w:rPr>
              <w:fldChar w:fldCharType="end"/>
            </w:r>
          </w:p>
        </w:tc>
        <w:tc>
          <w:tcPr>
            <w:tcW w:w="992" w:type="dxa"/>
          </w:tcPr>
          <w:p w14:paraId="2BAFB14B" w14:textId="75CE7A07" w:rsidR="00FF4BD9" w:rsidRPr="00EC3E91" w:rsidRDefault="00FF4BD9" w:rsidP="009549DD">
            <w:pPr>
              <w:rPr>
                <w:rFonts w:cstheme="minorHAnsi"/>
                <w:sz w:val="20"/>
                <w:szCs w:val="20"/>
                <w:lang w:val="en-US"/>
              </w:rPr>
            </w:pPr>
            <w:r w:rsidRPr="00EC3E91">
              <w:rPr>
                <w:rFonts w:cstheme="minorHAnsi"/>
                <w:sz w:val="20"/>
                <w:szCs w:val="20"/>
                <w:lang w:val="en-US"/>
              </w:rPr>
              <w:t xml:space="preserve">China </w:t>
            </w:r>
          </w:p>
        </w:tc>
        <w:tc>
          <w:tcPr>
            <w:tcW w:w="993" w:type="dxa"/>
          </w:tcPr>
          <w:p w14:paraId="0E315687" w14:textId="68438F96"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15D12913" w14:textId="59C7ED99"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142181F1" w14:textId="162328EA" w:rsidR="00FF4BD9" w:rsidRPr="00EC3E91" w:rsidRDefault="00F61A08" w:rsidP="009549DD">
            <w:pPr>
              <w:rPr>
                <w:rFonts w:cstheme="minorHAnsi"/>
                <w:sz w:val="20"/>
                <w:szCs w:val="20"/>
                <w:lang w:val="en-US"/>
              </w:rPr>
            </w:pPr>
            <w:r w:rsidRPr="00EC3E91">
              <w:rPr>
                <w:rFonts w:cstheme="minorHAnsi"/>
                <w:sz w:val="20"/>
                <w:szCs w:val="20"/>
                <w:lang w:val="en-US"/>
              </w:rPr>
              <w:t>Efficacy</w:t>
            </w:r>
            <w:r w:rsidR="00FF4BD9" w:rsidRPr="00EC3E91">
              <w:rPr>
                <w:rFonts w:cstheme="minorHAnsi"/>
                <w:sz w:val="20"/>
                <w:szCs w:val="20"/>
                <w:lang w:val="en-US"/>
              </w:rPr>
              <w:t>/Effectiveness</w:t>
            </w:r>
          </w:p>
        </w:tc>
        <w:tc>
          <w:tcPr>
            <w:tcW w:w="1134" w:type="dxa"/>
          </w:tcPr>
          <w:p w14:paraId="6482AB54" w14:textId="13B25124"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03F398E0" w14:textId="43858242"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for </w:t>
            </w:r>
            <w:r w:rsidR="00F61A08" w:rsidRPr="00EC3E91">
              <w:rPr>
                <w:rFonts w:cstheme="minorHAnsi"/>
                <w:sz w:val="20"/>
                <w:szCs w:val="20"/>
                <w:lang w:val="en-US"/>
              </w:rPr>
              <w:t>pediatric</w:t>
            </w:r>
            <w:r w:rsidRPr="00EC3E91">
              <w:rPr>
                <w:rFonts w:cstheme="minorHAnsi"/>
                <w:sz w:val="20"/>
                <w:szCs w:val="20"/>
                <w:lang w:val="en-US"/>
              </w:rPr>
              <w:t xml:space="preserve"> outpatients</w:t>
            </w:r>
          </w:p>
        </w:tc>
        <w:tc>
          <w:tcPr>
            <w:tcW w:w="3969" w:type="dxa"/>
          </w:tcPr>
          <w:p w14:paraId="579F415A" w14:textId="77777777" w:rsidR="00FF4BD9" w:rsidRPr="00EC3E91" w:rsidRDefault="00FF4BD9" w:rsidP="00AB4F00">
            <w:pPr>
              <w:rPr>
                <w:rFonts w:cstheme="minorHAnsi"/>
                <w:sz w:val="20"/>
                <w:szCs w:val="20"/>
                <w:lang w:val="en-US"/>
              </w:rPr>
            </w:pPr>
            <w:r w:rsidRPr="00EC3E91">
              <w:rPr>
                <w:rFonts w:cstheme="minorHAnsi"/>
                <w:sz w:val="20"/>
                <w:szCs w:val="20"/>
                <w:lang w:val="en-US"/>
              </w:rPr>
              <w:t xml:space="preserve">Guideline on Antibiotic Use in Clinical Practice. National Health and Family Planning Commission. </w:t>
            </w:r>
          </w:p>
          <w:p w14:paraId="3B60B63A" w14:textId="77777777" w:rsidR="00FF4BD9" w:rsidRPr="00EC3E91" w:rsidRDefault="00FF4BD9" w:rsidP="00AB4F00">
            <w:pPr>
              <w:rPr>
                <w:rFonts w:cstheme="minorHAnsi"/>
                <w:sz w:val="20"/>
                <w:szCs w:val="20"/>
                <w:lang w:val="en-US"/>
              </w:rPr>
            </w:pPr>
          </w:p>
          <w:p w14:paraId="333C774F" w14:textId="5AA632A6" w:rsidR="00FF4BD9" w:rsidRPr="00EC3E91" w:rsidRDefault="00FF4BD9" w:rsidP="00AB4F00">
            <w:pPr>
              <w:rPr>
                <w:rFonts w:cstheme="minorHAnsi"/>
                <w:sz w:val="20"/>
                <w:szCs w:val="20"/>
                <w:lang w:val="en-US"/>
              </w:rPr>
            </w:pPr>
            <w:r w:rsidRPr="00EC3E91">
              <w:rPr>
                <w:rFonts w:cstheme="minorHAnsi"/>
                <w:sz w:val="20"/>
                <w:szCs w:val="20"/>
                <w:lang w:val="en-US"/>
              </w:rPr>
              <w:t xml:space="preserve">Respiratory tract infections (self-limiting): prescribing antibiotics. National Institute for Health and Care Excellence. </w:t>
            </w:r>
          </w:p>
        </w:tc>
        <w:tc>
          <w:tcPr>
            <w:tcW w:w="2551" w:type="dxa"/>
          </w:tcPr>
          <w:p w14:paraId="31B9D270" w14:textId="3E90990B"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make training dynamic, audit and provide feedback, develop educational materials</w:t>
            </w:r>
          </w:p>
        </w:tc>
      </w:tr>
      <w:tr w:rsidR="00FF4BD9" w:rsidRPr="00E119DD" w14:paraId="7D86745B" w14:textId="77777777" w:rsidTr="00FF4BD9">
        <w:trPr>
          <w:tblHeader/>
        </w:trPr>
        <w:tc>
          <w:tcPr>
            <w:tcW w:w="709" w:type="dxa"/>
          </w:tcPr>
          <w:p w14:paraId="4384CCDA" w14:textId="0E539ADA"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{"citationItems":[{"id":"ITEM-1","itemData":{"abstract":"STUDY OBJECTIVE: The objective of our study is to evaluate the association between Ohio's April 2012 emergency physician guidelines aimed at reducing inappropriate opioid prescribing and the number and type of opioid prescriptions dispensed by emergency physicians. METHODS: We used Ohio's prescription drug monitoring program data from January 1, 2010, to December 31, 2014, and included the 5 most commonly prescribed opioids (hydrocodone, oxycodone, tramadol, codeine, and hydromorphone). The primary outcome was the monthly statewide prescription total of opioids written by emergency physicians in Ohio. We used an interrupted time series analysis to compare pre- and postguideline level and trend in number of opioid prescriptions dispensed by emergency physicians per month, number of prescriptions stratified by 5 commonly prescribed opioids, and number of prescriptions for greater than 3 days' supply of opioids. RESULTS: Beginning in January 2010, the number of prescriptions dispensed by all emergency physicians in Ohio decreased by 0.3% per month (95% confidence interval [CI] -0.49% to -0.15%). The implementation of the guidelines in April 2012 was associated with a 12% reduction (95% CI -17.7% to -6.3%) in the level of statewide total prescriptions per month and an additional decline of 0.9% (95% CI -1.1% to -0.7%) in trend relative to the preguideline trend. The estimated effect of the guidelines on total monthly prescriptions greater than a 3-day supply was an 11.2% reduction in level (95% CI -18.8% to -3.6%) and an additional 0.9% (95% CI -1.3% to -0.5%) decline in trend per month after the guidelines. Guidelines were also associated with a reduction in prescribing for each of the 5 individual opioids, with various effect. CONCLUSION: In Ohio, emergency physician opioid prescribing guidelines were associated with a decrease in the quantity of opioid prescriptions written by emergency physicians. Although introduction of the guidelines occurred in parallel with other opioid-related interventions, our findings suggest an additional effect of the guidelines on prescribing behavior. Similar guidelines may have the potential to reduce opioid prescribing in other geographic areas and for other specialties as well.","author":[{"dropping-particle":"","family":"Weiner","given":"S G","non-dropping-particle":"","parse-names":false,"suffix":""},{"dropping-particle":"","family":"Baker","given":"O","non-dropping-particle":"","parse-names":false,"suffix":""},{"dropping-particle":"","family":"Poon","given":"S J","non-dropping-particle":"","parse-names":false,"suffix":""},{"dropping-particle":"","family":"Rodgers","given":"A F","non-dropping-particle":"","parse-names":false,"suffix":""},{"dropping-particle":"","family":"Garner","given":"C","non-dropping-particle":"","parse-names":false,"suffix":""},{"dropping-particle":"","family":"Nelson","given":"L S","non-dropping-particle":"","parse-names":false,"suffix":""},{"dropping-particle":"","family":"Schuur","given":"J D","non-dropping-particle":"","parse-names":false,"suffix":""}],"container-title":"Annals of Emergency Medicine","id":"ITEM-1","issue":"6","issued":{"date-parts":[["2017"]]},"page":"799-808.e1","title":"The Effect of Opioid Prescribing Guidelines on Prescriptions by Emergency Physicians in Ohio","type":"article-journal","volume":"70"},"uris":["http://www.mendeley.com/documents/?uuid=12862df1-65d5-4f77-ac5f-b0005cc365f6"]}],"mendeley":{"formattedCitation":"(141)","plainTextFormattedCitation":"(141)","previouslyFormattedCitation":"(141)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(141)</w:t>
            </w:r>
            <w:r w:rsidRPr="00EC3E91">
              <w:rPr>
                <w:rFonts w:cstheme="minorHAnsi"/>
                <w:sz w:val="20"/>
                <w:szCs w:val="20"/>
                <w:lang w:val="en-US"/>
              </w:rPr>
              <w:fldChar w:fldCharType="end"/>
            </w:r>
          </w:p>
        </w:tc>
        <w:tc>
          <w:tcPr>
            <w:tcW w:w="992" w:type="dxa"/>
          </w:tcPr>
          <w:p w14:paraId="58B3B15E" w14:textId="0914A115"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00A84BC1" w14:textId="19F54E55"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536ECE1B" w14:textId="56EAD14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5CE5B4FB" w14:textId="04131708"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35CD7F3" w14:textId="10AD0FF9" w:rsidR="00FF4BD9" w:rsidRPr="00EC3E91" w:rsidRDefault="00FF4BD9" w:rsidP="009549DD">
            <w:pPr>
              <w:rPr>
                <w:rFonts w:cstheme="minorHAnsi"/>
                <w:sz w:val="20"/>
                <w:szCs w:val="20"/>
                <w:lang w:val="en-US"/>
              </w:rPr>
            </w:pPr>
            <w:r w:rsidRPr="00EC3E91">
              <w:rPr>
                <w:rFonts w:cstheme="minorHAnsi"/>
                <w:sz w:val="20"/>
                <w:szCs w:val="20"/>
                <w:lang w:val="en-US"/>
              </w:rPr>
              <w:t>Opioids</w:t>
            </w:r>
          </w:p>
        </w:tc>
        <w:tc>
          <w:tcPr>
            <w:tcW w:w="2126" w:type="dxa"/>
          </w:tcPr>
          <w:p w14:paraId="4BD56C27" w14:textId="6D3014CA" w:rsidR="00FF4BD9" w:rsidRPr="00EC3E91" w:rsidRDefault="00FF4BD9" w:rsidP="009549DD">
            <w:pPr>
              <w:rPr>
                <w:rFonts w:cstheme="minorHAnsi"/>
                <w:sz w:val="20"/>
                <w:szCs w:val="20"/>
                <w:lang w:val="en-US"/>
              </w:rPr>
            </w:pPr>
            <w:r w:rsidRPr="00EC3E91">
              <w:rPr>
                <w:rFonts w:cstheme="minorHAnsi"/>
                <w:sz w:val="20"/>
                <w:szCs w:val="20"/>
                <w:lang w:val="en-US"/>
              </w:rPr>
              <w:t>Inappropriate opioid prescribing</w:t>
            </w:r>
          </w:p>
        </w:tc>
        <w:tc>
          <w:tcPr>
            <w:tcW w:w="3969" w:type="dxa"/>
          </w:tcPr>
          <w:p w14:paraId="55A2FD24" w14:textId="45CAB247" w:rsidR="00FF4BD9" w:rsidRPr="00EC3E91" w:rsidRDefault="00FF4BD9" w:rsidP="00AB4F00">
            <w:pPr>
              <w:rPr>
                <w:rFonts w:cstheme="minorHAnsi"/>
                <w:sz w:val="20"/>
                <w:szCs w:val="20"/>
                <w:lang w:val="en-US"/>
              </w:rPr>
            </w:pPr>
            <w:r w:rsidRPr="00EC3E91">
              <w:rPr>
                <w:rFonts w:cstheme="minorHAnsi"/>
                <w:sz w:val="20"/>
                <w:szCs w:val="20"/>
                <w:lang w:val="en-US"/>
              </w:rPr>
              <w:t xml:space="preserve">Ohio guidelines for emergency and acute care facility opioid and other controlled substances (OOCS) prescribing. </w:t>
            </w:r>
          </w:p>
        </w:tc>
        <w:tc>
          <w:tcPr>
            <w:tcW w:w="2551" w:type="dxa"/>
          </w:tcPr>
          <w:p w14:paraId="68D63A46" w14:textId="4F6E276E" w:rsidR="00FF4BD9" w:rsidRPr="00EC3E91" w:rsidRDefault="00FF4BD9" w:rsidP="009549DD">
            <w:pPr>
              <w:rPr>
                <w:rFonts w:cstheme="minorHAnsi"/>
                <w:sz w:val="20"/>
                <w:szCs w:val="20"/>
                <w:lang w:val="en-US"/>
              </w:rPr>
            </w:pPr>
            <w:r w:rsidRPr="00EC3E91">
              <w:rPr>
                <w:rFonts w:cstheme="minorHAnsi"/>
                <w:sz w:val="20"/>
                <w:szCs w:val="20"/>
                <w:lang w:val="en-US"/>
              </w:rPr>
              <w:t xml:space="preserve">Distribute educational materials </w:t>
            </w:r>
          </w:p>
        </w:tc>
      </w:tr>
      <w:tr w:rsidR="00FF4BD9" w:rsidRPr="00CF707F" w14:paraId="1D1237A5" w14:textId="77777777" w:rsidTr="00FF4BD9">
        <w:trPr>
          <w:tblHeader/>
        </w:trPr>
        <w:tc>
          <w:tcPr>
            <w:tcW w:w="709" w:type="dxa"/>
          </w:tcPr>
          <w:p w14:paraId="2A2ABA9A" w14:textId="51FEF505"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{"citationItems":[{"id":"ITEM-1","itemData":{"abstract":"OBJECTIVE For most common infections requiring hospitalization, antibiotic treatment is completed after hospital discharge. Postdischarge therapy is often unnecessarily broad spectrum and prolonged. We developed an intervention to improve antibiotic selection and shorten treatment durations. DESIGN Single center, quasi-experimental retrospective cohort study METHODS Patients prescribed oral antibiotics at hospital discharge before (July 2012-June 2013) and after (October 2014-February 2015) an intervention consisting of (1) institutional guidance for oral step-down antibiotic selection and duration of therapy and (2) pharmacy audit of discharge prescriptions with real-time prescribing recommendations to providers. The primary outcomes measured were total prescribed duration of therapy and use of antibiotics with broad gram-negative activity (ie, fluoroquinolones or amoxicillin-clavulanate). RESULTS Overall, 300 cases from the preintervention period and 200 cases from the intervention period were included. Compared with the preintervention period, the use of antibiotics with broad gram-negative activity decreased during the intervention (51% vs 40%; P=.02), particularly fluoroquinolones (38% vs 25%; P=.002). The total duration of therapy decreased from a median of 10 days (interquartile range [IQR], 7-13 days) to 9 days (IQR, 6-13 days) but did not reach statistical significance (P=.13). However, the duration prescribed at discharge declined from 6 days (IQR, 4-10 days) to 5 days (IQR, 3-7 days) (P=.003). During the intervention, there was a nonsignificant increase in the overall appropriateness of discharge prescriptions from 52% to 66% (P=.15). CONCLUSIONS A multifaceted intervention to optimize antibiotic prescribing at hospital discharge was associated with less frequent use of antibiotics with broad gram-negative activity and shorter postdischarge treatment durations. Infect Control Hosp Epidemiol 2017;38:534-541.","author":[{"dropping-particle":"","family":"Yogo","given":"N","non-dropping-particle":"","parse-names":false,"suffix":""},{"dropping-particle":"","family":"Shihadeh","given":"K","non-dropping-particle":"","parse-names":false,"suffix":""},{"dropping-particle":"","family":"Young","given":"H","non-dropping-particle":"","parse-names":false,"suffix":""},{"dropping-particle":"","family":"Calcaterra","given":"S L","non-dropping-particle":"","parse-names":false,"suffix":""},{"dropping-particle":"","family":"Knepper","given":"B C","non-dropping-particle":"","parse-names":false,"suffix":""},{"dropping-particle":"","family":"Burman","given":"W J","non-dropping-particle":"","parse-names":false,"suffix":""},{"dropping-particle":"","family":"Mehler","given":"P S","non-dropping-particle":"","parse-names":false,"suffix":""},{"dropping-particle":"","family":"Jenkins","given":"T C","non-dropping-particle":"","parse-names":false,"suffix":""}],"container-title":"Infection Control &amp; Hospital Epidemiology","id":"ITEM-1","issue":"5","issued":{"date-parts":[["2017"]]},"page":"534-541","title":"Intervention to Reduce Broad-Spectrum Antibiotics and Treatment Durations Prescribed at the Time of Hospital Discharge: A Novel Stewardship Approach","type":"article-journal","volume":"38"},"uris":["http://www.mendeley.com/documents/?uuid=0d0432a0-3457-47ef-9a92-1fdd88e0419c"]}],"mendeley":{"formattedCitation":"(142)","plainTextFormattedCitation":"(142)","previouslyFormattedCitation":"(142)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(142)</w:t>
            </w:r>
            <w:r w:rsidRPr="00EC3E91">
              <w:rPr>
                <w:rFonts w:cstheme="minorHAnsi"/>
                <w:sz w:val="20"/>
                <w:szCs w:val="20"/>
                <w:lang w:val="en-US"/>
              </w:rPr>
              <w:fldChar w:fldCharType="end"/>
            </w:r>
          </w:p>
        </w:tc>
        <w:tc>
          <w:tcPr>
            <w:tcW w:w="992" w:type="dxa"/>
          </w:tcPr>
          <w:p w14:paraId="44455D05" w14:textId="4D86DC03"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340E4FB3" w14:textId="22B334DC"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2414596D" w14:textId="3FD08367"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3BB76471" w14:textId="7002C37D"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5952596" w14:textId="1B9F61D4"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45CF9980" w14:textId="746909EF"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 post discharge</w:t>
            </w:r>
          </w:p>
        </w:tc>
        <w:tc>
          <w:tcPr>
            <w:tcW w:w="3969" w:type="dxa"/>
          </w:tcPr>
          <w:p w14:paraId="7B6F4178" w14:textId="4A9FE44F" w:rsidR="00FF4BD9" w:rsidRPr="00EC3E91" w:rsidRDefault="00FF4BD9" w:rsidP="00B75DD7">
            <w:pPr>
              <w:rPr>
                <w:rFonts w:cstheme="minorHAnsi"/>
                <w:sz w:val="20"/>
                <w:szCs w:val="20"/>
                <w:lang w:val="en-US"/>
              </w:rPr>
            </w:pPr>
            <w:r w:rsidRPr="00EC3E91">
              <w:rPr>
                <w:rFonts w:cstheme="minorHAnsi"/>
                <w:sz w:val="20"/>
                <w:szCs w:val="20"/>
                <w:lang w:val="en-US"/>
              </w:rPr>
              <w:t>Practice guidelines for the diagnosis and management of skin and soft tissue infections. By the Infectious Diseases Society of America.</w:t>
            </w:r>
          </w:p>
          <w:p w14:paraId="762F8277" w14:textId="77777777" w:rsidR="00FF4BD9" w:rsidRPr="00EC3E91" w:rsidRDefault="00FF4BD9" w:rsidP="00B75DD7">
            <w:pPr>
              <w:rPr>
                <w:rFonts w:cstheme="minorHAnsi"/>
                <w:sz w:val="20"/>
                <w:szCs w:val="20"/>
                <w:lang w:val="en-US"/>
              </w:rPr>
            </w:pPr>
          </w:p>
          <w:p w14:paraId="17AD0266" w14:textId="7908020D" w:rsidR="00FF4BD9" w:rsidRPr="00EC3E91" w:rsidRDefault="00FF4BD9" w:rsidP="00B75DD7">
            <w:pPr>
              <w:rPr>
                <w:rFonts w:cstheme="minorHAnsi"/>
                <w:sz w:val="20"/>
                <w:szCs w:val="20"/>
                <w:lang w:val="en-US"/>
              </w:rPr>
            </w:pPr>
            <w:r w:rsidRPr="00EC3E91">
              <w:rPr>
                <w:rFonts w:cstheme="minorHAnsi"/>
                <w:sz w:val="20"/>
                <w:szCs w:val="20"/>
                <w:lang w:val="en-US"/>
              </w:rPr>
              <w:t>International clinical practice guidelines for the treatment of acute uncomplicated cystitis and pyelonephritis in women. By the Infectious Diseases Society of America and the European Society for Microbiology and Infectious Diseases.</w:t>
            </w:r>
          </w:p>
          <w:p w14:paraId="6341BD92" w14:textId="77777777" w:rsidR="00FF4BD9" w:rsidRPr="00EC3E91" w:rsidRDefault="00FF4BD9" w:rsidP="00B75DD7">
            <w:pPr>
              <w:rPr>
                <w:rFonts w:cstheme="minorHAnsi"/>
                <w:sz w:val="20"/>
                <w:szCs w:val="20"/>
                <w:lang w:val="en-US"/>
              </w:rPr>
            </w:pPr>
          </w:p>
          <w:p w14:paraId="6C1284EB" w14:textId="36D0993B" w:rsidR="00FF4BD9" w:rsidRPr="00EC3E91" w:rsidRDefault="00FF4BD9" w:rsidP="00B75DD7">
            <w:pPr>
              <w:rPr>
                <w:rFonts w:cstheme="minorHAnsi"/>
                <w:sz w:val="20"/>
                <w:szCs w:val="20"/>
                <w:lang w:val="en-US"/>
              </w:rPr>
            </w:pPr>
            <w:r w:rsidRPr="00EC3E91">
              <w:rPr>
                <w:rFonts w:cstheme="minorHAnsi"/>
                <w:sz w:val="20"/>
                <w:szCs w:val="20"/>
                <w:lang w:val="en-US"/>
              </w:rPr>
              <w:t>American College of Gastroenterology guideline on the management of Helicobacter pylori infection.</w:t>
            </w:r>
          </w:p>
          <w:p w14:paraId="1D822761" w14:textId="77777777" w:rsidR="00FF4BD9" w:rsidRPr="00EC3E91" w:rsidRDefault="00FF4BD9" w:rsidP="00B75DD7">
            <w:pPr>
              <w:rPr>
                <w:rFonts w:cstheme="minorHAnsi"/>
                <w:sz w:val="20"/>
                <w:szCs w:val="20"/>
                <w:lang w:val="en-US"/>
              </w:rPr>
            </w:pPr>
          </w:p>
          <w:p w14:paraId="252D7F65" w14:textId="2F31BDE2" w:rsidR="00FF4BD9" w:rsidRPr="00EC3E91" w:rsidRDefault="00FF4BD9" w:rsidP="00B75DD7">
            <w:pPr>
              <w:rPr>
                <w:rFonts w:cstheme="minorHAnsi"/>
                <w:sz w:val="20"/>
                <w:szCs w:val="20"/>
                <w:lang w:val="en-US"/>
              </w:rPr>
            </w:pPr>
            <w:r w:rsidRPr="00EC3E91">
              <w:rPr>
                <w:rFonts w:cstheme="minorHAnsi"/>
                <w:sz w:val="20"/>
                <w:szCs w:val="20"/>
                <w:lang w:val="en-US"/>
              </w:rPr>
              <w:t>Clinical practice guidelines for Clostridium difficile infection in adults.  By the Society for Healthcare Epidemiology of America (SHEA) and the Infectious Diseases Society of America (IDSA).</w:t>
            </w:r>
          </w:p>
          <w:p w14:paraId="5D7D0049" w14:textId="77777777" w:rsidR="00FF4BD9" w:rsidRPr="00EC3E91" w:rsidRDefault="00FF4BD9" w:rsidP="00B75DD7">
            <w:pPr>
              <w:rPr>
                <w:rFonts w:cstheme="minorHAnsi"/>
                <w:sz w:val="20"/>
                <w:szCs w:val="20"/>
                <w:lang w:val="en-US"/>
              </w:rPr>
            </w:pPr>
          </w:p>
          <w:p w14:paraId="1F80CC02" w14:textId="798FF005" w:rsidR="00FF4BD9" w:rsidRPr="00EC3E91" w:rsidRDefault="00FF4BD9" w:rsidP="00B75DD7">
            <w:pPr>
              <w:rPr>
                <w:rFonts w:cstheme="minorHAnsi"/>
                <w:sz w:val="20"/>
                <w:szCs w:val="20"/>
                <w:lang w:val="en-US"/>
              </w:rPr>
            </w:pPr>
            <w:r w:rsidRPr="00EC3E91">
              <w:rPr>
                <w:rFonts w:cstheme="minorHAnsi"/>
                <w:sz w:val="20"/>
                <w:szCs w:val="20"/>
                <w:lang w:val="en-US"/>
              </w:rPr>
              <w:t>Diagnosis, prevention, and treatment of catheter-associated urinary tract infection in adults: International clinical practice guidelines from the Infectious Diseases Society of America.</w:t>
            </w:r>
          </w:p>
          <w:p w14:paraId="2B1F3A40" w14:textId="77777777" w:rsidR="00FF4BD9" w:rsidRPr="00EC3E91" w:rsidRDefault="00FF4BD9" w:rsidP="00B75DD7">
            <w:pPr>
              <w:rPr>
                <w:rFonts w:cstheme="minorHAnsi"/>
                <w:sz w:val="20"/>
                <w:szCs w:val="20"/>
                <w:lang w:val="en-US"/>
              </w:rPr>
            </w:pPr>
          </w:p>
          <w:p w14:paraId="680A74B3" w14:textId="31440C5E" w:rsidR="00FF4BD9" w:rsidRPr="00EC3E91" w:rsidRDefault="00FF4BD9" w:rsidP="00B75DD7">
            <w:pPr>
              <w:rPr>
                <w:rFonts w:cstheme="minorHAnsi"/>
                <w:sz w:val="20"/>
                <w:szCs w:val="20"/>
                <w:lang w:val="en-US"/>
              </w:rPr>
            </w:pPr>
            <w:r w:rsidRPr="00EC3E91">
              <w:rPr>
                <w:rFonts w:cstheme="minorHAnsi"/>
                <w:sz w:val="20"/>
                <w:szCs w:val="20"/>
                <w:lang w:val="en-US"/>
              </w:rPr>
              <w:t xml:space="preserve">Infectious </w:t>
            </w:r>
            <w:r w:rsidR="00F61A08" w:rsidRPr="00EC3E91">
              <w:rPr>
                <w:rFonts w:cstheme="minorHAnsi"/>
                <w:sz w:val="20"/>
                <w:szCs w:val="20"/>
                <w:lang w:val="en-US"/>
              </w:rPr>
              <w:t xml:space="preserve">Diseases </w:t>
            </w:r>
            <w:r w:rsidR="00D15AE9" w:rsidRPr="00EC3E91">
              <w:rPr>
                <w:rFonts w:cstheme="minorHAnsi"/>
                <w:sz w:val="20"/>
                <w:szCs w:val="20"/>
                <w:lang w:val="en-US"/>
              </w:rPr>
              <w:t xml:space="preserve">Society </w:t>
            </w:r>
            <w:r w:rsidR="00594F8A" w:rsidRPr="00EC3E91">
              <w:rPr>
                <w:rFonts w:cstheme="minorHAnsi"/>
                <w:sz w:val="20"/>
                <w:szCs w:val="20"/>
                <w:lang w:val="en-US"/>
              </w:rPr>
              <w:t>of America</w:t>
            </w:r>
            <w:r w:rsidRPr="00EC3E91">
              <w:rPr>
                <w:rFonts w:cstheme="minorHAnsi"/>
                <w:sz w:val="20"/>
                <w:szCs w:val="20"/>
                <w:lang w:val="en-US"/>
              </w:rPr>
              <w:t>/</w:t>
            </w:r>
            <w:r w:rsidR="001026C6" w:rsidRPr="00EC3E91">
              <w:rPr>
                <w:rFonts w:cstheme="minorHAnsi"/>
                <w:sz w:val="20"/>
                <w:szCs w:val="20"/>
                <w:lang w:val="en-US"/>
              </w:rPr>
              <w:t xml:space="preserve">American </w:t>
            </w:r>
            <w:r w:rsidR="009C6C1F" w:rsidRPr="00EC3E91">
              <w:rPr>
                <w:rFonts w:cstheme="minorHAnsi"/>
                <w:sz w:val="20"/>
                <w:szCs w:val="20"/>
                <w:lang w:val="en-US"/>
              </w:rPr>
              <w:t>Thoracic Society</w:t>
            </w:r>
            <w:r w:rsidRPr="00EC3E91">
              <w:rPr>
                <w:rFonts w:cstheme="minorHAnsi"/>
                <w:sz w:val="20"/>
                <w:szCs w:val="20"/>
                <w:lang w:val="en-US"/>
              </w:rPr>
              <w:t xml:space="preserve"> </w:t>
            </w:r>
            <w:r w:rsidR="009C6C1F" w:rsidRPr="00EC3E91">
              <w:rPr>
                <w:rFonts w:cstheme="minorHAnsi"/>
                <w:sz w:val="20"/>
                <w:szCs w:val="20"/>
                <w:lang w:val="en-US"/>
              </w:rPr>
              <w:t xml:space="preserve">consensus guidelines on </w:t>
            </w:r>
            <w:r w:rsidR="007452BB" w:rsidRPr="00EC3E91">
              <w:rPr>
                <w:rFonts w:cstheme="minorHAnsi"/>
                <w:sz w:val="20"/>
                <w:szCs w:val="20"/>
                <w:lang w:val="en-US"/>
              </w:rPr>
              <w:t>the management of community</w:t>
            </w:r>
            <w:r w:rsidRPr="00EC3E91">
              <w:rPr>
                <w:rFonts w:cstheme="minorHAnsi"/>
                <w:sz w:val="20"/>
                <w:szCs w:val="20"/>
                <w:lang w:val="en-US"/>
              </w:rPr>
              <w:t>-</w:t>
            </w:r>
            <w:r w:rsidR="007452BB" w:rsidRPr="00EC3E91">
              <w:rPr>
                <w:rFonts w:cstheme="minorHAnsi"/>
                <w:sz w:val="20"/>
                <w:szCs w:val="20"/>
                <w:lang w:val="en-US"/>
              </w:rPr>
              <w:t>acquired pneumonia in adults</w:t>
            </w:r>
            <w:r w:rsidRPr="00EC3E91">
              <w:rPr>
                <w:rFonts w:cstheme="minorHAnsi"/>
                <w:sz w:val="20"/>
                <w:szCs w:val="20"/>
                <w:lang w:val="en-US"/>
              </w:rPr>
              <w:t>.</w:t>
            </w:r>
          </w:p>
          <w:p w14:paraId="742BF3DB" w14:textId="77777777" w:rsidR="00FF4BD9" w:rsidRPr="00EC3E91" w:rsidRDefault="00FF4BD9" w:rsidP="00B75DD7">
            <w:pPr>
              <w:rPr>
                <w:rFonts w:cstheme="minorHAnsi"/>
                <w:sz w:val="20"/>
                <w:szCs w:val="20"/>
                <w:lang w:val="en-US"/>
              </w:rPr>
            </w:pPr>
          </w:p>
          <w:p w14:paraId="48408B35" w14:textId="2295C7E0" w:rsidR="00FF4BD9" w:rsidRPr="00EC3E91" w:rsidRDefault="00FF4BD9" w:rsidP="00AB4F00">
            <w:pPr>
              <w:rPr>
                <w:rFonts w:cstheme="minorHAnsi"/>
                <w:sz w:val="20"/>
                <w:szCs w:val="20"/>
                <w:lang w:val="en-US"/>
              </w:rPr>
            </w:pPr>
            <w:r w:rsidRPr="00EC3E91">
              <w:rPr>
                <w:rFonts w:cstheme="minorHAnsi"/>
                <w:sz w:val="20"/>
                <w:szCs w:val="20"/>
                <w:lang w:val="en-US"/>
              </w:rPr>
              <w:t xml:space="preserve">Guidelines for the management of adults with hospital-acquired, ventilator-associated, and healthcare-associated pneumonia. By the </w:t>
            </w:r>
            <w:r w:rsidRPr="00EC3E91">
              <w:rPr>
                <w:rFonts w:cstheme="minorHAnsi"/>
                <w:sz w:val="20"/>
                <w:szCs w:val="20"/>
                <w:lang w:val="en-US"/>
              </w:rPr>
              <w:lastRenderedPageBreak/>
              <w:t xml:space="preserve">American Thoracic Society and Infectious Diseases Society of America. </w:t>
            </w:r>
          </w:p>
        </w:tc>
        <w:tc>
          <w:tcPr>
            <w:tcW w:w="2551" w:type="dxa"/>
          </w:tcPr>
          <w:p w14:paraId="6F294392" w14:textId="14F27085" w:rsidR="00FF4BD9" w:rsidRPr="00EC3E91" w:rsidRDefault="00FF4BD9" w:rsidP="009549DD">
            <w:pPr>
              <w:rPr>
                <w:rFonts w:cstheme="minorHAnsi"/>
                <w:sz w:val="20"/>
                <w:szCs w:val="20"/>
                <w:lang w:val="en-US"/>
              </w:rPr>
            </w:pPr>
            <w:r w:rsidRPr="00EC3E91">
              <w:rPr>
                <w:rFonts w:cstheme="minorHAnsi"/>
                <w:sz w:val="20"/>
                <w:szCs w:val="20"/>
                <w:lang w:val="en-US"/>
              </w:rPr>
              <w:lastRenderedPageBreak/>
              <w:t>distribute educational materials, audit and provide feedback, develop and organize quality monitoring systems, stage implementation scale up</w:t>
            </w:r>
          </w:p>
        </w:tc>
      </w:tr>
      <w:tr w:rsidR="00FF4BD9" w:rsidRPr="00E119DD" w14:paraId="3C311210" w14:textId="77777777" w:rsidTr="00FF4BD9">
        <w:trPr>
          <w:tblHeader/>
        </w:trPr>
        <w:tc>
          <w:tcPr>
            <w:tcW w:w="709" w:type="dxa"/>
          </w:tcPr>
          <w:p w14:paraId="5EED754E" w14:textId="376DABEB"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{"citationItems":[{"id":"ITEM-1","itemData":{"abstract":"Chest X-rays (CXR), antibiotics and inhaled/nebulized therapy are overused in bronchiolitis, despite evidence-based guidelines suggesting supportive management only. This study investigates the effect of the implementation of the NICE bronchiolitis guideline in a secondary paediatric unit in England. We present a quality improvement project with a completed audit cycle (winter 2014–2015 and 2015–2016) pre- and post-implementation of the NICE bronchiolitis guideline. The educational intervention included sessions for raising awareness of appropriate and inappropriate management of bronchiolitis for both clinicians and nursing staff. As a result, the number of chest radiographs reduced fivefold (from 20 to 4% of patients, absolute reduction 16%), antibiotics reduced more than threefold (from 22 to 6% of patients, absolute reduction 16%) and inhaled/nebulised treatment up to twofold (from 30 to 16%, absolute reduction 14%). Overall NICE guideline compliance rose from 28 to 63%. Conclusion: Implementation of the NICE bronchiolitis guideline supported by a simple educational intervention can effectively reduce the number of inappropriate chest radiographs and antibiotic prescribing in bronchiolitis, and enhance compliance with the NICE guideline.What is Known:• Bronchiolitis management in paediatric units in the UK is variable, with poor evidence for existing guidance. Best available evidence was compiled into the NICE guideline, aiming to standardize care.• Some evidence exists for the effectiveness of quality improvement approaches to improve the management of bronchiolitis.What is New:• NICE guidance can be effectively applied to a department using simple educational tools.• Effective NICE implementation reduces the rates of unnecessary chest radiograph and antibiotic administration for patients admitted with bronchiolitis in District General Hospitals.","author":[{"dropping-particle":"","family":"Breakell","given":"R","non-dropping-particle":"","parse-names":false,"suffix":""},{"dropping-particle":"","family":"Thorndyke","given":"B","non-dropping-particle":"","parse-names":false,"suffix":""},{"dropping-particle":"","family":"Clennett","given":"J","non-dropping-particle":"","parse-names":false,"suffix":""},{"dropping-particle":"","family":"Harkensee","given":"C","non-dropping-particle":"","parse-names":false,"suffix":""}],"container-title":"European Journal of Pediatrics","id":"ITEM-1","issue":"1","issued":{"date-parts":[["2018"]]},"page":"47-51","title":"Reducing unnecessary chest X-rays, antibiotics and bronchodilators through implementation of the NICE bronchiolitis guideline","type":"article-journal","volume":"177"},"uris":["http://www.mendeley.com/documents/?uuid=ceb5ba8d-e800-4b54-8947-f6c644855f9f"]}],"mendeley":{"formattedCitation":"(143)","plainTextFormattedCitation":"(143)","previouslyFormattedCitation":"(143)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(143)</w:t>
            </w:r>
            <w:r w:rsidRPr="00EC3E91">
              <w:rPr>
                <w:rFonts w:cstheme="minorHAnsi"/>
                <w:sz w:val="20"/>
                <w:szCs w:val="20"/>
                <w:lang w:val="en-US"/>
              </w:rPr>
              <w:fldChar w:fldCharType="end"/>
            </w:r>
          </w:p>
        </w:tc>
        <w:tc>
          <w:tcPr>
            <w:tcW w:w="992" w:type="dxa"/>
          </w:tcPr>
          <w:p w14:paraId="56BA0C4C" w14:textId="18332BAB" w:rsidR="00FF4BD9" w:rsidRPr="00EC3E91" w:rsidRDefault="00FF4BD9" w:rsidP="009549DD">
            <w:pPr>
              <w:rPr>
                <w:rFonts w:cstheme="minorHAnsi"/>
                <w:sz w:val="20"/>
                <w:szCs w:val="20"/>
                <w:lang w:val="en-US"/>
              </w:rPr>
            </w:pPr>
            <w:r w:rsidRPr="00EC3E91">
              <w:rPr>
                <w:rFonts w:cstheme="minorHAnsi"/>
                <w:sz w:val="20"/>
                <w:szCs w:val="20"/>
                <w:lang w:val="en-US"/>
              </w:rPr>
              <w:t xml:space="preserve">England </w:t>
            </w:r>
          </w:p>
        </w:tc>
        <w:tc>
          <w:tcPr>
            <w:tcW w:w="993" w:type="dxa"/>
          </w:tcPr>
          <w:p w14:paraId="3A76AD15" w14:textId="59B4AC59"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75DAC090" w14:textId="71D8D14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641A4E85" w14:textId="5EDEE1E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6043280B" w14:textId="64124EC6"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0B642523" w14:textId="0C981122"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use of antibiotics, CXR, and </w:t>
            </w:r>
            <w:r w:rsidR="000A5526" w:rsidRPr="00EC3E91">
              <w:rPr>
                <w:rFonts w:cstheme="minorHAnsi"/>
                <w:sz w:val="20"/>
                <w:szCs w:val="20"/>
                <w:lang w:val="en-US"/>
              </w:rPr>
              <w:t>nebulized</w:t>
            </w:r>
            <w:r w:rsidRPr="00EC3E91">
              <w:rPr>
                <w:rFonts w:cstheme="minorHAnsi"/>
                <w:sz w:val="20"/>
                <w:szCs w:val="20"/>
                <w:lang w:val="en-US"/>
              </w:rPr>
              <w:t xml:space="preserve"> or inhaled treatments in bronchiolitis.</w:t>
            </w:r>
          </w:p>
        </w:tc>
        <w:tc>
          <w:tcPr>
            <w:tcW w:w="3969" w:type="dxa"/>
          </w:tcPr>
          <w:p w14:paraId="1BF15BDA" w14:textId="17D0C791" w:rsidR="00FF4BD9" w:rsidRPr="00EC3E91" w:rsidRDefault="00FF4BD9" w:rsidP="00AB4F00">
            <w:pPr>
              <w:rPr>
                <w:rFonts w:cstheme="minorHAnsi"/>
                <w:sz w:val="20"/>
                <w:szCs w:val="20"/>
                <w:lang w:val="en-US"/>
              </w:rPr>
            </w:pPr>
            <w:r w:rsidRPr="00EC3E91">
              <w:rPr>
                <w:rFonts w:cstheme="minorHAnsi"/>
                <w:sz w:val="20"/>
                <w:szCs w:val="20"/>
                <w:lang w:val="en-US"/>
              </w:rPr>
              <w:t xml:space="preserve">Bronchiolitis: diagnosis and management of bronchiolitis in children, clinical guideline by the National Institute for Clinical Excellence. </w:t>
            </w:r>
          </w:p>
        </w:tc>
        <w:tc>
          <w:tcPr>
            <w:tcW w:w="2551" w:type="dxa"/>
          </w:tcPr>
          <w:p w14:paraId="155D6D26" w14:textId="20E63F92" w:rsidR="00FF4BD9" w:rsidRPr="00EC3E91" w:rsidRDefault="00FF4BD9" w:rsidP="009549DD">
            <w:pPr>
              <w:rPr>
                <w:rFonts w:cstheme="minorHAnsi"/>
                <w:sz w:val="20"/>
                <w:szCs w:val="20"/>
                <w:lang w:val="en-US"/>
              </w:rPr>
            </w:pPr>
            <w:r w:rsidRPr="00EC3E91">
              <w:rPr>
                <w:rFonts w:cstheme="minorHAnsi"/>
                <w:sz w:val="20"/>
                <w:szCs w:val="20"/>
                <w:lang w:val="en-US"/>
              </w:rPr>
              <w:t>conduct educational meeting, remind clinicians</w:t>
            </w:r>
          </w:p>
        </w:tc>
      </w:tr>
      <w:tr w:rsidR="00FF4BD9" w:rsidRPr="00E119DD" w14:paraId="7B124698" w14:textId="77777777" w:rsidTr="00FF4BD9">
        <w:trPr>
          <w:tblHeader/>
        </w:trPr>
        <w:tc>
          <w:tcPr>
            <w:tcW w:w="709" w:type="dxa"/>
          </w:tcPr>
          <w:p w14:paraId="418EBFB0" w14:textId="74BA60CA"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Behavioral economics interventions have been shown to effectively reduce the rates of inappropriate antibiotic prescriptions for acute respiratory infections (ARIs). OBJECTIVE: To determine the cost-effectiveness of three behavioral economic interventions designed to reduce inappropriate antibiotic prescriptions for ARIs. DESIGN: Thirty-year Markov model from the US societal perspective with inputs derived from the literature and CDC surveillance data. SUBJECTS: Forty-five-year-old adults with signs and symptoms of ARI presenting to a healthcare provider. INTERVENTIONS: (1) Provider education on guidelines for the appropriate treatment of ARIs; (2) Suggested Alternatives, which utilizes computerized clinical decision support to suggest non-antibiotic treatment choices in lieu of antibiotics; (3) Accountable Justification, which mandates free-text justification into the patient's electronic health record when antibiotics are prescribed; and (4) Peer Comparison, which sends a periodic email to prescribers about his/her rate of inappropriate antibiotic prescribing relative to clinician colleagues. MAIN MEASURES: Discounted costs, quality-adjusted life years (QALYs), and incremental cost-effectiveness ratios. KEY RESULTS: Each intervention has lower costs but higher QALYs compared to provider education. Total costs for each intervention were $178.21, $173.22, $172.82, and $172.52, and total QALYs were 14.68, 14.73, 14.74, and 14.74 for the control, Suggested Alternatives, Accountable Justification, and Peer Comparison groups, respectively. Results were most sensitive to the quality-of-life of the uninfected state, and the likelihood and costs for antibiotic-associated adverse events. CONCLUSIONS: Behavioral economics interventions can be cost-effective strategies for reducing inappropriate antibiotic prescriptions by reducing healthcare resource utilization.","author":[{"dropping-particle":"","family":"Gong","given":"C L","non-dropping-particle":"","parse-names":false,"suffix":""},{"dropping-particle":"","family":"Zangwill","given":"K M","non-dropping-particle":"","parse-names":false,"suffix":""},{"dropping-particle":"","family":"Hay","given":"J W","non-dropping-particle":"","parse-names":false,"suffix":""},{"dropping-particle":"","family":"Meeker","given":"D","non-dropping-particle":"","parse-names":false,"suffix":""},{"dropping-particle":"","family":"Doctor","given":"J N","non-dropping-particle":"","parse-names":false,"suffix":""}],"container-title":"Journal of General Internal Medicine","id":"ITEM-1","issued":{"date-parts":[["2019"]]},"page":"8","title":"Behavioral Economics Interventions to Improve Outpatient Antibiotic Prescribing for Acute Respiratory Infections: a Cost-Effectiveness Analysis","type":"article-journal","volume":"8"},"uris":["http://www.mendeley.com/documents/?uuid=ef464868-1f50-4458-a1cf-1df1fb9a128e"]}],"mendeley":{"formattedCitation":"(144)","plainTextFormattedCitation":"(144)","previouslyFormattedCitation":"(144)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(144)</w:t>
            </w:r>
            <w:r w:rsidRPr="00EC3E91">
              <w:rPr>
                <w:rFonts w:cstheme="minorHAnsi"/>
                <w:sz w:val="20"/>
                <w:szCs w:val="20"/>
                <w:lang w:val="en-US"/>
              </w:rPr>
              <w:fldChar w:fldCharType="end"/>
            </w:r>
          </w:p>
        </w:tc>
        <w:tc>
          <w:tcPr>
            <w:tcW w:w="992" w:type="dxa"/>
          </w:tcPr>
          <w:p w14:paraId="1C5C8E8B" w14:textId="474A0EED"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25D5288A" w14:textId="060F9D05"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7D80F8E4" w14:textId="4BBD0561"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57D93CF6" w14:textId="06F97D12" w:rsidR="00FF4BD9" w:rsidRPr="00EC3E91" w:rsidRDefault="00FF4BD9" w:rsidP="009549DD">
            <w:pPr>
              <w:rPr>
                <w:rFonts w:cstheme="minorHAnsi"/>
                <w:sz w:val="20"/>
                <w:szCs w:val="20"/>
                <w:lang w:val="en-US"/>
              </w:rPr>
            </w:pPr>
            <w:r w:rsidRPr="00EC3E91">
              <w:rPr>
                <w:rFonts w:cstheme="minorHAnsi"/>
                <w:sz w:val="20"/>
                <w:szCs w:val="20"/>
                <w:lang w:val="en-US"/>
              </w:rPr>
              <w:t>Cost effectiveness</w:t>
            </w:r>
          </w:p>
        </w:tc>
        <w:tc>
          <w:tcPr>
            <w:tcW w:w="1134" w:type="dxa"/>
          </w:tcPr>
          <w:p w14:paraId="44048634" w14:textId="10CCC172"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7C9D54C0" w14:textId="0EC57F2D"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6339120E" w14:textId="60FA53E4" w:rsidR="00FF4BD9" w:rsidRPr="00EC3E91" w:rsidRDefault="00FF4BD9" w:rsidP="00B75DD7">
            <w:pPr>
              <w:rPr>
                <w:rFonts w:cstheme="minorHAnsi"/>
                <w:sz w:val="20"/>
                <w:szCs w:val="20"/>
                <w:lang w:val="en-US"/>
              </w:rPr>
            </w:pPr>
            <w:r w:rsidRPr="00EC3E91">
              <w:rPr>
                <w:rFonts w:cstheme="minorHAnsi"/>
                <w:sz w:val="20"/>
                <w:szCs w:val="20"/>
                <w:lang w:val="en-US"/>
              </w:rPr>
              <w:t>Practice guidelines for the diagnosis and management of group A streptococcal pharyngitis. Infectious Diseases Society of America.</w:t>
            </w:r>
          </w:p>
          <w:p w14:paraId="1F7698F3" w14:textId="77777777" w:rsidR="00FF4BD9" w:rsidRPr="00EC3E91" w:rsidRDefault="00FF4BD9" w:rsidP="00B75DD7">
            <w:pPr>
              <w:rPr>
                <w:rFonts w:cstheme="minorHAnsi"/>
                <w:sz w:val="20"/>
                <w:szCs w:val="20"/>
                <w:lang w:val="en-US"/>
              </w:rPr>
            </w:pPr>
          </w:p>
          <w:p w14:paraId="23D67167" w14:textId="1E340DEC" w:rsidR="00FF4BD9" w:rsidRPr="00EC3E91" w:rsidRDefault="00FF4BD9" w:rsidP="00B75DD7">
            <w:pPr>
              <w:rPr>
                <w:rFonts w:cstheme="minorHAnsi"/>
                <w:sz w:val="20"/>
                <w:szCs w:val="20"/>
                <w:lang w:val="en-US"/>
              </w:rPr>
            </w:pPr>
            <w:r w:rsidRPr="00EC3E91">
              <w:rPr>
                <w:rFonts w:cstheme="minorHAnsi"/>
                <w:sz w:val="20"/>
                <w:szCs w:val="20"/>
                <w:lang w:val="en-US"/>
              </w:rPr>
              <w:t xml:space="preserve">Clinical practice guideline for the diagnosis and management of group A streptococcal pharyngitis. By the Infectious Diseases Society of America. </w:t>
            </w:r>
          </w:p>
          <w:p w14:paraId="74C94F10" w14:textId="77777777" w:rsidR="00FF4BD9" w:rsidRPr="00EC3E91" w:rsidRDefault="00FF4BD9" w:rsidP="00B75DD7">
            <w:pPr>
              <w:rPr>
                <w:rFonts w:cstheme="minorHAnsi"/>
                <w:sz w:val="20"/>
                <w:szCs w:val="20"/>
                <w:lang w:val="en-US"/>
              </w:rPr>
            </w:pPr>
          </w:p>
          <w:p w14:paraId="69EB0010" w14:textId="5CCB5EBA" w:rsidR="00FF4BD9" w:rsidRPr="00EC3E91" w:rsidRDefault="00FF4BD9" w:rsidP="00B75DD7">
            <w:pPr>
              <w:rPr>
                <w:rFonts w:cstheme="minorHAnsi"/>
                <w:sz w:val="20"/>
                <w:szCs w:val="20"/>
                <w:lang w:val="en-US"/>
              </w:rPr>
            </w:pPr>
            <w:r w:rsidRPr="00EC3E91">
              <w:rPr>
                <w:rFonts w:cstheme="minorHAnsi"/>
                <w:sz w:val="20"/>
                <w:szCs w:val="20"/>
                <w:lang w:val="en-US"/>
              </w:rPr>
              <w:t>Diagnosis and management of cough executive summary: ACCP evidence-based clinical practice guidelines.</w:t>
            </w:r>
          </w:p>
          <w:p w14:paraId="776E4B56" w14:textId="77777777" w:rsidR="00FF4BD9" w:rsidRPr="00EC3E91" w:rsidRDefault="00FF4BD9" w:rsidP="00B75DD7">
            <w:pPr>
              <w:rPr>
                <w:rFonts w:cstheme="minorHAnsi"/>
                <w:sz w:val="20"/>
                <w:szCs w:val="20"/>
                <w:lang w:val="en-US"/>
              </w:rPr>
            </w:pPr>
          </w:p>
          <w:p w14:paraId="3AC93E1D" w14:textId="208650B5" w:rsidR="00FF4BD9" w:rsidRPr="00EC3E91" w:rsidRDefault="00FF4BD9" w:rsidP="00E45AA3">
            <w:pPr>
              <w:rPr>
                <w:rFonts w:cstheme="minorHAnsi"/>
                <w:sz w:val="20"/>
                <w:szCs w:val="20"/>
                <w:lang w:val="en-US"/>
              </w:rPr>
            </w:pPr>
            <w:r w:rsidRPr="00EC3E91">
              <w:rPr>
                <w:rFonts w:cstheme="minorHAnsi"/>
                <w:sz w:val="20"/>
                <w:szCs w:val="20"/>
                <w:lang w:val="en-US"/>
              </w:rPr>
              <w:t xml:space="preserve">Infectious Diseases Society of America/American Thoracic Society consensus guidelines on the management of community-acquired pneumonia in adults. </w:t>
            </w:r>
          </w:p>
        </w:tc>
        <w:tc>
          <w:tcPr>
            <w:tcW w:w="2551" w:type="dxa"/>
          </w:tcPr>
          <w:p w14:paraId="5560BBD2" w14:textId="208E7B87" w:rsidR="00FF4BD9" w:rsidRPr="00EC3E91" w:rsidRDefault="00FF4BD9" w:rsidP="009549DD">
            <w:pPr>
              <w:rPr>
                <w:rFonts w:cstheme="minorHAnsi"/>
                <w:sz w:val="20"/>
                <w:szCs w:val="20"/>
                <w:lang w:val="en-US"/>
              </w:rPr>
            </w:pPr>
            <w:r w:rsidRPr="00EC3E91">
              <w:rPr>
                <w:rFonts w:cstheme="minorHAnsi"/>
                <w:sz w:val="20"/>
                <w:szCs w:val="20"/>
                <w:lang w:val="en-US"/>
              </w:rPr>
              <w:t>change physical structure and equipment, [ACCOUNTABILITY TOOL], audit and provide feedback,</w:t>
            </w:r>
          </w:p>
        </w:tc>
      </w:tr>
      <w:tr w:rsidR="00FF4BD9" w:rsidRPr="00EC3E91" w14:paraId="71FC980C" w14:textId="77777777" w:rsidTr="00FF4BD9">
        <w:trPr>
          <w:tblHeader/>
        </w:trPr>
        <w:tc>
          <w:tcPr>
            <w:tcW w:w="709" w:type="dxa"/>
          </w:tcPr>
          <w:p w14:paraId="072B3739" w14:textId="20BA412C"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Early magnetic resonance imaging (MRI) for acute low back pain (LBP) has been associated with increased costs, greater health care utilization, and longer disability duration in workers' compensation claimants. Objectives: To assess the impact of a state policy implemented in June 2010 that required prospective utilization review (UR) for early MRI among workers' compensation claimants with LBP. Research Design: Interrupted time series. Subjects: In total, 76,119 Washington State workers' compensation claimants with LBP between 2006 and 2014. Measures: Proportion of workers receiving imaging per month (MRI, computed tomography, radiographs) and lumbosacral injections and surgery; mean total health care costs per worker; mean duration of disability per worker. Measures were aggregated monthly and attributed to injury month. Results: After accounting for secular trends, decreases in early MRI [level change:-5.27 (95% confidence interval,-4.22 to-6.31); trend change:-0.06 (-0.01 to-0.12)], any MRI [-4.34 (-3.01 to-5.67);-0.10 (-0.04 to-0.17)], and injection [trend change:-0.12 (-0.06 to-0.18)] utilization were associated with the policy. Radiograph utilization increased in parallel [level change: 2.46 (1.24-3.67)]. In addition, the policy resulted in significant decreasing changes in mean costs per claim, mean disability duration, and proportion of workers who received disability benefits. The policy had no effect on computed tomography or surgery utilization. Conclusions: The UR policy had discernable effects on health care utilization, costs, and disability. Integrating evidence-based guidelines with UR can improve quality of care and patient outcomes, while reducing use of low-value health services.","author":[{"dropping-particle":"","family":"Graves","given":"J M","non-dropping-particle":"","parse-names":false,"suffix":""},{"dropping-particle":"","family":"Fulton-Kehoe","given":"D","non-dropping-particle":"","parse-names":false,"suffix":""},{"dropping-particle":"","family":"Jarvik","given":"J G","non-dropping-particle":"","parse-names":false,"suffix":""},{"dropping-particle":"","family":"Franklin","given":"G M","non-dropping-particle":"","parse-names":false,"suffix":""}],"container-title":"Medical Care","id":"ITEM-1","issue":"6","issued":{"date-parts":[["2018"]]},"page":"520-528","title":"Impact of an Advanced Imaging Utilization Review Program on Downstream Health Care Utilization and Costs for Low Back Pain","type":"article-journal","volume":"56"},"uris":["http://www.mendeley.com/documents/?uuid=0081e9bd-beea-4754-9c66-2e0faba537ac"]}],"mendeley":{"formattedCitation":"(145)","plainTextFormattedCitation":"(145)","previouslyFormattedCitation":"(145)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(145)</w:t>
            </w:r>
            <w:r w:rsidRPr="00EC3E91">
              <w:rPr>
                <w:rFonts w:cstheme="minorHAnsi"/>
                <w:sz w:val="20"/>
                <w:szCs w:val="20"/>
                <w:lang w:val="en-US"/>
              </w:rPr>
              <w:fldChar w:fldCharType="end"/>
            </w:r>
          </w:p>
        </w:tc>
        <w:tc>
          <w:tcPr>
            <w:tcW w:w="992" w:type="dxa"/>
          </w:tcPr>
          <w:p w14:paraId="1FF23EE1" w14:textId="05D490C4"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2B6307EB" w14:textId="05BED770" w:rsidR="00FF4BD9" w:rsidRPr="00EC3E91" w:rsidRDefault="00FF4BD9" w:rsidP="009549DD">
            <w:pPr>
              <w:rPr>
                <w:rFonts w:cstheme="minorHAnsi"/>
                <w:sz w:val="20"/>
                <w:szCs w:val="20"/>
                <w:lang w:val="en-US"/>
              </w:rPr>
            </w:pPr>
            <w:r w:rsidRPr="00EC3E91">
              <w:rPr>
                <w:rFonts w:cstheme="minorHAnsi"/>
                <w:sz w:val="20"/>
                <w:szCs w:val="20"/>
                <w:lang w:val="en-US"/>
              </w:rPr>
              <w:t>Multiple settings</w:t>
            </w:r>
          </w:p>
        </w:tc>
        <w:tc>
          <w:tcPr>
            <w:tcW w:w="850" w:type="dxa"/>
          </w:tcPr>
          <w:p w14:paraId="11339578" w14:textId="3737BC82"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02F9E0EF" w14:textId="02C1847E"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736D71D" w14:textId="1760A64E" w:rsidR="00FF4BD9" w:rsidRPr="00EC3E91" w:rsidRDefault="00226199" w:rsidP="009549DD">
            <w:pPr>
              <w:rPr>
                <w:rFonts w:cstheme="minorHAnsi"/>
                <w:sz w:val="20"/>
                <w:szCs w:val="20"/>
                <w:lang w:val="en-US"/>
              </w:rPr>
            </w:pPr>
            <w:r>
              <w:rPr>
                <w:rFonts w:cstheme="minorHAnsi"/>
                <w:sz w:val="20"/>
                <w:szCs w:val="20"/>
                <w:lang w:val="en-US"/>
              </w:rPr>
              <w:t>Imaging</w:t>
            </w:r>
          </w:p>
        </w:tc>
        <w:tc>
          <w:tcPr>
            <w:tcW w:w="2126" w:type="dxa"/>
          </w:tcPr>
          <w:p w14:paraId="65A04651" w14:textId="77777777" w:rsidR="00FF4BD9" w:rsidRPr="00EC3E91" w:rsidRDefault="00FF4BD9" w:rsidP="00B75DD7">
            <w:pPr>
              <w:rPr>
                <w:rFonts w:cstheme="minorHAnsi"/>
                <w:sz w:val="20"/>
                <w:szCs w:val="20"/>
                <w:lang w:val="en-US"/>
              </w:rPr>
            </w:pPr>
            <w:r w:rsidRPr="00EC3E91">
              <w:rPr>
                <w:rFonts w:cstheme="minorHAnsi"/>
                <w:sz w:val="20"/>
                <w:szCs w:val="20"/>
                <w:lang w:val="en-US"/>
              </w:rPr>
              <w:t>Early magnetic resonance imaging (MRI) for acute</w:t>
            </w:r>
          </w:p>
          <w:p w14:paraId="1DE74669" w14:textId="50B67F45" w:rsidR="00FF4BD9" w:rsidRPr="00EC3E91" w:rsidRDefault="00FF4BD9" w:rsidP="00B75DD7">
            <w:pPr>
              <w:rPr>
                <w:rFonts w:cstheme="minorHAnsi"/>
                <w:sz w:val="20"/>
                <w:szCs w:val="20"/>
                <w:lang w:val="en-US"/>
              </w:rPr>
            </w:pPr>
            <w:r w:rsidRPr="00EC3E91">
              <w:rPr>
                <w:rFonts w:cstheme="minorHAnsi"/>
                <w:sz w:val="20"/>
                <w:szCs w:val="20"/>
                <w:lang w:val="en-US"/>
              </w:rPr>
              <w:t>low back pain (LBP)</w:t>
            </w:r>
          </w:p>
        </w:tc>
        <w:tc>
          <w:tcPr>
            <w:tcW w:w="3969" w:type="dxa"/>
          </w:tcPr>
          <w:p w14:paraId="017F77B7" w14:textId="77777777" w:rsidR="00FF4BD9" w:rsidRPr="00EC3E91" w:rsidRDefault="00FF4BD9" w:rsidP="00392B4D">
            <w:pPr>
              <w:rPr>
                <w:rFonts w:cstheme="minorHAnsi"/>
                <w:sz w:val="20"/>
                <w:szCs w:val="20"/>
                <w:lang w:val="en-US"/>
              </w:rPr>
            </w:pPr>
            <w:r w:rsidRPr="00EC3E91">
              <w:rPr>
                <w:rFonts w:cstheme="minorHAnsi"/>
                <w:sz w:val="20"/>
                <w:szCs w:val="20"/>
                <w:lang w:val="en-US"/>
              </w:rPr>
              <w:t>Washington State Engrossed Substitute House Bill 2105: diagnostic</w:t>
            </w:r>
          </w:p>
          <w:p w14:paraId="7B1DF666" w14:textId="5BD2FF7A" w:rsidR="00FF4BD9" w:rsidRPr="00EC3E91" w:rsidRDefault="00FF4BD9" w:rsidP="00E45AA3">
            <w:pPr>
              <w:rPr>
                <w:rFonts w:cstheme="minorHAnsi"/>
                <w:sz w:val="20"/>
                <w:szCs w:val="20"/>
                <w:lang w:val="en-US"/>
              </w:rPr>
            </w:pPr>
            <w:r w:rsidRPr="00EC3E91">
              <w:rPr>
                <w:rFonts w:cstheme="minorHAnsi"/>
                <w:sz w:val="20"/>
                <w:szCs w:val="20"/>
                <w:lang w:val="en-US"/>
              </w:rPr>
              <w:t xml:space="preserve">imaging workgroup. </w:t>
            </w:r>
          </w:p>
          <w:p w14:paraId="47829E19" w14:textId="77777777" w:rsidR="00FF4BD9" w:rsidRPr="00EC3E91" w:rsidRDefault="00FF4BD9" w:rsidP="00392B4D">
            <w:pPr>
              <w:rPr>
                <w:rFonts w:cstheme="minorHAnsi"/>
                <w:sz w:val="20"/>
                <w:szCs w:val="20"/>
                <w:lang w:val="en-US"/>
              </w:rPr>
            </w:pPr>
          </w:p>
          <w:p w14:paraId="78F7F879" w14:textId="489FCF59" w:rsidR="00FF4BD9" w:rsidRPr="00EC3E91" w:rsidRDefault="00FF4BD9" w:rsidP="00392B4D">
            <w:pPr>
              <w:rPr>
                <w:rFonts w:cstheme="minorHAnsi"/>
                <w:sz w:val="20"/>
                <w:szCs w:val="20"/>
                <w:lang w:val="en-US"/>
              </w:rPr>
            </w:pPr>
            <w:r w:rsidRPr="00EC3E91">
              <w:rPr>
                <w:rFonts w:cstheme="minorHAnsi"/>
                <w:sz w:val="20"/>
                <w:szCs w:val="20"/>
                <w:lang w:val="en-US"/>
              </w:rPr>
              <w:t>ACR Appropriateness</w:t>
            </w:r>
          </w:p>
          <w:p w14:paraId="4C84F094" w14:textId="40A9B8FA" w:rsidR="00FF4BD9" w:rsidRPr="00EC3E91" w:rsidRDefault="00FF4BD9" w:rsidP="00392B4D">
            <w:pPr>
              <w:rPr>
                <w:rFonts w:cstheme="minorHAnsi"/>
                <w:sz w:val="20"/>
                <w:szCs w:val="20"/>
                <w:lang w:val="en-US"/>
              </w:rPr>
            </w:pPr>
            <w:r w:rsidRPr="00EC3E91">
              <w:rPr>
                <w:rFonts w:cstheme="minorHAnsi"/>
                <w:sz w:val="20"/>
                <w:szCs w:val="20"/>
                <w:lang w:val="en-US"/>
              </w:rPr>
              <w:t xml:space="preserve">Criteria on low back pain. </w:t>
            </w:r>
          </w:p>
        </w:tc>
        <w:tc>
          <w:tcPr>
            <w:tcW w:w="2551" w:type="dxa"/>
          </w:tcPr>
          <w:p w14:paraId="230E2DB7" w14:textId="4637F636" w:rsidR="00FF4BD9" w:rsidRPr="00EC3E91" w:rsidRDefault="00FF4BD9" w:rsidP="009549DD">
            <w:pPr>
              <w:rPr>
                <w:rFonts w:cstheme="minorHAnsi"/>
                <w:sz w:val="20"/>
                <w:szCs w:val="20"/>
                <w:lang w:val="en-US"/>
              </w:rPr>
            </w:pPr>
            <w:r w:rsidRPr="00EC3E91">
              <w:rPr>
                <w:rFonts w:cstheme="minorHAnsi"/>
                <w:sz w:val="20"/>
                <w:szCs w:val="20"/>
                <w:lang w:val="en-US"/>
              </w:rPr>
              <w:t>Use other payment schemes</w:t>
            </w:r>
          </w:p>
        </w:tc>
      </w:tr>
      <w:tr w:rsidR="00FF4BD9" w:rsidRPr="00E119DD" w14:paraId="20F1523B" w14:textId="77777777" w:rsidTr="00FF4BD9">
        <w:trPr>
          <w:tblHeader/>
        </w:trPr>
        <w:tc>
          <w:tcPr>
            <w:tcW w:w="709" w:type="dxa"/>
          </w:tcPr>
          <w:p w14:paraId="02620B02" w14:textId="186D14D1"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{"citationItems":[{"id":"ITEM-1","itemData":{"abstract":"Purpose: Symptomatic urinary tract infection is a complication of office based cystourethroscopy. Studies are mixed regarding the efficacy of antibiotic prophylaxis to prevent urinary tract infections. Our aim was to develop and evaluate an evidence-based protocol that reduces unnecessary antibiotic use while avoiding an increase in urinary tract infections. Materials and Methods: We created a clinic antibiogram based on all urology office visits performed during a 2-year period. Bacterial resistance rates, institutional risk related data and clinical guidelines were applied to create a protocol for antibiotic administration before cystourethroscopy. We then analyzed 1,245 consecutive patients without a renal transplant who underwent outpatient cystourethroscopy, including 610 after protocol initiation. Urinary tract infection rates and antibiotic use were analyzed for an association with the protocol change using the Fisher exact test. Results: Cultures had an overall 20% rate of resistance to fluoroquinolones, representing 40% of the cultures that grew Escherichia coli. Before the protocol change 602 of 635 patients (94.8%) received a preprocedural antibiotic compared to 426 of 610 (69.9%) after protocol initiation (p &lt;0.01). A total of 19 patients (3.0%) had a symptomatic urinary tract infection prior to the protocol change while 16 (2.6%) had a urinary tract infection after the change (p = 0.69). Regarding resistance, fluoroquinolone resistant organisms grew in the cultures of 12 of 19 patients (63.2%) with a urinary tract infection before the protocol change compared to 5 of 16 (31.3%) with a urinary tract infection after the change. Recent antibiotic administration, hospitalization and chronic catheterization were associated with urinary tract infection in the entire cohort (all p ≤0.01). Conclusions: A local antibiogram with infection related risk data effectively risk stratifies patients before cystourethroscopy, decreasing the use of antibiotics without increasing the rate of symptomatic urinary tract infection.","author":[{"dropping-particle":"","family":"Gregg","given":"J R","non-dropping-particle":"","parse-names":false,"suffix":""},{"dropping-particle":"","family":"Bhalla","given":"R G","non-dropping-particle":"","parse-names":false,"suffix":""},{"dropping-particle":"","family":"Cook","given":"J P","non-dropping-particle":"","parse-names":false,"suffix":""},{"dropping-particle":"","family":"Kang","given":"C","non-dropping-particle":"","parse-names":false,"suffix":""},{"dropping-particle":"","family":"Dmochowski","given":"R","non-dropping-particle":"","parse-names":false,"suffix":""},{"dropping-particle":"","family":"Talbot","given":"T R","non-dropping-particle":"","parse-names":false,"suffix":""},{"dropping-particle":"","family":"Barocas","given":"D A","non-dropping-particle":"","parse-names":false,"suffix":""}],"container-title":"Journal of Urology","id":"ITEM-1","issue":"4","issued":{"date-parts":[["2018"]]},"page":"1004-1010","title":"An Evidence-Based Protocol for Antibiotic Use Prior to Cystoscopy Decreases Antibiotic Use without Impacting Post-Procedural Symptomatic Urinary Tract Infection Rates","type":"article-journal","volume":"199"},"uris":["http://www.mendeley.com/documents/?uuid=01d1c673-d4bf-473b-8120-d2936e4e7bba"]}],"mendeley":{"formattedCitation":"(146)","plainTextFormattedCitation":"(146)","previouslyFormattedCitation":"(146)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(146)</w:t>
            </w:r>
            <w:r w:rsidRPr="00EC3E91">
              <w:rPr>
                <w:rFonts w:cstheme="minorHAnsi"/>
                <w:sz w:val="20"/>
                <w:szCs w:val="20"/>
                <w:lang w:val="en-US"/>
              </w:rPr>
              <w:fldChar w:fldCharType="end"/>
            </w:r>
          </w:p>
        </w:tc>
        <w:tc>
          <w:tcPr>
            <w:tcW w:w="992" w:type="dxa"/>
          </w:tcPr>
          <w:p w14:paraId="064D0EF1" w14:textId="3E159FB1"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5542E468" w14:textId="07FFB646"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024144BD" w14:textId="1B4268B0"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CF6BE7C" w14:textId="016EED3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0F65AE3" w14:textId="69AECAF6"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46099E04" w14:textId="36EC7D6A"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w:t>
            </w:r>
          </w:p>
        </w:tc>
        <w:tc>
          <w:tcPr>
            <w:tcW w:w="3969" w:type="dxa"/>
          </w:tcPr>
          <w:p w14:paraId="1F3E2451" w14:textId="0B26BA42" w:rsidR="00FF4BD9" w:rsidRPr="00EC3E91" w:rsidRDefault="00FF4BD9" w:rsidP="00392B4D">
            <w:pPr>
              <w:rPr>
                <w:rFonts w:cstheme="minorHAnsi"/>
                <w:sz w:val="20"/>
                <w:szCs w:val="20"/>
                <w:lang w:val="en-US"/>
              </w:rPr>
            </w:pPr>
            <w:r w:rsidRPr="00EC3E91">
              <w:rPr>
                <w:rFonts w:cstheme="minorHAnsi"/>
                <w:sz w:val="20"/>
                <w:szCs w:val="20"/>
                <w:lang w:val="en-US"/>
              </w:rPr>
              <w:t>Best practice policy statement on urologic surgery antimicrobial prophylaxis.</w:t>
            </w:r>
          </w:p>
          <w:p w14:paraId="2E03ECDA" w14:textId="77777777" w:rsidR="00FF4BD9" w:rsidRPr="00EC3E91" w:rsidRDefault="00FF4BD9" w:rsidP="00392B4D">
            <w:pPr>
              <w:rPr>
                <w:rFonts w:cstheme="minorHAnsi"/>
                <w:sz w:val="20"/>
                <w:szCs w:val="20"/>
                <w:lang w:val="en-US"/>
              </w:rPr>
            </w:pPr>
          </w:p>
          <w:p w14:paraId="79FFDA57" w14:textId="6D413E54" w:rsidR="00FF4BD9" w:rsidRPr="00EC3E91" w:rsidRDefault="00FF4BD9" w:rsidP="00E45AA3">
            <w:pPr>
              <w:rPr>
                <w:rFonts w:cstheme="minorHAnsi"/>
                <w:sz w:val="20"/>
                <w:szCs w:val="20"/>
                <w:lang w:val="en-US"/>
              </w:rPr>
            </w:pPr>
            <w:r w:rsidRPr="00EC3E91">
              <w:rPr>
                <w:rFonts w:cstheme="minorHAnsi"/>
                <w:sz w:val="20"/>
                <w:szCs w:val="20"/>
                <w:lang w:val="en-US"/>
              </w:rPr>
              <w:t>Clinical practice guidelines for antimicrobial prophylaxis in surgery. From the American Journal of Health Systems Pharmacology.</w:t>
            </w:r>
          </w:p>
        </w:tc>
        <w:tc>
          <w:tcPr>
            <w:tcW w:w="2551" w:type="dxa"/>
          </w:tcPr>
          <w:p w14:paraId="6768221B" w14:textId="772F2CD1" w:rsidR="00FF4BD9" w:rsidRPr="00EC3E91" w:rsidRDefault="00FF4BD9" w:rsidP="009549DD">
            <w:pPr>
              <w:rPr>
                <w:rFonts w:cstheme="minorHAnsi"/>
                <w:sz w:val="20"/>
                <w:szCs w:val="20"/>
                <w:lang w:val="en-US"/>
              </w:rPr>
            </w:pPr>
            <w:r w:rsidRPr="00EC3E91">
              <w:rPr>
                <w:rFonts w:cstheme="minorHAnsi"/>
                <w:sz w:val="20"/>
                <w:szCs w:val="20"/>
                <w:lang w:val="en-US"/>
              </w:rPr>
              <w:t>distribute educational materials, make training dynamic, use advisory boards and workgroups</w:t>
            </w:r>
          </w:p>
        </w:tc>
      </w:tr>
      <w:tr w:rsidR="00FF4BD9" w:rsidRPr="00E119DD" w14:paraId="4D4F3172" w14:textId="77777777" w:rsidTr="00FF4BD9">
        <w:trPr>
          <w:tblHeader/>
        </w:trPr>
        <w:tc>
          <w:tcPr>
            <w:tcW w:w="709" w:type="dxa"/>
          </w:tcPr>
          <w:p w14:paraId="64EC74E7" w14:textId="7408DF58"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Antibiotics are overprescribed for non-severe acute infections in children in primary care. AIM: To explore two different interventions that may reduce inappropriate antibiotic prescribing for non-severe acute infections. DESIGN AND SETTING: A cluster randomised, factorial controlled trial in primary care, in Flanders, Belgium. METHOD: Family physicians (FPs) enrolled children with non-severe acute infections into this study. The participants were allocated to one of four intervention groups according to whether the FPs performed: (1) a point-of-care C-reactive protein test (POC CRP); (2) a brief intervention to elicit parental concern combined with safety net advice (BISNA); (3) both POC CRP and BISNA; or (4) usual care (UC). Guidance on the interpretation of CRP was not provided. The main outcome was the immediate antibiotic prescribing rate. A mixed logistic regression was performed to analyse the data. RESULTS: In this study 2227 non-severe acute infections in children were registered by 131 FPs. In comparison with UC, POC CRP did not influence antibiotic prescribing, (adjusted odds ratio [AOR] 1.01, 95% confidence interval [CI] = 0.57 to 1.79). BISNA increased antibiotic prescribing (AOR 2.04, 95% CI = 1.19 to 3.50). In combination with POC CRP, this increase disappeared. CONCLUSION: Systematic POC CRP testing without guidance is not an effective strategy to reduce antibiotic prescribing for non-severe acute infections in children in primary care. Eliciting parental concern and providing a safety net without POC CRP testing conversely increased antibiotic prescribing. FPs possibly need more training in handling parental concern without inappropriately prescribing antibiotics.","author":[{"dropping-particle":"","family":"Lemiengre","given":"M B","non-dropping-particle":"","parse-names":false,"suffix":""},{"dropping-particle":"","family":"Verbakel","given":"J Y","non-dropping-particle":"","parse-names":false,"suffix":""},{"dropping-particle":"","family":"Colman","given":"R","non-dropping-particle":"","parse-names":false,"suffix":""},{"dropping-particle":"","family":"Burghgraeve","given":"T","non-dropping-particle":"De","parse-names":false,"suffix":""},{"dropping-particle":"","family":"Buntinx","given":"F","non-dropping-particle":"","parse-names":false,"suffix":""},{"dropping-particle":"","family":"Aertgeerts","given":"B","non-dropping-particle":"","parse-names":false,"suffix":""},{"dropping-particle":"","family":"Baets","given":"F","non-dropping-particle":"De","parse-names":false,"suffix":""},{"dropping-particle":"","family":"Sutter","given":"A","non-dropping-particle":"De","parse-names":false,"suffix":""}],"container-title":"British Journal of General Practice","id":"ITEM-1","issue":"668","issued":{"date-parts":[["2018"]]},"page":"e204-e210","title":"Reducing inappropriate antibiotic prescribing for children in primary care: a cluster randomised controlled trial of two interventions","type":"article-journal","volume":"68"},"uris":["http://www.mendeley.com/documents/?uuid=3e21227c-c27b-4b4f-b6dd-ce4d52a05df0"]}],"mendeley":{"formattedCitation":"(147)","plainTextFormattedCitation":"(147)","previouslyFormattedCitation":"(147)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(147)</w:t>
            </w:r>
            <w:r w:rsidRPr="00EC3E91">
              <w:rPr>
                <w:rFonts w:cstheme="minorHAnsi"/>
                <w:sz w:val="20"/>
                <w:szCs w:val="20"/>
                <w:lang w:val="en-US"/>
              </w:rPr>
              <w:fldChar w:fldCharType="end"/>
            </w:r>
          </w:p>
        </w:tc>
        <w:tc>
          <w:tcPr>
            <w:tcW w:w="992" w:type="dxa"/>
          </w:tcPr>
          <w:p w14:paraId="5E4DA918" w14:textId="442498CC" w:rsidR="00FF4BD9" w:rsidRPr="00EC3E91" w:rsidRDefault="00FF4BD9" w:rsidP="009549DD">
            <w:pPr>
              <w:rPr>
                <w:rFonts w:cstheme="minorHAnsi"/>
                <w:sz w:val="20"/>
                <w:szCs w:val="20"/>
                <w:lang w:val="en-US"/>
              </w:rPr>
            </w:pPr>
            <w:r w:rsidRPr="00EC3E91">
              <w:rPr>
                <w:rFonts w:cstheme="minorHAnsi"/>
                <w:sz w:val="20"/>
                <w:szCs w:val="20"/>
                <w:lang w:val="en-US"/>
              </w:rPr>
              <w:t>Belgium</w:t>
            </w:r>
          </w:p>
        </w:tc>
        <w:tc>
          <w:tcPr>
            <w:tcW w:w="993" w:type="dxa"/>
          </w:tcPr>
          <w:p w14:paraId="645CDC20" w14:textId="549E10B5"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5975B2BB" w14:textId="6D303DBE" w:rsidR="00FF4BD9" w:rsidRPr="00EC3E91" w:rsidRDefault="00FF4BD9" w:rsidP="009549DD">
            <w:pPr>
              <w:rPr>
                <w:rFonts w:cstheme="minorHAnsi"/>
                <w:sz w:val="20"/>
                <w:szCs w:val="20"/>
                <w:lang w:val="en-US"/>
              </w:rPr>
            </w:pPr>
            <w:r w:rsidRPr="00EC3E91">
              <w:rPr>
                <w:rFonts w:cstheme="minorHAnsi"/>
                <w:sz w:val="20"/>
                <w:szCs w:val="20"/>
                <w:lang w:val="en-US"/>
              </w:rPr>
              <w:t xml:space="preserve">Quant A cluster </w:t>
            </w:r>
            <w:r w:rsidR="000A5526" w:rsidRPr="00EC3E91">
              <w:rPr>
                <w:rFonts w:cstheme="minorHAnsi"/>
                <w:sz w:val="20"/>
                <w:szCs w:val="20"/>
                <w:lang w:val="en-US"/>
              </w:rPr>
              <w:t>randomized</w:t>
            </w:r>
            <w:r w:rsidRPr="00EC3E91">
              <w:rPr>
                <w:rFonts w:cstheme="minorHAnsi"/>
                <w:sz w:val="20"/>
                <w:szCs w:val="20"/>
                <w:lang w:val="en-US"/>
              </w:rPr>
              <w:t>, factorial controlled trial (CRCT)</w:t>
            </w:r>
          </w:p>
        </w:tc>
        <w:tc>
          <w:tcPr>
            <w:tcW w:w="851" w:type="dxa"/>
          </w:tcPr>
          <w:p w14:paraId="13569A7C" w14:textId="6E91A033"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C7145C2" w14:textId="26013767"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208E24F4" w14:textId="1D650223"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 for non-severe acute infections.</w:t>
            </w:r>
          </w:p>
        </w:tc>
        <w:tc>
          <w:tcPr>
            <w:tcW w:w="3969" w:type="dxa"/>
          </w:tcPr>
          <w:p w14:paraId="082C79B0" w14:textId="58DC6DEE" w:rsidR="00FF4BD9" w:rsidRPr="00EC3E91" w:rsidRDefault="00FF4BD9" w:rsidP="00E45AA3">
            <w:pPr>
              <w:rPr>
                <w:rFonts w:cstheme="minorHAnsi"/>
                <w:sz w:val="20"/>
                <w:szCs w:val="20"/>
                <w:lang w:val="en-US"/>
              </w:rPr>
            </w:pPr>
            <w:r w:rsidRPr="00EC3E91">
              <w:rPr>
                <w:rFonts w:cstheme="minorHAnsi"/>
                <w:sz w:val="20"/>
                <w:szCs w:val="20"/>
                <w:lang w:val="en-US"/>
              </w:rPr>
              <w:t xml:space="preserve">Belgian guide to anti-infectious treatment in the ambulatory care. </w:t>
            </w:r>
          </w:p>
        </w:tc>
        <w:tc>
          <w:tcPr>
            <w:tcW w:w="2551" w:type="dxa"/>
          </w:tcPr>
          <w:p w14:paraId="2D450EA2" w14:textId="566CF80B" w:rsidR="00FF4BD9" w:rsidRPr="00EC3E91" w:rsidRDefault="00FF4BD9" w:rsidP="00B75E2F">
            <w:pPr>
              <w:rPr>
                <w:rFonts w:cstheme="minorHAnsi"/>
                <w:sz w:val="20"/>
                <w:szCs w:val="20"/>
                <w:lang w:val="en-US"/>
              </w:rPr>
            </w:pPr>
            <w:r w:rsidRPr="00EC3E91">
              <w:rPr>
                <w:rFonts w:cstheme="minorHAnsi"/>
                <w:sz w:val="20"/>
                <w:szCs w:val="20"/>
                <w:lang w:val="en-US"/>
              </w:rPr>
              <w:t>facilitating relay of clinical data, assess and redesign workflow, develop educational materials</w:t>
            </w:r>
          </w:p>
        </w:tc>
      </w:tr>
      <w:tr w:rsidR="00FF4BD9" w:rsidRPr="00E119DD" w14:paraId="56281300" w14:textId="77777777" w:rsidTr="00FF4BD9">
        <w:trPr>
          <w:tblHeader/>
        </w:trPr>
        <w:tc>
          <w:tcPr>
            <w:tcW w:w="709" w:type="dxa"/>
          </w:tcPr>
          <w:p w14:paraId="7228BF06" w14:textId="04B63FFE"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Inappropriate antibiotic prescription and consequent antibacterial resistance is a major threat to healthcare. Objectives. To evaluate the efficacy of a multifaceted intervention in reducing early career general practitioners' (GPs') antibiotic prescribing for upper respiratory tract infections (URTIs) and acute bronchitis/bronchiolitis. Methods. A pragmatic non-randomized trial employing a non-equivalent control group design nested within an existing cohort study of GP registrars' (trainees') clinical practice. The intervention included access to online modules (covering the rationale of current clinical guidelines recommending non-prescription of antibiotics for URTI and bronchitis/bronchiolitis, and communication skills in management of acute bronchitis) followed by a face-to-face educational session. The intervention was delivered to registrars (and their supervisors) in two of Australia's seventeen regional GP training providers (RTPs). Three other RTPs were the control group. Outcomes were proportion of registrars' URTI consultations and bronchitis/bronchiolitis consultations prescribed antibiotics. Intention-to-treat analyses employed logistic regression within a Generalised Estimating Equation framework, adjusted for relevant independent variables. The predictors of interest were time; treatment group; and an interaction term for time-by-treatment group. The P value associated with an interaction term determined statistically significant differences in antibiotic prescribing. Results. Analyses include data of 217 intervention RTPs' and 311 control RTPs' registrars. There was no significant reduction in antibiotic prescribing for URTIs. For bronchitis/bronchiolitis, a significant reduction (interaction P value = 0.024) remained true for analysis adjusted for independent variables (P value = 0.040). The adjusted absolute reduction in prescribing was 15.8% (95% CI: 4.2%-27.5%). Conclusions. A multifaceted intervention reduced antibiotic prescribing for bronchitis/bronchiolitis but not URTIs.","author":[{"dropping-particle":"","family":"Magin","given":"P","non-dropping-particle":"","parse-names":false,"suffix":""},{"dropping-particle":"","family":"Tapley","given":"A","non-dropping-particle":"","parse-names":false,"suffix":""},{"dropping-particle":"","family":"Morgan","given":"S","non-dropping-particle":"","parse-names":false,"suffix":""},{"dropping-particle":"","family":"Davis","given":"J S","non-dropping-particle":"","parse-names":false,"suffix":""},{"dropping-particle":"","family":"McElduff","given":"P","non-dropping-particle":"","parse-names":false,"suffix":""},{"dropping-particle":"","family":"Yardley","given":"L","non-dropping-particle":"","parse-names":false,"suffix":""},{"dropping-particle":"","family":"Henderson","given":"K","non-dropping-particle":"","parse-names":false,"suffix":""},{"dropping-particle":"","family":"Dallas","given":"A","non-dropping-particle":"","parse-names":false,"suffix":""},{"dropping-particle":"","family":"McArthur","given":"L","non-dropping-particle":"","parse-names":false,"suffix":""},{"dropping-particle":"","family":"Mulquiney","given":"K","non-dropping-particle":"","parse-names":false,"suffix":""},{"dropping-particle":"","family":"Davey","given":"A","non-dropping-particle":"","parse-names":false,"suffix":""},{"dropping-particle":"","family":"Little","given":"P","non-dropping-particle":"","parse-names":false,"suffix":""},{"dropping-particle":"","family":"Spike","given":"N","non-dropping-particle":"","parse-names":false,"suffix":""},{"dropping-particle":"","family":"Driel","given":"M L","non-dropping-particle":"van","parse-names":false,"suffix":""}],"container-title":"Family Practice","id":"ITEM-1","issue":"1","issued":{"date-parts":[["2018"]]},"page":"53-60","title":"Reducing early career general practitioners' antibiotic prescribing for respiratory tract infections: A pragmatic prospective non-randomised controlled trial","type":"article-journal","volume":"35"},"uris":["http://www.mendeley.com/documents/?uuid=79f3ae30-6951-493f-aef4-ed4e4b9c59e9"]}],"mendeley":{"formattedCitation":"(148)","plainTextFormattedCitation":"(148)","previouslyFormattedCitation":"(148)"},"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(148)</w:t>
            </w:r>
            <w:r w:rsidRPr="00EC3E91">
              <w:rPr>
                <w:rFonts w:cstheme="minorHAnsi"/>
                <w:sz w:val="20"/>
                <w:szCs w:val="20"/>
                <w:lang w:val="en-US"/>
              </w:rPr>
              <w:fldChar w:fldCharType="end"/>
            </w:r>
          </w:p>
        </w:tc>
        <w:tc>
          <w:tcPr>
            <w:tcW w:w="992" w:type="dxa"/>
          </w:tcPr>
          <w:p w14:paraId="20353681" w14:textId="0A081B6B" w:rsidR="00FF4BD9" w:rsidRPr="00EC3E91" w:rsidRDefault="00FF4BD9" w:rsidP="009549DD">
            <w:pPr>
              <w:rPr>
                <w:rFonts w:cstheme="minorHAnsi"/>
                <w:sz w:val="20"/>
                <w:szCs w:val="20"/>
                <w:lang w:val="en-US"/>
              </w:rPr>
            </w:pPr>
            <w:r w:rsidRPr="00EC3E91">
              <w:rPr>
                <w:rFonts w:cstheme="minorHAnsi"/>
                <w:sz w:val="20"/>
                <w:szCs w:val="20"/>
                <w:lang w:val="en-US"/>
              </w:rPr>
              <w:t xml:space="preserve">Australia </w:t>
            </w:r>
          </w:p>
        </w:tc>
        <w:tc>
          <w:tcPr>
            <w:tcW w:w="993" w:type="dxa"/>
          </w:tcPr>
          <w:p w14:paraId="3478A6F1" w14:textId="23BB4DE9"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13A9283F" w14:textId="43F948E8"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5B79B14E" w14:textId="77B2782A"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6693F4EB" w14:textId="15A7EC3A"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5527D7AD" w14:textId="3D546521"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 for upper respiratory tract infections (URTIs) and acute bronchitis/bronchiolitis</w:t>
            </w:r>
          </w:p>
        </w:tc>
        <w:tc>
          <w:tcPr>
            <w:tcW w:w="3969" w:type="dxa"/>
          </w:tcPr>
          <w:p w14:paraId="7489EECC" w14:textId="1B72367A" w:rsidR="00FF4BD9" w:rsidRPr="00EC3E91" w:rsidRDefault="00FF4BD9" w:rsidP="00E45AA3">
            <w:pPr>
              <w:rPr>
                <w:rFonts w:cstheme="minorHAnsi"/>
                <w:sz w:val="20"/>
                <w:szCs w:val="20"/>
                <w:lang w:val="en-US"/>
              </w:rPr>
            </w:pPr>
            <w:r w:rsidRPr="00EC3E91">
              <w:rPr>
                <w:rFonts w:cstheme="minorHAnsi"/>
                <w:sz w:val="20"/>
                <w:szCs w:val="20"/>
                <w:lang w:val="en-US"/>
              </w:rPr>
              <w:t xml:space="preserve">Antibiotic Expert Groups. Therapeutic Guidelines: Antibiotic. </w:t>
            </w:r>
          </w:p>
        </w:tc>
        <w:tc>
          <w:tcPr>
            <w:tcW w:w="2551" w:type="dxa"/>
          </w:tcPr>
          <w:p w14:paraId="6A9AF7FA" w14:textId="54A6ED5F" w:rsidR="00FF4BD9" w:rsidRPr="00EC3E91" w:rsidRDefault="00FF4BD9" w:rsidP="009549DD">
            <w:pPr>
              <w:rPr>
                <w:rFonts w:cstheme="minorHAnsi"/>
                <w:sz w:val="20"/>
                <w:szCs w:val="20"/>
                <w:lang w:val="en-US"/>
              </w:rPr>
            </w:pPr>
            <w:r w:rsidRPr="00EC3E91">
              <w:rPr>
                <w:rFonts w:cstheme="minorHAnsi"/>
                <w:sz w:val="20"/>
                <w:szCs w:val="20"/>
                <w:lang w:val="en-US"/>
              </w:rPr>
              <w:t>Make training dynamic, tailor strategies, stage implementation scale up</w:t>
            </w:r>
          </w:p>
        </w:tc>
      </w:tr>
      <w:tr w:rsidR="00FF4BD9" w:rsidRPr="00E119DD" w14:paraId="4FAE6489" w14:textId="77777777" w:rsidTr="00FF4BD9">
        <w:trPr>
          <w:tblHeader/>
        </w:trPr>
        <w:tc>
          <w:tcPr>
            <w:tcW w:w="709" w:type="dxa"/>
          </w:tcPr>
          <w:p w14:paraId="5A6DD764" w14:textId="6003ED1F"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There is a difference between evidence-based guidelines for geriatric patients and clinical practice of physicians. Prescribing potentially inappropriate medications (PIMs) can be attributed to the fact that many physicians are not aware of PIMs usage. Aim: The aim of this study was to assess the effectiveness of a combined intervention program comprising an educational and clinical pharmacist intervention to reduce the incidence of PIMs among hospitalized geriatric patients. Methods: This was a prospective pre-test versus post-test design study. The screening tool of older persons’ prescriptions, 2nd version, and 2015 American Geriatric Society Beers’ criteria were used to assess the appropriateness of medications prescribed for geriatric inpatients. The study was carried out in the medical wards of the Department of Medicine at King Abdulaziz Medical City in Riyadh, Saudi Arabia. Results: Four hundred geriatric patients were enrolled in the study: 200 in a pre-intervention group (control) and 200 in the intervention group. After the combined intervention, the incidence rate of PIMs decreased significantly from 61% to 29.5% (p,0.001). Out of 317 recommendations given by the clinical pharmacist, the physicians accepted a total of 196 (61.83%) recommendations. The most common PIMs to avoid regardless of diagnosis of geriatric patients before interventions were first-generation antihistamines (46%), sliding scale insulin (18.5%), antipsychotics (6.5%), benzodiazepines (9.5%), and antiarrhythmic drugs (15%). Conclusion: Using a combined intervention program that comprises an educational intervention of updated evidence-based guidelines and clinical pharmacist intervention would add a significant value to improve prescribing patterns in hospitalized geriatric patients.","author":[{"dropping-particle":"","family":"Najjar","given":"M F","non-dropping-particle":"","parse-names":false,"suffix":""},{"dropping-particle":"","family":"Sulaiman","given":"S A S","non-dropping-particle":"","parse-names":false,"suffix":""},{"dropping-particle":"","family":"Jeraisy","given":"M","non-dropping-particle":"Al","parse-names":false,"suffix":""},{"dropping-particle":"","family":"Balubaid","given":"H","non-dropping-particle":"","parse-names":false,"suffix":""}],"container-title":"Therapeutics and Clinical Risk Management","id":"ITEM-1","issued":{"date-parts":[["2018"]]},"page":"557-564","title":"The impact of a combined intervention program: An educational and clinical pharmacist’s intervention to improve prescribing pattern in hospitalized geriatric patients at King Abdulaziz Medical City in Riyadh, Saudi Arabia","type":"article-journal","volume":"14"},"uris":["http://www.mendeley.com/documents/?uuid=cb0e7150-ceb3-4a01-9e2c-c79ae7afc862"]}],"mendeley":{"formattedCitation":"(149)","plainTextFormattedCitation":"(149)","previouslyFormattedCitation":"(149)"},"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(149)</w:t>
            </w:r>
            <w:r w:rsidRPr="00EC3E91">
              <w:rPr>
                <w:rFonts w:cstheme="minorHAnsi"/>
                <w:sz w:val="20"/>
                <w:szCs w:val="20"/>
                <w:lang w:val="en-US"/>
              </w:rPr>
              <w:fldChar w:fldCharType="end"/>
            </w:r>
          </w:p>
        </w:tc>
        <w:tc>
          <w:tcPr>
            <w:tcW w:w="992" w:type="dxa"/>
          </w:tcPr>
          <w:p w14:paraId="42ED02DA" w14:textId="69E90B78" w:rsidR="00FF4BD9" w:rsidRPr="00EC3E91" w:rsidRDefault="00FF4BD9" w:rsidP="009549DD">
            <w:pPr>
              <w:rPr>
                <w:rFonts w:cstheme="minorHAnsi"/>
                <w:sz w:val="20"/>
                <w:szCs w:val="20"/>
                <w:lang w:val="en-US"/>
              </w:rPr>
            </w:pPr>
            <w:r w:rsidRPr="00EC3E91">
              <w:rPr>
                <w:rFonts w:cstheme="minorHAnsi"/>
                <w:sz w:val="20"/>
                <w:szCs w:val="20"/>
                <w:lang w:val="en-US"/>
              </w:rPr>
              <w:t xml:space="preserve">Saudi Arabia </w:t>
            </w:r>
          </w:p>
        </w:tc>
        <w:tc>
          <w:tcPr>
            <w:tcW w:w="993" w:type="dxa"/>
          </w:tcPr>
          <w:p w14:paraId="199331C6" w14:textId="558FA2C8"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3EE944D5" w14:textId="099501E8"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1602794C" w14:textId="681FC9B0"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77F40AE2" w14:textId="2FC82D47"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68527BBB" w14:textId="5B75641B" w:rsidR="00FF4BD9" w:rsidRPr="00EC3E91" w:rsidRDefault="00FF4BD9" w:rsidP="009549DD">
            <w:pPr>
              <w:rPr>
                <w:rFonts w:cstheme="minorHAnsi"/>
                <w:sz w:val="20"/>
                <w:szCs w:val="20"/>
                <w:lang w:val="en-US"/>
              </w:rPr>
            </w:pPr>
            <w:r w:rsidRPr="00EC3E91">
              <w:rPr>
                <w:rFonts w:cstheme="minorHAnsi"/>
                <w:sz w:val="20"/>
                <w:szCs w:val="20"/>
                <w:lang w:val="en-US"/>
              </w:rPr>
              <w:t>Potentially inappropriate medications in geriatric patients</w:t>
            </w:r>
          </w:p>
        </w:tc>
        <w:tc>
          <w:tcPr>
            <w:tcW w:w="3969" w:type="dxa"/>
          </w:tcPr>
          <w:p w14:paraId="3F61AA0C" w14:textId="3BED6298" w:rsidR="00FF4BD9" w:rsidRPr="00EC3E91" w:rsidRDefault="00FF4BD9" w:rsidP="00865778">
            <w:pPr>
              <w:rPr>
                <w:rFonts w:cstheme="minorHAnsi"/>
                <w:sz w:val="20"/>
                <w:szCs w:val="20"/>
                <w:lang w:val="en-US"/>
              </w:rPr>
            </w:pPr>
            <w:r w:rsidRPr="00EC3E91">
              <w:rPr>
                <w:rFonts w:cstheme="minorHAnsi"/>
                <w:sz w:val="20"/>
                <w:szCs w:val="20"/>
                <w:lang w:val="en-US"/>
              </w:rPr>
              <w:t>STOPP and Beers criteria</w:t>
            </w:r>
          </w:p>
        </w:tc>
        <w:tc>
          <w:tcPr>
            <w:tcW w:w="2551" w:type="dxa"/>
          </w:tcPr>
          <w:p w14:paraId="20C56487" w14:textId="551925A5" w:rsidR="00FF4BD9" w:rsidRPr="00EC3E91" w:rsidRDefault="00FF4BD9" w:rsidP="009549DD">
            <w:pPr>
              <w:rPr>
                <w:rFonts w:cstheme="minorHAnsi"/>
                <w:sz w:val="20"/>
                <w:szCs w:val="20"/>
                <w:lang w:val="en-US"/>
              </w:rPr>
            </w:pPr>
            <w:r w:rsidRPr="00EC3E91">
              <w:rPr>
                <w:rFonts w:cstheme="minorHAnsi"/>
                <w:sz w:val="20"/>
                <w:szCs w:val="20"/>
                <w:lang w:val="en-US"/>
              </w:rPr>
              <w:t>conduct educational meeting, conduct educational outreach, remind clinicians</w:t>
            </w:r>
          </w:p>
        </w:tc>
      </w:tr>
      <w:tr w:rsidR="00FF4BD9" w:rsidRPr="00EC3E91" w14:paraId="6724DDE9" w14:textId="77777777" w:rsidTr="00FF4BD9">
        <w:trPr>
          <w:tblHeader/>
        </w:trPr>
        <w:tc>
          <w:tcPr>
            <w:tcW w:w="709" w:type="dxa"/>
          </w:tcPr>
          <w:p w14:paraId="7053BF46" w14:textId="31115DF2"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{"citationItems":[{"id":"ITEM-1","itemData":{"abstract":"Objectives Excessive use of antimicrobial agents for acute upper respiratory infections (URIs) is one of the most common problems in clinical practice. Interventions are required to reduce antimicrobial overuse in these common infections. Methods During a 9-month study period (June 2014–February 2015), a quasi-experimental (pre-/post-) study was conducted among internal medicine residents and fellows in an outpatient setting of Siriraj Hospital, Thailand. The aim of the study was to determine the effectiveness of individual feedback to reduce inappropriate antimicrobial prescriptions for treating URIs. The administrative ICD-10 database was used to identify index physicians with at least one outpatient experience of URI. Data on antimicrobial prescriptions were extracted from the hospital pharmacy database. A confidential letter and SMS were sent to all index physicians about the extent of antimicrobial therapy they prescribed for treating URIs during the pre-intervention period. Results The proportion of antimicrobial use among the index encounters showed a significant reduction from 34.7% in the pre-intervention period to 26.1% in the post-intervention period (P = 0.02). Segmented logistic regression analysis confirmed the significant impact of the intervention on reducing antimicrobial prescriptions (P = 0.02). Conclusion This integrated intervention is simple and non-labour intensive and may therefore be used sustainably in resource-limited settings.","author":[{"dropping-particle":"","family":"Rattanaumpawan","given":"P","non-dropping-particle":"","parse-names":false,"suffix":""},{"dropping-particle":"","family":"Chuenchom","given":"N","non-dropping-particle":"","parse-names":false,"suffix":""},{"dropping-particle":"","family":"Thamlikitkul","given":"V","non-dropping-particle":"","parse-names":false,"suffix":""}],"container-title":"Journal of Global Antimicrobial Resistance","id":"ITEM-1","issued":{"date-parts":[["2018"]]},"page":"11-14","title":"Individual feedback to reduce inappropriate antimicrobial prescriptions for treating acute upper respiratory infections in an outpatient setting of a Thai university hospital","type":"article-journal","volume":"12"},"uris":["http://www.mendeley.com/documents/?uuid=826ef597-770a-4f0b-935b-a6244a804dc6"]}],"mendeley":{"formattedCitation":"(150)","plainTextFormattedCitation":"(150)","previouslyFormattedCitation":"(150)"},"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(150)</w:t>
            </w:r>
            <w:r w:rsidRPr="00EC3E91">
              <w:rPr>
                <w:rFonts w:cstheme="minorHAnsi"/>
                <w:sz w:val="20"/>
                <w:szCs w:val="20"/>
                <w:lang w:val="en-US"/>
              </w:rPr>
              <w:fldChar w:fldCharType="end"/>
            </w:r>
          </w:p>
        </w:tc>
        <w:tc>
          <w:tcPr>
            <w:tcW w:w="992" w:type="dxa"/>
          </w:tcPr>
          <w:p w14:paraId="57DDC2A9" w14:textId="548B6725" w:rsidR="00FF4BD9" w:rsidRPr="00EC3E91" w:rsidRDefault="00FF4BD9" w:rsidP="009549DD">
            <w:pPr>
              <w:rPr>
                <w:rFonts w:cstheme="minorHAnsi"/>
                <w:sz w:val="20"/>
                <w:szCs w:val="20"/>
                <w:lang w:val="en-US"/>
              </w:rPr>
            </w:pPr>
            <w:r w:rsidRPr="00EC3E91">
              <w:rPr>
                <w:rFonts w:cstheme="minorHAnsi"/>
                <w:sz w:val="20"/>
                <w:szCs w:val="20"/>
                <w:lang w:val="en-US"/>
              </w:rPr>
              <w:t>Thailand</w:t>
            </w:r>
          </w:p>
        </w:tc>
        <w:tc>
          <w:tcPr>
            <w:tcW w:w="993" w:type="dxa"/>
          </w:tcPr>
          <w:p w14:paraId="7181AC53" w14:textId="3AAA2DC8"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16BCF1AD" w14:textId="4707C12F"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699047B2" w14:textId="0B684F4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5F1B6D4D" w14:textId="6FEFFB21" w:rsidR="00FF4BD9" w:rsidRPr="00EC3E91" w:rsidRDefault="00FF4BD9" w:rsidP="009549DD">
            <w:pPr>
              <w:rPr>
                <w:rFonts w:cstheme="minorHAnsi"/>
                <w:sz w:val="20"/>
                <w:szCs w:val="20"/>
                <w:lang w:val="en-US"/>
              </w:rPr>
            </w:pPr>
            <w:r w:rsidRPr="00EC3E91">
              <w:rPr>
                <w:rFonts w:cstheme="minorHAnsi"/>
                <w:sz w:val="20"/>
                <w:szCs w:val="20"/>
                <w:lang w:val="en-US"/>
              </w:rPr>
              <w:t>Antibiotics</w:t>
            </w:r>
          </w:p>
        </w:tc>
        <w:tc>
          <w:tcPr>
            <w:tcW w:w="2126" w:type="dxa"/>
          </w:tcPr>
          <w:p w14:paraId="3A3D038E" w14:textId="44F54F59" w:rsidR="00FF4BD9" w:rsidRPr="00EC3E91" w:rsidRDefault="00FF4BD9" w:rsidP="009549DD">
            <w:pPr>
              <w:rPr>
                <w:rFonts w:cstheme="minorHAnsi"/>
                <w:sz w:val="20"/>
                <w:szCs w:val="20"/>
                <w:lang w:val="en-US"/>
              </w:rPr>
            </w:pPr>
            <w:r w:rsidRPr="00EC3E91">
              <w:rPr>
                <w:rFonts w:cstheme="minorHAnsi"/>
                <w:sz w:val="20"/>
                <w:szCs w:val="20"/>
                <w:lang w:val="en-US"/>
              </w:rPr>
              <w:t>Inappropriate use of antibiotics for URIs.</w:t>
            </w:r>
          </w:p>
        </w:tc>
        <w:tc>
          <w:tcPr>
            <w:tcW w:w="3969" w:type="dxa"/>
          </w:tcPr>
          <w:p w14:paraId="51BE3D98" w14:textId="545E38A2" w:rsidR="00FF4BD9" w:rsidRPr="00EC3E91" w:rsidRDefault="00FF4BD9" w:rsidP="00865778">
            <w:pPr>
              <w:rPr>
                <w:rFonts w:cstheme="minorHAnsi"/>
                <w:sz w:val="20"/>
                <w:szCs w:val="20"/>
                <w:lang w:val="en-US"/>
              </w:rPr>
            </w:pPr>
            <w:r w:rsidRPr="00EC3E91">
              <w:rPr>
                <w:rFonts w:cstheme="minorHAnsi"/>
                <w:sz w:val="20"/>
                <w:szCs w:val="20"/>
                <w:lang w:val="en-US"/>
              </w:rPr>
              <w:t>Clinical practice guideline for the diagnosis and management of group A streptococcal pharyngitis. By the Infectious Diseases Society of America</w:t>
            </w:r>
          </w:p>
        </w:tc>
        <w:tc>
          <w:tcPr>
            <w:tcW w:w="2551" w:type="dxa"/>
          </w:tcPr>
          <w:p w14:paraId="0A4DD65A" w14:textId="2D74960A" w:rsidR="00FF4BD9" w:rsidRPr="00EC3E91" w:rsidRDefault="00FF4BD9" w:rsidP="009549DD">
            <w:pPr>
              <w:rPr>
                <w:rFonts w:cstheme="minorHAnsi"/>
                <w:sz w:val="20"/>
                <w:szCs w:val="20"/>
                <w:lang w:val="en-US"/>
              </w:rPr>
            </w:pPr>
            <w:r w:rsidRPr="00EC3E91">
              <w:rPr>
                <w:rFonts w:cstheme="minorHAnsi"/>
                <w:sz w:val="20"/>
                <w:szCs w:val="20"/>
                <w:lang w:val="en-US"/>
              </w:rPr>
              <w:t xml:space="preserve">Audit and provide feedback </w:t>
            </w:r>
          </w:p>
        </w:tc>
      </w:tr>
      <w:tr w:rsidR="00FF4BD9" w:rsidRPr="00E119DD" w14:paraId="5C764CA0" w14:textId="77777777" w:rsidTr="00FF4BD9">
        <w:trPr>
          <w:tblHeader/>
        </w:trPr>
        <w:tc>
          <w:tcPr>
            <w:tcW w:w="709" w:type="dxa"/>
          </w:tcPr>
          <w:p w14:paraId="0C621BB9" w14:textId="3F9A1746"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{"citationItems":[{"id":"ITEM-1","itemData":{"abstract":"OBJECTIVES: The American Academy of Pediatrics published bronchiolitis clinical practice guidelines in 2014 recommending against the routine use of bronchodilators, chest radiographs, or respiratory viral testing in children with a clinical diagnosis of bronchiolitis. Our aim in this project was to align care with the American Academy of Pediatrics clinical practice guidelines by decreasing the overuse of these interventions. METHODS: This study included patients who were admitted to a non-ICU setting with a primary or secondary diagnosis of bronchiolitis. The team used a multidisciplinary kickoff event to understand the problem and develop interventions, including sharing provider-specific data and asking providers to sign a pledge to reduce use. We used a novel, real-time data dashboard to collect and analyze data. RESULTS: Special cause variation on control charts indicated improvement for all outcomes for inpatients during the intervention season. Pre- and postanalyses in which we compared baseline to intervention values for all admitted patients and patients who were discharged from the emergency department or urgent care revealed a significant reduction in the ordering of chest radiographs (from 22.7% to 13.6%; P &lt;= .001), respiratory viral testing (from 12.5% to 9.8%; P = .001), and bronchodilators (from 17.5% to 10.3%; P = .001) without changes in balancing measures (eg, hospital readmission within 7 days [1.7% (preanalysis) and 1.0% (postanalysis); P = .21]) for bronchiolitis. CONCLUSIONS: This multidisciplinary improvement initiative resulted in a significant reduction in use for bronchiolitis care at our institution. Our approach, which included a novel, real-time data dashboard and interventions such as individual providers pledging to reduce use, may have the potential to reduce overuse in other settings and diseases.","author":[{"dropping-particle":"","family":"Tyler","given":"A","non-dropping-particle":"","parse-names":false,"suffix":""},{"dropping-particle":"","family":"Krack","given":"P","non-dropping-particle":"","parse-names":false,"suffix":""},{"dropping-particle":"","family":"Bakel","given":"L A","non-dropping-particle":"","parse-names":false,"suffix":""},{"dropping-particle":"","family":"O'Hara","given":"K","non-dropping-particle":"","parse-names":false,"suffix":""},{"dropping-particle":"","family":"Scudamore","given":"D","non-dropping-particle":"","parse-names":false,"suffix":""},{"dropping-particle":"","family":"Topoz","given":"I","non-dropping-particle":"","parse-names":false,"suffix":""},{"dropping-particle":"","family":"Freeman","given":"J","non-dropping-particle":"","parse-names":false,"suffix":""},{"dropping-particle":"","family":"Moss","given":"A","non-dropping-particle":"","parse-names":false,"suffix":""},{"dropping-particle":"","family":"Allen","given":"R","non-dropping-particle":"","parse-names":false,"suffix":""},{"dropping-particle":"","family":"Swanson","given":"A","non-dropping-particle":"","parse-names":false,"suffix":""},{"dropping-particle":"","family":"Bajaj","given":"L","non-dropping-particle":"","parse-names":false,"suffix":""}],"container-title":"Pediatrics","id":"ITEM-1","issued":{"date-parts":[["2018"]]},"page":"11","title":"Interventions to Reduce Over-Utilized Tests and Treatments in Bronchiolitis","type":"article-journal","volume":"11"},"uris":["http://www.mendeley.com/documents/?uuid=9ce137a1-ee12-4f22-b728-76b4bcc206c3"]}],"mendeley":{"formattedCitation":"(151)","plainTextFormattedCitation":"(151)","previouslyFormattedCitation":"(151)"},"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(151)</w:t>
            </w:r>
            <w:r w:rsidRPr="00EC3E91">
              <w:rPr>
                <w:rFonts w:cstheme="minorHAnsi"/>
                <w:sz w:val="20"/>
                <w:szCs w:val="20"/>
                <w:lang w:val="en-US"/>
              </w:rPr>
              <w:fldChar w:fldCharType="end"/>
            </w:r>
          </w:p>
        </w:tc>
        <w:tc>
          <w:tcPr>
            <w:tcW w:w="992" w:type="dxa"/>
          </w:tcPr>
          <w:p w14:paraId="2ACE4726" w14:textId="30CE6120"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468C4676" w14:textId="68FACDBF"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0E77E58D" w14:textId="0D479A56"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8AE0D0B" w14:textId="529141CC"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8372907" w14:textId="2418887B" w:rsidR="00FF4BD9" w:rsidRPr="00EC3E91" w:rsidRDefault="00FF4BD9" w:rsidP="009549DD">
            <w:pPr>
              <w:rPr>
                <w:rFonts w:cstheme="minorHAnsi"/>
                <w:sz w:val="20"/>
                <w:szCs w:val="20"/>
                <w:lang w:val="en-US"/>
              </w:rPr>
            </w:pPr>
            <w:r w:rsidRPr="00EC3E91">
              <w:rPr>
                <w:rFonts w:cstheme="minorHAnsi"/>
                <w:sz w:val="20"/>
                <w:szCs w:val="20"/>
                <w:lang w:val="en-US"/>
              </w:rPr>
              <w:t xml:space="preserve">bronchodilators, </w:t>
            </w:r>
            <w:r w:rsidR="00226199">
              <w:rPr>
                <w:rFonts w:cstheme="minorHAnsi"/>
                <w:sz w:val="20"/>
                <w:szCs w:val="20"/>
                <w:lang w:val="en-US"/>
              </w:rPr>
              <w:t>Imaging</w:t>
            </w:r>
            <w:r w:rsidR="000A5526" w:rsidRPr="00EC3E91">
              <w:rPr>
                <w:rFonts w:cstheme="minorHAnsi"/>
                <w:sz w:val="20"/>
                <w:szCs w:val="20"/>
                <w:lang w:val="en-US"/>
              </w:rPr>
              <w:t>, lab</w:t>
            </w:r>
            <w:r w:rsidRPr="00EC3E91">
              <w:rPr>
                <w:rFonts w:cstheme="minorHAnsi"/>
                <w:sz w:val="20"/>
                <w:szCs w:val="20"/>
                <w:lang w:val="en-US"/>
              </w:rPr>
              <w:t xml:space="preserve"> tests</w:t>
            </w:r>
          </w:p>
        </w:tc>
        <w:tc>
          <w:tcPr>
            <w:tcW w:w="2126" w:type="dxa"/>
          </w:tcPr>
          <w:p w14:paraId="372DB6B4" w14:textId="04DC00BC" w:rsidR="00FF4BD9" w:rsidRPr="00EC3E91" w:rsidRDefault="00FF4BD9" w:rsidP="009549DD">
            <w:pPr>
              <w:rPr>
                <w:rFonts w:cstheme="minorHAnsi"/>
                <w:sz w:val="20"/>
                <w:szCs w:val="20"/>
                <w:lang w:val="en-US"/>
              </w:rPr>
            </w:pPr>
            <w:r w:rsidRPr="00EC3E91">
              <w:rPr>
                <w:rFonts w:cstheme="minorHAnsi"/>
                <w:sz w:val="20"/>
                <w:szCs w:val="20"/>
                <w:lang w:val="en-US"/>
              </w:rPr>
              <w:t>Routine use of bronchodilators, chest radiographs, or respiratory viral testing in children with a clinical diagnosis of bronchiolitis.</w:t>
            </w:r>
          </w:p>
        </w:tc>
        <w:tc>
          <w:tcPr>
            <w:tcW w:w="3969" w:type="dxa"/>
          </w:tcPr>
          <w:p w14:paraId="08D194CE" w14:textId="7C144292" w:rsidR="00FF4BD9" w:rsidRPr="00EC3E91" w:rsidRDefault="00FF4BD9" w:rsidP="00865778">
            <w:pPr>
              <w:rPr>
                <w:rFonts w:cstheme="minorHAnsi"/>
                <w:sz w:val="20"/>
                <w:szCs w:val="20"/>
                <w:lang w:val="en-US"/>
              </w:rPr>
            </w:pPr>
            <w:r w:rsidRPr="00EC3E91">
              <w:rPr>
                <w:rFonts w:cstheme="minorHAnsi"/>
                <w:sz w:val="20"/>
                <w:szCs w:val="20"/>
                <w:lang w:val="en-US"/>
              </w:rPr>
              <w:t xml:space="preserve">American Academy of </w:t>
            </w:r>
            <w:r w:rsidR="005A62DA" w:rsidRPr="00EC3E91">
              <w:rPr>
                <w:rFonts w:cstheme="minorHAnsi"/>
                <w:sz w:val="20"/>
                <w:szCs w:val="20"/>
                <w:lang w:val="en-US"/>
              </w:rPr>
              <w:t>Pediatrics’</w:t>
            </w:r>
            <w:r w:rsidRPr="00EC3E91">
              <w:rPr>
                <w:rFonts w:cstheme="minorHAnsi"/>
                <w:sz w:val="20"/>
                <w:szCs w:val="20"/>
                <w:lang w:val="en-US"/>
              </w:rPr>
              <w:t xml:space="preserve"> Subcommittee on Diagnosis and Management of Bronchiolitis. Diagnosis and management of bronchiolitis. </w:t>
            </w:r>
          </w:p>
          <w:p w14:paraId="6B464AEC" w14:textId="77777777" w:rsidR="00FF4BD9" w:rsidRPr="00EC3E91" w:rsidRDefault="00FF4BD9" w:rsidP="00865778">
            <w:pPr>
              <w:rPr>
                <w:rFonts w:cstheme="minorHAnsi"/>
                <w:sz w:val="20"/>
                <w:szCs w:val="20"/>
                <w:lang w:val="en-US"/>
              </w:rPr>
            </w:pPr>
          </w:p>
          <w:p w14:paraId="6FC6E3F7" w14:textId="0877D151" w:rsidR="00FF4BD9" w:rsidRPr="00EC3E91" w:rsidRDefault="00FF4BD9" w:rsidP="00E45AA3">
            <w:pPr>
              <w:rPr>
                <w:rFonts w:cstheme="minorHAnsi"/>
                <w:sz w:val="20"/>
                <w:szCs w:val="20"/>
                <w:lang w:val="en-US"/>
              </w:rPr>
            </w:pPr>
            <w:r w:rsidRPr="00EC3E91">
              <w:rPr>
                <w:rFonts w:cstheme="minorHAnsi"/>
                <w:sz w:val="20"/>
                <w:szCs w:val="20"/>
                <w:lang w:val="en-US"/>
              </w:rPr>
              <w:t xml:space="preserve">American Academy of Pediatrics. Clinical practice guideline: the diagnosis, management, and prevention of bronchiolitis. </w:t>
            </w:r>
          </w:p>
        </w:tc>
        <w:tc>
          <w:tcPr>
            <w:tcW w:w="2551" w:type="dxa"/>
            <w:shd w:val="clear" w:color="auto" w:fill="auto"/>
          </w:tcPr>
          <w:p w14:paraId="3C246CFF" w14:textId="3A88D486" w:rsidR="00FF4BD9" w:rsidRPr="00EC3E91" w:rsidRDefault="00FF4BD9" w:rsidP="009549DD">
            <w:pPr>
              <w:rPr>
                <w:rFonts w:cstheme="minorHAnsi"/>
                <w:sz w:val="20"/>
                <w:szCs w:val="20"/>
                <w:lang w:val="en-US"/>
              </w:rPr>
            </w:pPr>
            <w:r w:rsidRPr="00EC3E91">
              <w:rPr>
                <w:rFonts w:cstheme="minorHAnsi"/>
                <w:sz w:val="20"/>
                <w:szCs w:val="20"/>
                <w:lang w:val="en-US"/>
              </w:rPr>
              <w:t>audit and provide feedback, obtain formal commitment, remind clinicians, changes in physical structure and equipment, distribute educational materials, make training dynamic, develop educational materials, conduct educational meeting</w:t>
            </w:r>
          </w:p>
        </w:tc>
      </w:tr>
      <w:tr w:rsidR="00FF4BD9" w:rsidRPr="00E119DD" w14:paraId="009728E4" w14:textId="77777777" w:rsidTr="00FF4BD9">
        <w:trPr>
          <w:tblHeader/>
        </w:trPr>
        <w:tc>
          <w:tcPr>
            <w:tcW w:w="709" w:type="dxa"/>
          </w:tcPr>
          <w:p w14:paraId="416675BC" w14:textId="478A667A"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{"citationItems":[{"id":"ITEM-1","itemData":{"ISSN":"1544-1709","abstract":"PURPOSE: Potentially inappropriate prescribing (PIP) is common in older people and can result in increased morbidity, adverse drug events, and hospitalizations. The OPTI-SCRIPT study (Optimizing Prescribing for Older People in Primary Care, a cluster-randomized controlled trial) tested the effectiveness of a multifaceted intervention for reducing PIP in primary care. METHODS: We conducted a cluster-randomized controlled trial among 21 general practitioner practices and 196 patients with PIP. Intervention participants received a complex, multifaceted intervention incorporating academic detailing; review of medicines with web-based pharmaceutical treatment algorithms that provide recommended alternative-treatment options; and tailored patient information leaflets. Control practices delivered usual care and received simple, patient-level PIP feedback. Primary outcomes were the proportion of patients with PIP and the mean number of potentially inappropriate prescriptions. We performed intention-to-treat analysis using random-effects regression. RESULTS: All 21 practices and 190 patients were followed. At intervention completion, patients in the intervention group had significantly lower odds of having PIP than patients in the control group (adjusted odds ratio = 0.32; 95% CI, 0.15-0.70; P = .02). The mean number of PIP drugs in the intervention group was 0.70, compared with 1.18 in the control group (P = .02). The intervention group was almost one-third less likely than the control group to have PIP drugs at intervention completion, but this difference was not significant (incidence rate ratio = 0.71; 95% CI, 0.50-1.02; P = .49). The intervention was effective in reducing proton pump inhibitor prescribing (adjusted odds ratio = 0.30; 95% CI, 0.14-0.68; P = .04). CONCLUSIONS: The OPTI-SCRIPT intervention incorporating academic detailing with a pharmacist, and a review of medicines with web-based pharmaceutical treatment algorithms, was effective in reducing PIP, particularly in modifying prescribing of proton pump inhibitors, the most commonly occurring PIP drugs nationally.","author":[{"dropping-particle":"","family":"Clyne","given":"B","non-dropping-particle":"","parse-names":false,"suffix":""},{"dropping-particle":"","family":"Smith","given":"S M","non-dropping-particle":"","parse-names":false,"suffix":""},{"dropping-particle":"","family":"Hughes","given":"C M","non-dropping-particle":"","parse-names":false,"suffix":""},{"dropping-particle":"","family":"Bol","given":"","non-dropping-particle":"","parse-names":false,"suffix":""},{"dropping-particle":"","family":"F.","given":"","non-dropping-particle":"","parse-names":false,"suffix":""},{"dropping-particle":"","family":"Bradley","given":"M C","non-dropping-particle":"","parse-names":false,"suffix":""},{"dropping-particle":"","family":"Cooper","given":"J A","non-dropping-particle":"","parse-names":false,"suffix":""},{"dropping-particle":"","family":"Fahey","given":"T","non-dropping-particle":"","parse-names":false,"suffix":""},{"dropping-particle":"","family":"Team","given":"Opti-Script study","non-dropping-particle":"","parse-names":false,"suffix":""}],"container-title":"Annals of Family Medicine","id":"ITEM-1","issue":"6","issued":{"date-parts":[["2015"]]},"page":"545-553","title":"Effectiveness of a Multifaceted Intervention for Potentially Inappropriate Prescribing in Older Patients in Primary Care: A Cluster-Randomized Controlled Trial (OPTI-SCRIPT Study)","type":"article-journal","volume":"13"},"uris":["http://www.mendeley.com/documents/?uuid=7561f08f-8f07-4f3f-865d-ce7494c24747"]}],"mendeley":{"formattedCitation":"(152)","plainTextFormattedCitation":"(152)","previouslyFormattedCitation":"(152)"},"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(152)</w:t>
            </w:r>
            <w:r w:rsidRPr="00EC3E91">
              <w:rPr>
                <w:rFonts w:cstheme="minorHAnsi"/>
                <w:sz w:val="20"/>
                <w:szCs w:val="20"/>
                <w:lang w:val="en-US"/>
              </w:rPr>
              <w:fldChar w:fldCharType="end"/>
            </w:r>
          </w:p>
        </w:tc>
        <w:tc>
          <w:tcPr>
            <w:tcW w:w="992" w:type="dxa"/>
          </w:tcPr>
          <w:p w14:paraId="12BF7E73" w14:textId="2047049A" w:rsidR="00FF4BD9" w:rsidRPr="00EC3E91" w:rsidRDefault="00FF4BD9" w:rsidP="009549DD">
            <w:pPr>
              <w:rPr>
                <w:rFonts w:cstheme="minorHAnsi"/>
                <w:sz w:val="20"/>
                <w:szCs w:val="20"/>
                <w:lang w:val="en-US"/>
              </w:rPr>
            </w:pPr>
            <w:r w:rsidRPr="00EC3E91">
              <w:rPr>
                <w:rFonts w:cstheme="minorHAnsi"/>
                <w:sz w:val="20"/>
                <w:szCs w:val="20"/>
                <w:lang w:val="en-US"/>
              </w:rPr>
              <w:t>Ireland</w:t>
            </w:r>
          </w:p>
        </w:tc>
        <w:tc>
          <w:tcPr>
            <w:tcW w:w="993" w:type="dxa"/>
          </w:tcPr>
          <w:p w14:paraId="5762AA63" w14:textId="3DB67868"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7F2F8309" w14:textId="37781F89"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5CC2DFC3" w14:textId="7EB85DEA"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3B0F2078" w14:textId="4F150678"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4E5D7342" w14:textId="5B38AFA4" w:rsidR="00FF4BD9" w:rsidRPr="00EC3E91" w:rsidRDefault="00FF4BD9" w:rsidP="00CA76DB">
            <w:pPr>
              <w:rPr>
                <w:rFonts w:cstheme="minorHAnsi"/>
                <w:sz w:val="20"/>
                <w:szCs w:val="20"/>
                <w:lang w:val="en-US"/>
              </w:rPr>
            </w:pPr>
            <w:r w:rsidRPr="00EC3E91">
              <w:rPr>
                <w:rFonts w:cstheme="minorHAnsi"/>
                <w:sz w:val="20"/>
                <w:szCs w:val="20"/>
                <w:lang w:val="en-US"/>
              </w:rPr>
              <w:t>Potentially inappropriate medication</w:t>
            </w:r>
          </w:p>
        </w:tc>
        <w:tc>
          <w:tcPr>
            <w:tcW w:w="3969" w:type="dxa"/>
          </w:tcPr>
          <w:p w14:paraId="721B98BE" w14:textId="1E7F9AA2" w:rsidR="00FF4BD9" w:rsidRPr="00EC3E91" w:rsidRDefault="005A62DA" w:rsidP="00865778">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 the STOPP criteria </w:t>
            </w:r>
          </w:p>
        </w:tc>
        <w:tc>
          <w:tcPr>
            <w:tcW w:w="2551" w:type="dxa"/>
          </w:tcPr>
          <w:p w14:paraId="27BFB533" w14:textId="09D47665" w:rsidR="00FF4BD9" w:rsidRPr="00EC3E91" w:rsidRDefault="00FF4BD9" w:rsidP="009549DD">
            <w:pPr>
              <w:rPr>
                <w:rFonts w:cstheme="minorHAnsi"/>
                <w:sz w:val="20"/>
                <w:szCs w:val="20"/>
                <w:lang w:val="en-US"/>
              </w:rPr>
            </w:pPr>
            <w:r w:rsidRPr="00EC3E91">
              <w:rPr>
                <w:rFonts w:cstheme="minorHAnsi"/>
                <w:sz w:val="20"/>
                <w:szCs w:val="20"/>
                <w:lang w:val="en-US"/>
              </w:rPr>
              <w:t>conduct educational outreach, remind clinicians, develop educational materials</w:t>
            </w:r>
          </w:p>
        </w:tc>
      </w:tr>
      <w:tr w:rsidR="00FF4BD9" w:rsidRPr="00E119DD" w14:paraId="706D2E30" w14:textId="77777777" w:rsidTr="00FF4BD9">
        <w:trPr>
          <w:tblHeader/>
        </w:trPr>
        <w:tc>
          <w:tcPr>
            <w:tcW w:w="709" w:type="dxa"/>
          </w:tcPr>
          <w:p w14:paraId="4208719E" w14:textId="3D45BBCD"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{"citationItems":[{"id":"ITEM-1","itemData":{"ISSN":"1748-5908","abstract":"BACKGROUND: Potentially inappropriate prescribing (PIP) is common in older people in primary care and can result in increased morbidity, adverse drug events and hospitalisations. We previously demonstrated the success of a multifaceted intervention in decreasing PIP in primary care in a cluster randomised controlled trial (RCT). OBJECTIVE: We sought to determine whether the improvement in PIP in the short term was sustained at 1-year follow-up. METHODS: A cluster RCT was conducted with 21 GP practices and 196 patients (aged &gt;=70) with PIP in Irish primary care. Intervention participants received a complex multifaceted intervention incorporating academic detailing, medicine review with web-based pharmaceutical treatment algorithms that provide recommended alternative treatment options, and tailored patient information leaflets. Control practices delivered usual care and received simple, patient-level PIP feedback. Primary outcomes were the proportion of patients with PIP and the mean number of potentially inappropriate prescriptions at 1-year follow-up. Intention-to-treat analysis using random effects regression was used. RESULTS: All 21 GP practices and 186 (95 %) patients were followed up. We found that at 1-year follow-up, the significant reduction in the odds of PIP exposure achieved during the intervention was sustained after its discontinuation (adjusted OR 0.28, 95 % CI 0.11 to 0.76, P=0.01). Intervention participants had significantly lower odds of having a potentially inappropriate proton pump inhibitor compared to controls (adjusted OR 0.40, 95 % CI 0.17 to 0.94, P=0.04). CONCLUSION: The significant reduction in the odds of PIP achieved during the intervention was sustained after its discontinuation. These results indicate that improvements in prescribing quality can be maintained over time. TRIAL REGISTRATION: Current controlled trials ISRCTN41694007 .","author":[{"dropping-particle":"","family":"Clyne","given":"B","non-dropping-particle":"","parse-names":false,"suffix":""},{"dropping-particle":"","family":"Smith","given":"S M","non-dropping-particle":"","parse-names":false,"suffix":""},{"dropping-particle":"","family":"Hughes","given":"C M","non-dropping-particle":"","parse-names":false,"suffix":""},{"dropping-particle":"","family":"Bol","given":"","non-dropping-particle":"","parse-names":false,"suffix":""},{"dropping-particle":"","family":"F.","given":"","non-dropping-particle":"","parse-names":false,"suffix":""},{"dropping-particle":"","family":"Cooper","given":"J A","non-dropping-particle":"","parse-names":false,"suffix":""},{"dropping-particle":"","family":"Fahey","given":"T","non-dropping-particle":"","parse-names":false,"suffix":""},{"dropping-particle":"","family":"Team","given":"Opti-Script study","non-dropping-particle":"","parse-names":false,"suffix":""}],"container-title":"Implementation Science","id":"ITEM-1","issue":"1","issued":{"date-parts":[["2016"]]},"page":"79","title":"Sustained effectiveness of a multifaceted intervention to reduce potentially inappropriate prescribing in older patients in primary care (OPTI-SCRIPT study)","type":"article-journal","volume":"11"},"uris":["http://www.mendeley.com/documents/?uuid=dbd4b719-7c4f-435e-8cff-eea75e12c1f5"]}],"mendeley":{"formattedCitation":"(153)","plainTextFormattedCitation":"(153)","previouslyFormattedCitation":"(153)"},"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(153)</w:t>
            </w:r>
            <w:r w:rsidRPr="00EC3E91">
              <w:rPr>
                <w:rFonts w:cstheme="minorHAnsi"/>
                <w:sz w:val="20"/>
                <w:szCs w:val="20"/>
                <w:lang w:val="en-US"/>
              </w:rPr>
              <w:fldChar w:fldCharType="end"/>
            </w:r>
          </w:p>
        </w:tc>
        <w:tc>
          <w:tcPr>
            <w:tcW w:w="992" w:type="dxa"/>
          </w:tcPr>
          <w:p w14:paraId="58FB9C7B" w14:textId="023BAC22" w:rsidR="00FF4BD9" w:rsidRPr="00EC3E91" w:rsidRDefault="00FF4BD9" w:rsidP="009549DD">
            <w:pPr>
              <w:rPr>
                <w:rFonts w:cstheme="minorHAnsi"/>
                <w:sz w:val="20"/>
                <w:szCs w:val="20"/>
                <w:lang w:val="en-US"/>
              </w:rPr>
            </w:pPr>
            <w:r w:rsidRPr="00EC3E91">
              <w:rPr>
                <w:rFonts w:cstheme="minorHAnsi"/>
                <w:sz w:val="20"/>
                <w:szCs w:val="20"/>
                <w:lang w:val="en-US"/>
              </w:rPr>
              <w:t>Ireland</w:t>
            </w:r>
          </w:p>
        </w:tc>
        <w:tc>
          <w:tcPr>
            <w:tcW w:w="993" w:type="dxa"/>
          </w:tcPr>
          <w:p w14:paraId="47AEF712" w14:textId="5FCD11FE" w:rsidR="00FF4BD9" w:rsidRPr="00EC3E91" w:rsidRDefault="00FF4BD9" w:rsidP="009549DD">
            <w:pPr>
              <w:rPr>
                <w:rFonts w:cstheme="minorHAnsi"/>
                <w:sz w:val="20"/>
                <w:szCs w:val="20"/>
                <w:lang w:val="en-US"/>
              </w:rPr>
            </w:pPr>
            <w:r w:rsidRPr="00EC3E91">
              <w:rPr>
                <w:rFonts w:cstheme="minorHAnsi"/>
                <w:sz w:val="20"/>
                <w:szCs w:val="20"/>
                <w:lang w:val="en-US"/>
              </w:rPr>
              <w:t>Primary Care</w:t>
            </w:r>
          </w:p>
        </w:tc>
        <w:tc>
          <w:tcPr>
            <w:tcW w:w="850" w:type="dxa"/>
          </w:tcPr>
          <w:p w14:paraId="1E4945F5" w14:textId="7BF34F0E" w:rsidR="00FF4BD9" w:rsidRPr="00EC3E91" w:rsidRDefault="00FF4BD9" w:rsidP="009549DD">
            <w:pPr>
              <w:rPr>
                <w:rFonts w:cstheme="minorHAnsi"/>
                <w:sz w:val="20"/>
                <w:szCs w:val="20"/>
                <w:lang w:val="en-US"/>
              </w:rPr>
            </w:pPr>
            <w:r w:rsidRPr="00EC3E91">
              <w:rPr>
                <w:rFonts w:cstheme="minorHAnsi"/>
                <w:sz w:val="20"/>
                <w:szCs w:val="20"/>
                <w:lang w:val="en-US"/>
              </w:rPr>
              <w:t>Quant RCT</w:t>
            </w:r>
          </w:p>
        </w:tc>
        <w:tc>
          <w:tcPr>
            <w:tcW w:w="851" w:type="dxa"/>
          </w:tcPr>
          <w:p w14:paraId="7C0D885D" w14:textId="4CDB4815"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2E35591D" w14:textId="1A1CC507" w:rsidR="00FF4BD9" w:rsidRPr="00EC3E91" w:rsidRDefault="00FF4BD9" w:rsidP="009549DD">
            <w:pPr>
              <w:rPr>
                <w:rFonts w:cstheme="minorHAnsi"/>
                <w:sz w:val="20"/>
                <w:szCs w:val="20"/>
                <w:lang w:val="en-US"/>
              </w:rPr>
            </w:pPr>
            <w:r w:rsidRPr="00EC3E91">
              <w:rPr>
                <w:rFonts w:cstheme="minorHAnsi"/>
                <w:sz w:val="20"/>
                <w:szCs w:val="20"/>
                <w:lang w:val="en-US"/>
              </w:rPr>
              <w:t>PIM Elderly</w:t>
            </w:r>
          </w:p>
        </w:tc>
        <w:tc>
          <w:tcPr>
            <w:tcW w:w="2126" w:type="dxa"/>
          </w:tcPr>
          <w:p w14:paraId="5ACB412D" w14:textId="4012455B" w:rsidR="00FF4BD9" w:rsidRPr="00EC3E91" w:rsidRDefault="00FF4BD9" w:rsidP="00CA76DB">
            <w:pPr>
              <w:rPr>
                <w:rFonts w:cstheme="minorHAnsi"/>
                <w:sz w:val="20"/>
                <w:szCs w:val="20"/>
                <w:lang w:val="en-US"/>
              </w:rPr>
            </w:pPr>
            <w:r w:rsidRPr="00EC3E91">
              <w:rPr>
                <w:rFonts w:cstheme="minorHAnsi"/>
                <w:sz w:val="20"/>
                <w:szCs w:val="20"/>
                <w:lang w:val="en-US"/>
              </w:rPr>
              <w:t>Potentially inappropriate medication</w:t>
            </w:r>
          </w:p>
          <w:p w14:paraId="4FA874CB" w14:textId="3F657401" w:rsidR="00FF4BD9" w:rsidRPr="00EC3E91" w:rsidRDefault="00FF4BD9" w:rsidP="00865778">
            <w:pPr>
              <w:rPr>
                <w:rFonts w:cstheme="minorHAnsi"/>
                <w:sz w:val="20"/>
                <w:szCs w:val="20"/>
                <w:lang w:val="en-US"/>
              </w:rPr>
            </w:pPr>
          </w:p>
        </w:tc>
        <w:tc>
          <w:tcPr>
            <w:tcW w:w="3969" w:type="dxa"/>
          </w:tcPr>
          <w:p w14:paraId="0C955FA0" w14:textId="6E377E2E" w:rsidR="00FF4BD9" w:rsidRPr="00EC3E91" w:rsidRDefault="005A62DA" w:rsidP="00865778">
            <w:pPr>
              <w:rPr>
                <w:rFonts w:cstheme="minorHAnsi"/>
                <w:sz w:val="20"/>
                <w:szCs w:val="20"/>
                <w:lang w:val="en-US"/>
              </w:rPr>
            </w:pPr>
            <w:r w:rsidRPr="00EC3E91">
              <w:rPr>
                <w:rFonts w:cstheme="minorHAnsi"/>
                <w:sz w:val="20"/>
                <w:szCs w:val="20"/>
                <w:lang w:val="en-US"/>
              </w:rPr>
              <w:t>Beer’s</w:t>
            </w:r>
            <w:r w:rsidR="00FF4BD9" w:rsidRPr="00EC3E91">
              <w:rPr>
                <w:rFonts w:cstheme="minorHAnsi"/>
                <w:sz w:val="20"/>
                <w:szCs w:val="20"/>
                <w:lang w:val="en-US"/>
              </w:rPr>
              <w:t xml:space="preserve"> criteria, the STOPP criteria</w:t>
            </w:r>
          </w:p>
        </w:tc>
        <w:tc>
          <w:tcPr>
            <w:tcW w:w="2551" w:type="dxa"/>
          </w:tcPr>
          <w:p w14:paraId="5982225D" w14:textId="638ED26D" w:rsidR="00FF4BD9" w:rsidRPr="00EC3E91" w:rsidRDefault="00FF4BD9" w:rsidP="009549DD">
            <w:pPr>
              <w:rPr>
                <w:rFonts w:cstheme="minorHAnsi"/>
                <w:sz w:val="20"/>
                <w:szCs w:val="20"/>
                <w:lang w:val="en-US"/>
              </w:rPr>
            </w:pPr>
            <w:r w:rsidRPr="00EC3E91">
              <w:rPr>
                <w:rFonts w:cstheme="minorHAnsi"/>
                <w:sz w:val="20"/>
                <w:szCs w:val="20"/>
                <w:lang w:val="en-US"/>
              </w:rPr>
              <w:t>conduct educational outreach, remind clinicians, develop educational materials</w:t>
            </w:r>
          </w:p>
        </w:tc>
      </w:tr>
      <w:tr w:rsidR="00FF4BD9" w:rsidRPr="00E119DD" w14:paraId="1142F609" w14:textId="77777777" w:rsidTr="00FF4BD9">
        <w:trPr>
          <w:tblHeader/>
        </w:trPr>
        <w:tc>
          <w:tcPr>
            <w:tcW w:w="709" w:type="dxa"/>
          </w:tcPr>
          <w:p w14:paraId="2791D090" w14:textId="1D62F856"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{"citationItems":[{"id":"ITEM-1","itemData":{"ISSN":"1471-2393","abstract":"BACKGROUND: Research-informed fetal monitoring guidelines recommend intermittent auscultation (IA) for fetal heart monitoring for low-risk women. However, the use of cardiotocography (CTG) continues to dominate many institutional maternity settings. METHODS: A mixed methods intervention study with before and after measurement was undertaken in one secondary level health service to facilitate the implementation of an initiative to encourage the use of IA. The intervention initiative was a decision-making framework called Intelligent Structured Intermittent Auscultation (ISIA) introduced through an education session. RESULTS: Following the intervention, medical records review revealed an increase in the use of IA during labour represented by a relative change of 12%, with improved documentation of clinical findings from assessments, and a significant reduction in the risk of receiving an admission CTG (RR 0.75, 95% CI, 0.60-0.95, p=0.016). CONCLUSION: The ISIA informed decision-making framework transformed the practice of IA and provided a mechanism for knowledge translation that enabled midwives to implement evidence-based fetal heart monitoring for low risk women.","author":[{"dropping-particle":"","family":"Maude","given":"R M","non-dropping-particle":"","parse-names":false,"suffix":""},{"dropping-particle":"","family":"Skinner","given":"J P","non-dropping-particle":"","parse-names":false,"suffix":""},{"dropping-particle":"","family":"Foureur","given":"M J","non-dropping-particle":"","parse-names":false,"suffix":""}],"container-title":"BMC Pregnancy &amp; Childbirth","id":"ITEM-1","issued":{"date-parts":[["2014"]]},"page":"184","title":"Intelligent Structured Intermittent Auscultation (ISIA): evaluation of a decision-making framework for fetal heart monitoring of low-risk women","type":"article-journal","volume":"14"},"uris":["http://www.mendeley.com/documents/?uuid=70335232-dab5-4cb1-9af3-46fb9a837de8"]}],"mendeley":{"formattedCitation":"(154)","plainTextFormattedCitation":"(154)","previouslyFormattedCitation":"(154)"},"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(154)</w:t>
            </w:r>
            <w:r w:rsidRPr="00EC3E91">
              <w:rPr>
                <w:rFonts w:cstheme="minorHAnsi"/>
                <w:sz w:val="20"/>
                <w:szCs w:val="20"/>
                <w:lang w:val="en-US"/>
              </w:rPr>
              <w:fldChar w:fldCharType="end"/>
            </w:r>
          </w:p>
        </w:tc>
        <w:tc>
          <w:tcPr>
            <w:tcW w:w="992" w:type="dxa"/>
          </w:tcPr>
          <w:p w14:paraId="1FFAF829" w14:textId="38022F5E" w:rsidR="00FF4BD9" w:rsidRPr="00EC3E91" w:rsidRDefault="00FF4BD9" w:rsidP="009549DD">
            <w:pPr>
              <w:rPr>
                <w:rFonts w:cstheme="minorHAnsi"/>
                <w:sz w:val="20"/>
                <w:szCs w:val="20"/>
                <w:lang w:val="en-US"/>
              </w:rPr>
            </w:pPr>
            <w:r w:rsidRPr="00EC3E91">
              <w:rPr>
                <w:rFonts w:cstheme="minorHAnsi"/>
                <w:sz w:val="20"/>
                <w:szCs w:val="20"/>
                <w:lang w:val="en-US"/>
              </w:rPr>
              <w:t>New Zealand</w:t>
            </w:r>
          </w:p>
        </w:tc>
        <w:tc>
          <w:tcPr>
            <w:tcW w:w="993" w:type="dxa"/>
          </w:tcPr>
          <w:p w14:paraId="7A0EFA2F" w14:textId="58D027F6"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2BA0CD3E" w14:textId="0A73A852" w:rsidR="00FF4BD9" w:rsidRPr="00EC3E91" w:rsidRDefault="00FF4BD9" w:rsidP="009549DD">
            <w:pPr>
              <w:rPr>
                <w:rFonts w:cstheme="minorHAnsi"/>
                <w:sz w:val="20"/>
                <w:szCs w:val="20"/>
                <w:lang w:val="en-US"/>
              </w:rPr>
            </w:pPr>
            <w:r w:rsidRPr="00EC3E91">
              <w:rPr>
                <w:rFonts w:cstheme="minorHAnsi"/>
                <w:sz w:val="20"/>
                <w:szCs w:val="20"/>
                <w:lang w:val="en-US"/>
              </w:rPr>
              <w:t>Mixed Pre-post</w:t>
            </w:r>
          </w:p>
        </w:tc>
        <w:tc>
          <w:tcPr>
            <w:tcW w:w="851" w:type="dxa"/>
          </w:tcPr>
          <w:p w14:paraId="52EE9A37" w14:textId="4E4E5F2C"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269F0FE4" w14:textId="3BA934E7" w:rsidR="00FF4BD9" w:rsidRPr="00EC3E91" w:rsidRDefault="00FF4BD9" w:rsidP="009549DD">
            <w:pPr>
              <w:rPr>
                <w:rFonts w:cstheme="minorHAnsi"/>
                <w:sz w:val="20"/>
                <w:szCs w:val="20"/>
                <w:lang w:val="en-US"/>
              </w:rPr>
            </w:pPr>
            <w:r w:rsidRPr="00EC3E91">
              <w:rPr>
                <w:rFonts w:cstheme="minorHAnsi"/>
                <w:sz w:val="20"/>
                <w:szCs w:val="20"/>
                <w:lang w:val="en-US"/>
              </w:rPr>
              <w:t>Birth</w:t>
            </w:r>
          </w:p>
        </w:tc>
        <w:tc>
          <w:tcPr>
            <w:tcW w:w="2126" w:type="dxa"/>
          </w:tcPr>
          <w:p w14:paraId="6CABE81C" w14:textId="77777777" w:rsidR="00FF4BD9" w:rsidRPr="00EC3E91" w:rsidRDefault="00FF4BD9" w:rsidP="004D63CA">
            <w:pPr>
              <w:rPr>
                <w:rFonts w:cstheme="minorHAnsi"/>
                <w:sz w:val="20"/>
                <w:szCs w:val="20"/>
                <w:lang w:val="en-US"/>
              </w:rPr>
            </w:pPr>
            <w:r w:rsidRPr="00EC3E91">
              <w:rPr>
                <w:rFonts w:cstheme="minorHAnsi"/>
                <w:sz w:val="20"/>
                <w:szCs w:val="20"/>
                <w:lang w:val="en-US"/>
              </w:rPr>
              <w:t>The use of CTG monitoring, for assessment and</w:t>
            </w:r>
          </w:p>
          <w:p w14:paraId="19F465C6" w14:textId="77777777" w:rsidR="00FF4BD9" w:rsidRPr="00EC3E91" w:rsidRDefault="00FF4BD9" w:rsidP="004D63CA">
            <w:pPr>
              <w:rPr>
                <w:rFonts w:cstheme="minorHAnsi"/>
                <w:sz w:val="20"/>
                <w:szCs w:val="20"/>
                <w:lang w:val="en-US"/>
              </w:rPr>
            </w:pPr>
            <w:r w:rsidRPr="00EC3E91">
              <w:rPr>
                <w:rFonts w:cstheme="minorHAnsi"/>
                <w:sz w:val="20"/>
                <w:szCs w:val="20"/>
                <w:lang w:val="en-US"/>
              </w:rPr>
              <w:t>screening on admission to the maternity unit (admission</w:t>
            </w:r>
          </w:p>
          <w:p w14:paraId="3F31647C" w14:textId="4FF10A1C" w:rsidR="00FF4BD9" w:rsidRPr="00EC3E91" w:rsidRDefault="00FF4BD9" w:rsidP="004D63CA">
            <w:pPr>
              <w:rPr>
                <w:rFonts w:cstheme="minorHAnsi"/>
                <w:sz w:val="20"/>
                <w:szCs w:val="20"/>
                <w:lang w:val="en-US"/>
              </w:rPr>
            </w:pPr>
            <w:r w:rsidRPr="00EC3E91">
              <w:rPr>
                <w:rFonts w:cstheme="minorHAnsi"/>
                <w:sz w:val="20"/>
                <w:szCs w:val="20"/>
                <w:lang w:val="en-US"/>
              </w:rPr>
              <w:t>CTG)</w:t>
            </w:r>
          </w:p>
        </w:tc>
        <w:tc>
          <w:tcPr>
            <w:tcW w:w="3969" w:type="dxa"/>
          </w:tcPr>
          <w:p w14:paraId="6A6B20AD" w14:textId="77777777" w:rsidR="00FF4BD9" w:rsidRPr="00EC3E91" w:rsidRDefault="00FF4BD9" w:rsidP="004D63CA">
            <w:pPr>
              <w:rPr>
                <w:rFonts w:cstheme="minorHAnsi"/>
                <w:sz w:val="20"/>
                <w:szCs w:val="20"/>
                <w:lang w:val="en-US"/>
              </w:rPr>
            </w:pPr>
            <w:r w:rsidRPr="00EC3E91">
              <w:rPr>
                <w:rFonts w:cstheme="minorHAnsi"/>
                <w:sz w:val="20"/>
                <w:szCs w:val="20"/>
                <w:lang w:val="en-US"/>
              </w:rPr>
              <w:t>American College of Nurse-Midwives (ACNM): Intermittent auscultation for</w:t>
            </w:r>
          </w:p>
          <w:p w14:paraId="41C7184B" w14:textId="4FB6DBA0" w:rsidR="00FF4BD9" w:rsidRPr="00EC3E91" w:rsidRDefault="00FF4BD9" w:rsidP="00E45AA3">
            <w:pPr>
              <w:rPr>
                <w:rFonts w:cstheme="minorHAnsi"/>
                <w:sz w:val="20"/>
                <w:szCs w:val="20"/>
                <w:lang w:val="en-US"/>
              </w:rPr>
            </w:pPr>
            <w:r w:rsidRPr="00EC3E91">
              <w:rPr>
                <w:rFonts w:cstheme="minorHAnsi"/>
                <w:sz w:val="20"/>
                <w:szCs w:val="20"/>
                <w:lang w:val="en-US"/>
              </w:rPr>
              <w:t>intrapartum fetal heart rate surveillance</w:t>
            </w:r>
          </w:p>
          <w:p w14:paraId="0DFBDBD4" w14:textId="77777777" w:rsidR="00FF4BD9" w:rsidRPr="00EC3E91" w:rsidRDefault="00FF4BD9" w:rsidP="004D63CA">
            <w:pPr>
              <w:rPr>
                <w:rFonts w:cstheme="minorHAnsi"/>
                <w:sz w:val="20"/>
                <w:szCs w:val="20"/>
                <w:lang w:val="en-US"/>
              </w:rPr>
            </w:pPr>
          </w:p>
          <w:p w14:paraId="122CFAAF" w14:textId="77777777" w:rsidR="00FF4BD9" w:rsidRPr="00EC3E91" w:rsidRDefault="00FF4BD9" w:rsidP="004D63CA">
            <w:pPr>
              <w:rPr>
                <w:rFonts w:cstheme="minorHAnsi"/>
                <w:sz w:val="20"/>
                <w:szCs w:val="20"/>
                <w:lang w:val="en-US"/>
              </w:rPr>
            </w:pPr>
            <w:r w:rsidRPr="00EC3E91">
              <w:rPr>
                <w:rFonts w:cstheme="minorHAnsi"/>
                <w:sz w:val="20"/>
                <w:szCs w:val="20"/>
                <w:lang w:val="en-US"/>
              </w:rPr>
              <w:t>American College of Obstetricians &amp; Gynecologists (ACOG): Intrapartum</w:t>
            </w:r>
          </w:p>
          <w:p w14:paraId="3DB0B980" w14:textId="3514715A" w:rsidR="00FF4BD9" w:rsidRPr="00EC3E91" w:rsidRDefault="00FF4BD9" w:rsidP="00E45AA3">
            <w:pPr>
              <w:rPr>
                <w:rFonts w:cstheme="minorHAnsi"/>
                <w:sz w:val="20"/>
                <w:szCs w:val="20"/>
                <w:lang w:val="en-US"/>
              </w:rPr>
            </w:pPr>
            <w:r w:rsidRPr="00EC3E91">
              <w:rPr>
                <w:rFonts w:cstheme="minorHAnsi"/>
                <w:sz w:val="20"/>
                <w:szCs w:val="20"/>
                <w:lang w:val="en-US"/>
              </w:rPr>
              <w:t xml:space="preserve">fetal heart rate monitoring. Practice Bulletin. </w:t>
            </w:r>
          </w:p>
          <w:p w14:paraId="3FC93E63" w14:textId="77777777" w:rsidR="00FF4BD9" w:rsidRPr="00EC3E91" w:rsidRDefault="00FF4BD9" w:rsidP="004D63CA">
            <w:pPr>
              <w:rPr>
                <w:rFonts w:cstheme="minorHAnsi"/>
                <w:sz w:val="20"/>
                <w:szCs w:val="20"/>
                <w:lang w:val="en-US"/>
              </w:rPr>
            </w:pPr>
          </w:p>
          <w:p w14:paraId="7BE1BBA6" w14:textId="6BB5496E" w:rsidR="00FF4BD9" w:rsidRPr="00EC3E91" w:rsidRDefault="00FF4BD9" w:rsidP="004D63CA">
            <w:pPr>
              <w:rPr>
                <w:rFonts w:cstheme="minorHAnsi"/>
                <w:sz w:val="20"/>
                <w:szCs w:val="20"/>
                <w:lang w:val="en-US"/>
              </w:rPr>
            </w:pPr>
            <w:r w:rsidRPr="00EC3E91">
              <w:rPr>
                <w:rFonts w:cstheme="minorHAnsi"/>
                <w:sz w:val="20"/>
                <w:szCs w:val="20"/>
                <w:lang w:val="en-US"/>
              </w:rPr>
              <w:t>Intrapartum Care of Healthy Women and Their Babies During Childbirth, National Collaborating</w:t>
            </w:r>
          </w:p>
          <w:p w14:paraId="1DE8C924" w14:textId="451DBED9" w:rsidR="00FF4BD9" w:rsidRPr="00EC3E91" w:rsidRDefault="00FF4BD9" w:rsidP="004D63CA">
            <w:pPr>
              <w:rPr>
                <w:rFonts w:cstheme="minorHAnsi"/>
                <w:sz w:val="20"/>
                <w:szCs w:val="20"/>
                <w:lang w:val="en-US"/>
              </w:rPr>
            </w:pPr>
            <w:r w:rsidRPr="00EC3E91">
              <w:rPr>
                <w:rFonts w:cstheme="minorHAnsi"/>
                <w:sz w:val="20"/>
                <w:szCs w:val="20"/>
                <w:lang w:val="en-US"/>
              </w:rPr>
              <w:t xml:space="preserve">Centre for Women’s and Children’s Health. National Institute for Health and Care Excellence. </w:t>
            </w:r>
          </w:p>
          <w:p w14:paraId="06792B0B" w14:textId="77777777" w:rsidR="00FF4BD9" w:rsidRPr="00EC3E91" w:rsidRDefault="00FF4BD9" w:rsidP="004D63CA">
            <w:pPr>
              <w:rPr>
                <w:rFonts w:cstheme="minorHAnsi"/>
                <w:sz w:val="20"/>
                <w:szCs w:val="20"/>
                <w:lang w:val="en-US"/>
              </w:rPr>
            </w:pPr>
          </w:p>
          <w:p w14:paraId="71750AFA" w14:textId="77777777" w:rsidR="00FF4BD9" w:rsidRPr="00EC3E91" w:rsidRDefault="00FF4BD9" w:rsidP="004D63CA">
            <w:pPr>
              <w:rPr>
                <w:rFonts w:cstheme="minorHAnsi"/>
                <w:sz w:val="20"/>
                <w:szCs w:val="20"/>
                <w:lang w:val="en-US"/>
              </w:rPr>
            </w:pPr>
            <w:r w:rsidRPr="00EC3E91">
              <w:rPr>
                <w:rFonts w:cstheme="minorHAnsi"/>
                <w:sz w:val="20"/>
                <w:szCs w:val="20"/>
                <w:lang w:val="en-US"/>
              </w:rPr>
              <w:t>New Zealand College of Midwives (NZCOM): Foetal Monitoring in Labour,</w:t>
            </w:r>
          </w:p>
          <w:p w14:paraId="32330BB0" w14:textId="212F5563" w:rsidR="00FF4BD9" w:rsidRPr="00EC3E91" w:rsidRDefault="00FF4BD9" w:rsidP="004D63CA">
            <w:pPr>
              <w:rPr>
                <w:rFonts w:cstheme="minorHAnsi"/>
                <w:sz w:val="20"/>
                <w:szCs w:val="20"/>
                <w:lang w:val="en-US"/>
              </w:rPr>
            </w:pPr>
            <w:r w:rsidRPr="00EC3E91">
              <w:rPr>
                <w:rFonts w:cstheme="minorHAnsi"/>
                <w:sz w:val="20"/>
                <w:szCs w:val="20"/>
                <w:lang w:val="en-US"/>
              </w:rPr>
              <w:t xml:space="preserve">NZCOM Consensus Statement. </w:t>
            </w:r>
          </w:p>
          <w:p w14:paraId="6B5423F2" w14:textId="77777777" w:rsidR="00FF4BD9" w:rsidRPr="00EC3E91" w:rsidRDefault="00FF4BD9" w:rsidP="004D63CA">
            <w:pPr>
              <w:rPr>
                <w:rFonts w:cstheme="minorHAnsi"/>
                <w:sz w:val="20"/>
                <w:szCs w:val="20"/>
                <w:lang w:val="en-US"/>
              </w:rPr>
            </w:pPr>
          </w:p>
          <w:p w14:paraId="4653B71E" w14:textId="4B952766" w:rsidR="00FF4BD9" w:rsidRPr="00EC3E91" w:rsidRDefault="00FF4BD9" w:rsidP="00E45AA3">
            <w:pPr>
              <w:rPr>
                <w:rFonts w:cstheme="minorHAnsi"/>
                <w:sz w:val="20"/>
                <w:szCs w:val="20"/>
                <w:lang w:val="en-US"/>
              </w:rPr>
            </w:pPr>
            <w:r w:rsidRPr="00EC3E91">
              <w:rPr>
                <w:rFonts w:cstheme="minorHAnsi"/>
                <w:sz w:val="20"/>
                <w:szCs w:val="20"/>
                <w:lang w:val="en-US"/>
              </w:rPr>
              <w:t xml:space="preserve">MIDIRS: Informed Choice for Professionals - Fetal Heart Rate Monitoring in Labour. </w:t>
            </w:r>
          </w:p>
          <w:p w14:paraId="14A4D996" w14:textId="77777777" w:rsidR="00FF4BD9" w:rsidRPr="00EC3E91" w:rsidRDefault="00FF4BD9" w:rsidP="004D63CA">
            <w:pPr>
              <w:rPr>
                <w:rFonts w:cstheme="minorHAnsi"/>
                <w:sz w:val="20"/>
                <w:szCs w:val="20"/>
                <w:lang w:val="en-US"/>
              </w:rPr>
            </w:pPr>
          </w:p>
          <w:p w14:paraId="133C013F" w14:textId="77777777" w:rsidR="00FF4BD9" w:rsidRPr="00EC3E91" w:rsidRDefault="00FF4BD9" w:rsidP="004D63CA">
            <w:pPr>
              <w:rPr>
                <w:rFonts w:cstheme="minorHAnsi"/>
                <w:sz w:val="20"/>
                <w:szCs w:val="20"/>
                <w:lang w:val="en-US"/>
              </w:rPr>
            </w:pPr>
            <w:r w:rsidRPr="00EC3E91">
              <w:rPr>
                <w:rFonts w:cstheme="minorHAnsi"/>
                <w:sz w:val="20"/>
                <w:szCs w:val="20"/>
                <w:lang w:val="en-US"/>
              </w:rPr>
              <w:t>Royal Australian and New Zealand College of Obstetricians and</w:t>
            </w:r>
          </w:p>
          <w:p w14:paraId="64D8761B" w14:textId="34155D68" w:rsidR="00FF4BD9" w:rsidRPr="00EC3E91" w:rsidRDefault="00FF4BD9" w:rsidP="00E45AA3">
            <w:pPr>
              <w:rPr>
                <w:rFonts w:cstheme="minorHAnsi"/>
                <w:sz w:val="20"/>
                <w:szCs w:val="20"/>
                <w:lang w:val="en-US"/>
              </w:rPr>
            </w:pPr>
            <w:r w:rsidRPr="00EC3E91">
              <w:rPr>
                <w:rFonts w:cstheme="minorHAnsi"/>
                <w:sz w:val="20"/>
                <w:szCs w:val="20"/>
                <w:lang w:val="en-US"/>
              </w:rPr>
              <w:t>Gynaecologists (RANZCOG): Intrapartum Fetal Surveillance. Clinical Guidelines.</w:t>
            </w:r>
          </w:p>
          <w:p w14:paraId="5F37D5C8" w14:textId="77777777" w:rsidR="00FF4BD9" w:rsidRPr="00EC3E91" w:rsidRDefault="00FF4BD9" w:rsidP="004D63CA">
            <w:pPr>
              <w:rPr>
                <w:rFonts w:cstheme="minorHAnsi"/>
                <w:sz w:val="20"/>
                <w:szCs w:val="20"/>
                <w:lang w:val="en-US"/>
              </w:rPr>
            </w:pPr>
          </w:p>
          <w:p w14:paraId="7C113750" w14:textId="77777777" w:rsidR="00FF4BD9" w:rsidRPr="00EC3E91" w:rsidRDefault="00FF4BD9" w:rsidP="004D63CA">
            <w:pPr>
              <w:rPr>
                <w:rFonts w:cstheme="minorHAnsi"/>
                <w:sz w:val="20"/>
                <w:szCs w:val="20"/>
                <w:lang w:val="en-US"/>
              </w:rPr>
            </w:pPr>
            <w:r w:rsidRPr="00EC3E91">
              <w:rPr>
                <w:rFonts w:cstheme="minorHAnsi"/>
                <w:sz w:val="20"/>
                <w:szCs w:val="20"/>
                <w:lang w:val="en-US"/>
              </w:rPr>
              <w:t>Royal College of Midwives (RCM): Evidence Based Guidelines for Midwifery-Led</w:t>
            </w:r>
          </w:p>
          <w:p w14:paraId="3B83FA37" w14:textId="32AD2118" w:rsidR="00FF4BD9" w:rsidRPr="00EC3E91" w:rsidRDefault="00FF4BD9" w:rsidP="004D63CA">
            <w:pPr>
              <w:rPr>
                <w:rFonts w:cstheme="minorHAnsi"/>
                <w:sz w:val="20"/>
                <w:szCs w:val="20"/>
                <w:lang w:val="en-US"/>
              </w:rPr>
            </w:pPr>
            <w:r w:rsidRPr="00EC3E91">
              <w:rPr>
                <w:rFonts w:cstheme="minorHAnsi"/>
                <w:sz w:val="20"/>
                <w:szCs w:val="20"/>
                <w:lang w:val="en-US"/>
              </w:rPr>
              <w:t xml:space="preserve">Care in Labour. </w:t>
            </w:r>
          </w:p>
          <w:p w14:paraId="5122D716" w14:textId="77777777" w:rsidR="00FF4BD9" w:rsidRPr="00EC3E91" w:rsidRDefault="00FF4BD9" w:rsidP="004D63CA">
            <w:pPr>
              <w:rPr>
                <w:rFonts w:cstheme="minorHAnsi"/>
                <w:sz w:val="20"/>
                <w:szCs w:val="20"/>
                <w:lang w:val="en-US"/>
              </w:rPr>
            </w:pPr>
          </w:p>
          <w:p w14:paraId="40A24F4B" w14:textId="77777777" w:rsidR="00FF4BD9" w:rsidRPr="00EC3E91" w:rsidRDefault="00FF4BD9" w:rsidP="004D63CA">
            <w:pPr>
              <w:rPr>
                <w:rFonts w:cstheme="minorHAnsi"/>
                <w:sz w:val="20"/>
                <w:szCs w:val="20"/>
                <w:lang w:val="en-US"/>
              </w:rPr>
            </w:pPr>
            <w:r w:rsidRPr="00EC3E91">
              <w:rPr>
                <w:rFonts w:cstheme="minorHAnsi"/>
                <w:sz w:val="20"/>
                <w:szCs w:val="20"/>
                <w:lang w:val="en-US"/>
              </w:rPr>
              <w:t>Royal College of Obstetricians and Gynaecologists (RCOG): The Use of</w:t>
            </w:r>
          </w:p>
          <w:p w14:paraId="2DC8C418" w14:textId="77777777" w:rsidR="00FF4BD9" w:rsidRPr="00EC3E91" w:rsidRDefault="00FF4BD9" w:rsidP="004D63CA">
            <w:pPr>
              <w:rPr>
                <w:rFonts w:cstheme="minorHAnsi"/>
                <w:sz w:val="20"/>
                <w:szCs w:val="20"/>
                <w:lang w:val="en-US"/>
              </w:rPr>
            </w:pPr>
            <w:r w:rsidRPr="00EC3E91">
              <w:rPr>
                <w:rFonts w:cstheme="minorHAnsi"/>
                <w:sz w:val="20"/>
                <w:szCs w:val="20"/>
                <w:lang w:val="en-US"/>
              </w:rPr>
              <w:t>Electronic Fetal Monitoring. The Use &amp; Interpretation of Cardiotocography in</w:t>
            </w:r>
          </w:p>
          <w:p w14:paraId="64E8CDE6" w14:textId="6DAE640F" w:rsidR="00FF4BD9" w:rsidRPr="00EC3E91" w:rsidRDefault="003E560B" w:rsidP="00E45AA3">
            <w:pPr>
              <w:rPr>
                <w:rFonts w:cstheme="minorHAnsi"/>
                <w:sz w:val="20"/>
                <w:szCs w:val="20"/>
                <w:lang w:val="en-US"/>
              </w:rPr>
            </w:pPr>
            <w:r w:rsidRPr="00EC3E91">
              <w:rPr>
                <w:rFonts w:cstheme="minorHAnsi"/>
                <w:sz w:val="20"/>
                <w:szCs w:val="20"/>
                <w:lang w:val="en-US"/>
              </w:rPr>
              <w:t>Intrapartum</w:t>
            </w:r>
            <w:r w:rsidR="00FF4BD9" w:rsidRPr="00EC3E91">
              <w:rPr>
                <w:rFonts w:cstheme="minorHAnsi"/>
                <w:sz w:val="20"/>
                <w:szCs w:val="20"/>
                <w:lang w:val="en-US"/>
              </w:rPr>
              <w:t xml:space="preserve"> Fetal Surveillance, Evidenced-Based Clinical Guideline Number 8. </w:t>
            </w:r>
          </w:p>
        </w:tc>
        <w:tc>
          <w:tcPr>
            <w:tcW w:w="2551" w:type="dxa"/>
          </w:tcPr>
          <w:p w14:paraId="522FDD20" w14:textId="72A9BD2D" w:rsidR="00FF4BD9" w:rsidRPr="00EC3E91" w:rsidRDefault="00FF4BD9" w:rsidP="009549DD">
            <w:pPr>
              <w:rPr>
                <w:rFonts w:cstheme="minorHAnsi"/>
                <w:sz w:val="20"/>
                <w:szCs w:val="20"/>
                <w:lang w:val="en-US"/>
              </w:rPr>
            </w:pPr>
            <w:r w:rsidRPr="00EC3E91">
              <w:rPr>
                <w:rFonts w:cstheme="minorHAnsi"/>
                <w:sz w:val="20"/>
                <w:szCs w:val="20"/>
                <w:lang w:val="en-US"/>
              </w:rPr>
              <w:t>remind clinicians, make training dynamic, develop educational materials</w:t>
            </w:r>
          </w:p>
        </w:tc>
      </w:tr>
      <w:tr w:rsidR="00FF4BD9" w:rsidRPr="00E119DD" w14:paraId="1EFD03A3" w14:textId="77777777" w:rsidTr="00FF4BD9">
        <w:trPr>
          <w:tblHeader/>
        </w:trPr>
        <w:tc>
          <w:tcPr>
            <w:tcW w:w="709" w:type="dxa"/>
          </w:tcPr>
          <w:p w14:paraId="50E56FD7" w14:textId="76C60774" w:rsidR="00FF4BD9" w:rsidRPr="00EC3E91" w:rsidRDefault="00FF4BD9" w:rsidP="009549DD">
            <w:pPr>
              <w:rPr>
                <w:rFonts w:cstheme="minorHAnsi"/>
                <w:sz w:val="20"/>
                <w:szCs w:val="20"/>
                <w:lang w:val="en-US"/>
              </w:rPr>
            </w:pPr>
            <w:r w:rsidRPr="00EC3E91">
              <w:rPr>
                <w:rFonts w:cstheme="minorHAnsi"/>
                <w:sz w:val="20"/>
                <w:szCs w:val="20"/>
                <w:lang w:val="en-US"/>
              </w:rPr>
              <w:lastRenderedPageBreak/>
              <w:fldChar w:fldCharType="begin" w:fldLock="1"/>
            </w:r>
            <w:r w:rsidR="00984D1B" w:rsidRPr="00EC3E91">
              <w:rPr>
                <w:rFonts w:cstheme="minorHAnsi"/>
                <w:sz w:val="20"/>
                <w:szCs w:val="20"/>
                <w:lang w:val="en-US"/>
              </w:rPr>
              <w:instrText>ADDIN CSL_CITATION {"citationItems":[{"id":"ITEM-1","itemData":{"abstract":"BACKGROUND: A number of policy and labeling interventions aimed at reducing inappropriate prescribing of erythropoiesis-stimulating agents (ESAs) were implemented in the U.S. between 2006 and 2010. These interventions included the addition of an FDA Black Box Warning to ESA labeling, the implementation of a Risk Evaluation and Mitigation Strategy program, and the adoption of payment restrictions by the Centers for Medicare and Medicaid Services (CMS). The impact of these safety interventions on different types of ESA prescribing (on-label, off-label; evidence-based, not evidence-based) has not been investigated in a single study. OBJECTIVES: The objective of this study was to explore the prescribing patterns of ESAs for on- and off-label indications in the U.S. hospital inpatients during the period of major policy and labeling changes. METHODS: A retrospective analysis of ESAs utilization patterns was conducted using Cerner Health Facts database from January 1, 2005 to June 30, 2011. The study population consisted of adult patients admitted to hospitals during the study period who received at least one ESAs order. Indications for ESA use were assigned based on ICD-9 CM diagnosis codes, procedure codes, and medication records. ESA use was then classified based on FDA-approval and the strength of scientific evidence supporting its use. Indication categories included (1) on-label use (ONS); (2) off-label use, supported (OFS); and (3) off-label use, unsupported (OFU). Descriptive statistics were used to examine ESA use by patient, hospital, and physician characteristics and over time. RESULTS: ESAs were most frequently prescribed for ONS (48.7%), followed by OFU (42.7%) and OFS indications (8.6%). Of all off-label use, 83.2% were for unsupported indications. Between 2005 and 2010, the percent of inpatient visits with ESA use decreased for supported indications, both on-label (-63.2%) and off-label (-78.2%), but increased for unsupported indications (80%). OFU use surpassed ONS use as the most common type of ESA use in 2009. CONCLUSIONS: Total and ONS ESA use decreased markedly, while OFU ESA use continued to increase during the period of major policy and labeling changes.","author":[{"dropping-particle":"","family":"Seetasith","given":"A","non-dropping-particle":"","parse-names":false,"suffix":""},{"dropping-particle":"","family":"Holdford","given":"D","non-dropping-particle":"","parse-names":false,"suffix":""},{"dropping-particle":"","family":"Shah","given":"A","non-dropping-particle":"","parse-names":false,"suffix":""},{"dropping-particle":"","family":"Patterson","given":"J","non-dropping-particle":"","parse-names":false,"suffix":""}],"container-title":"Research In Social &amp; Administrative Pharmacy","id":"ITEM-1","issue":"4","issued":{"date-parts":[["2017"]]},"page":"778-788","title":"On-label and off-label prescribing patterns of erythropoiesis-stimulating agents in inpatient hospital settings in the US during the period of major regulatory changes","type":"article-journal","volume":"13"},"uris":["http://www.mendeley.com/documents/?uuid=cabfc00f-9b7e-4c5d-85fc-6af31a060a9f"]}],"mendeley":{"formattedCitation":"(155)","plainTextFormattedCitation":"(155)","previouslyFormattedCitation":"(155)"},"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(155)</w:t>
            </w:r>
            <w:r w:rsidRPr="00EC3E91">
              <w:rPr>
                <w:rFonts w:cstheme="minorHAnsi"/>
                <w:sz w:val="20"/>
                <w:szCs w:val="20"/>
                <w:lang w:val="en-US"/>
              </w:rPr>
              <w:fldChar w:fldCharType="end"/>
            </w:r>
          </w:p>
        </w:tc>
        <w:tc>
          <w:tcPr>
            <w:tcW w:w="992" w:type="dxa"/>
          </w:tcPr>
          <w:p w14:paraId="0D006A45" w14:textId="2F3959CF" w:rsidR="00FF4BD9" w:rsidRPr="00EC3E91" w:rsidRDefault="00FF4BD9" w:rsidP="009549DD">
            <w:pPr>
              <w:rPr>
                <w:rFonts w:cstheme="minorHAnsi"/>
                <w:sz w:val="20"/>
                <w:szCs w:val="20"/>
                <w:lang w:val="en-US"/>
              </w:rPr>
            </w:pPr>
            <w:r w:rsidRPr="00EC3E91">
              <w:rPr>
                <w:rFonts w:cstheme="minorHAnsi"/>
                <w:sz w:val="20"/>
                <w:szCs w:val="20"/>
                <w:lang w:val="en-US"/>
              </w:rPr>
              <w:t xml:space="preserve">US </w:t>
            </w:r>
          </w:p>
        </w:tc>
        <w:tc>
          <w:tcPr>
            <w:tcW w:w="993" w:type="dxa"/>
          </w:tcPr>
          <w:p w14:paraId="63F98067" w14:textId="416430FE"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75BFD71E" w14:textId="7AD706A2" w:rsidR="00FF4BD9" w:rsidRPr="00EC3E91" w:rsidRDefault="00FF4BD9" w:rsidP="009549DD">
            <w:pPr>
              <w:rPr>
                <w:rFonts w:cstheme="minorHAnsi"/>
                <w:sz w:val="20"/>
                <w:szCs w:val="20"/>
                <w:lang w:val="en-US"/>
              </w:rPr>
            </w:pPr>
            <w:r w:rsidRPr="00EC3E91">
              <w:rPr>
                <w:rFonts w:cstheme="minorHAnsi"/>
                <w:sz w:val="20"/>
                <w:szCs w:val="20"/>
                <w:lang w:val="en-US"/>
              </w:rPr>
              <w:t>Quant Cohort</w:t>
            </w:r>
          </w:p>
        </w:tc>
        <w:tc>
          <w:tcPr>
            <w:tcW w:w="851" w:type="dxa"/>
          </w:tcPr>
          <w:p w14:paraId="5BAC82B9" w14:textId="76988ED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041FD18C" w14:textId="359AD031" w:rsidR="00FF4BD9" w:rsidRPr="00EC3E91" w:rsidRDefault="00FF4BD9" w:rsidP="009549DD">
            <w:pPr>
              <w:rPr>
                <w:rFonts w:cstheme="minorHAnsi"/>
                <w:sz w:val="20"/>
                <w:szCs w:val="20"/>
                <w:lang w:val="en-US"/>
              </w:rPr>
            </w:pPr>
            <w:r w:rsidRPr="00EC3E91">
              <w:rPr>
                <w:rFonts w:cstheme="minorHAnsi"/>
                <w:sz w:val="20"/>
                <w:szCs w:val="20"/>
                <w:lang w:val="en-US"/>
              </w:rPr>
              <w:t>ESAs</w:t>
            </w:r>
          </w:p>
        </w:tc>
        <w:tc>
          <w:tcPr>
            <w:tcW w:w="2126" w:type="dxa"/>
          </w:tcPr>
          <w:p w14:paraId="6B6CD7AA" w14:textId="2ABE685D" w:rsidR="00FF4BD9" w:rsidRPr="00EC3E91" w:rsidRDefault="00FF4BD9" w:rsidP="004D63CA">
            <w:pPr>
              <w:rPr>
                <w:rFonts w:cstheme="minorHAnsi"/>
                <w:sz w:val="20"/>
                <w:szCs w:val="20"/>
                <w:lang w:val="en-US"/>
              </w:rPr>
            </w:pPr>
            <w:r w:rsidRPr="00EC3E91">
              <w:rPr>
                <w:rFonts w:cstheme="minorHAnsi"/>
                <w:sz w:val="20"/>
                <w:szCs w:val="20"/>
                <w:lang w:val="en-US"/>
              </w:rPr>
              <w:t>Inappropriate use of</w:t>
            </w:r>
          </w:p>
          <w:p w14:paraId="53B68F45" w14:textId="499A7A10" w:rsidR="00FF4BD9" w:rsidRPr="00EC3E91" w:rsidRDefault="00FF4BD9" w:rsidP="004D63CA">
            <w:pPr>
              <w:rPr>
                <w:rFonts w:cstheme="minorHAnsi"/>
                <w:sz w:val="20"/>
                <w:szCs w:val="20"/>
                <w:lang w:val="en-US"/>
              </w:rPr>
            </w:pPr>
            <w:r w:rsidRPr="00EC3E91">
              <w:rPr>
                <w:rFonts w:cstheme="minorHAnsi"/>
                <w:sz w:val="20"/>
                <w:szCs w:val="20"/>
                <w:lang w:val="en-US"/>
              </w:rPr>
              <w:t>erythropoiesis-stimulating agents (ESAs).</w:t>
            </w:r>
          </w:p>
        </w:tc>
        <w:tc>
          <w:tcPr>
            <w:tcW w:w="3969" w:type="dxa"/>
          </w:tcPr>
          <w:p w14:paraId="05F1650A" w14:textId="03E60F47" w:rsidR="00FF4BD9" w:rsidRPr="00EC3E91" w:rsidRDefault="00FF4BD9" w:rsidP="004D63CA">
            <w:pPr>
              <w:rPr>
                <w:rFonts w:cstheme="minorHAnsi"/>
                <w:sz w:val="20"/>
                <w:szCs w:val="20"/>
                <w:lang w:val="en-US"/>
              </w:rPr>
            </w:pPr>
            <w:r w:rsidRPr="00EC3E91">
              <w:rPr>
                <w:rFonts w:cstheme="minorHAnsi"/>
                <w:sz w:val="20"/>
                <w:szCs w:val="20"/>
                <w:lang w:val="en-US"/>
              </w:rPr>
              <w:t>Healthcare Series MICROMEDEX. MICROME DEX Healthcare Series. Greenwood Village, Colo:</w:t>
            </w:r>
          </w:p>
          <w:p w14:paraId="1DA338BD" w14:textId="18BDEE00" w:rsidR="00FF4BD9" w:rsidRPr="00EC3E91" w:rsidRDefault="00FF4BD9" w:rsidP="004D63CA">
            <w:pPr>
              <w:rPr>
                <w:rFonts w:cstheme="minorHAnsi"/>
                <w:sz w:val="20"/>
                <w:szCs w:val="20"/>
                <w:lang w:val="en-US"/>
              </w:rPr>
            </w:pPr>
            <w:r w:rsidRPr="00EC3E91">
              <w:rPr>
                <w:rFonts w:cstheme="minorHAnsi"/>
                <w:sz w:val="20"/>
                <w:szCs w:val="20"/>
                <w:lang w:val="en-US"/>
              </w:rPr>
              <w:t>MICROMEDEX; 2011.</w:t>
            </w:r>
          </w:p>
        </w:tc>
        <w:tc>
          <w:tcPr>
            <w:tcW w:w="2551" w:type="dxa"/>
          </w:tcPr>
          <w:p w14:paraId="19C46901" w14:textId="346F3294" w:rsidR="00FF4BD9" w:rsidRPr="00EC3E91" w:rsidRDefault="00FF4BD9" w:rsidP="009549DD">
            <w:pPr>
              <w:rPr>
                <w:rFonts w:cstheme="minorHAnsi"/>
                <w:sz w:val="20"/>
                <w:szCs w:val="20"/>
                <w:lang w:val="en-US"/>
              </w:rPr>
            </w:pPr>
            <w:r w:rsidRPr="00EC3E91">
              <w:rPr>
                <w:rFonts w:cstheme="minorHAnsi"/>
                <w:sz w:val="20"/>
                <w:szCs w:val="20"/>
                <w:lang w:val="en-US"/>
              </w:rPr>
              <w:t xml:space="preserve">develop educational material, [BLACK BOX WARNING], use other payment schemes,  </w:t>
            </w:r>
          </w:p>
        </w:tc>
      </w:tr>
      <w:tr w:rsidR="00FF4BD9" w:rsidRPr="00E119DD" w14:paraId="50DBD356" w14:textId="77777777" w:rsidTr="00FF4BD9">
        <w:trPr>
          <w:tblHeader/>
        </w:trPr>
        <w:tc>
          <w:tcPr>
            <w:tcW w:w="709" w:type="dxa"/>
          </w:tcPr>
          <w:p w14:paraId="6B814780" w14:textId="246274E1"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{"citationItems":[{"id":"ITEM-1","itemData":{"abstract":"Behavioral and psychological symptoms of dementia (BPSD) represent the most common off-label use for antipsychotic medications. We implemented a quality improvement program using principles of culture change transformation for the staff and residents of a nursing home dementia unit with a goal of transitioning to a person-centered model and reducing the proportion of residents receiving antipsychotic medications with off-label indications. Staff members' perceptions regarding the effects of the interventions were assessed through surveys. Of 39 residents living on the unit during the intervention and evaluation period, 94% (n=37) were women, 54% white, and 46% black. The mean age was 85.6 years. All residents had a diagnosis of dementia with BPSD documented in 62% (n=24). The proportion of residents receiving antipsychotic medication use was reduced from 18% to 5% (P = .009) with a concomitant reduction in sedative and anxiolytic use in the 3 months following implementation. Staff perceived a significant improvement in residents' sleep quality and level of interaction. Certified nurse assistants reported they had a more significant role in the care of the residents.","author":[{"dropping-particle":"","family":"Tawiah","given":"P","non-dropping-particle":"","parse-names":false,"suffix":""},{"dropping-particle":"","family":"Black","given":"M","non-dropping-particle":"","parse-names":false,"suffix":""},{"dropping-particle":"","family":"Scott-Walker","given":"M","non-dropping-particle":"","parse-names":false,"suffix":""},{"dropping-particle":"","family":"Johnson","given":"E","non-dropping-particle":"","parse-names":false,"suffix":""},{"dropping-particle":"","family":"Vaughan","given":"C P","non-dropping-particle":"","parse-names":false,"suffix":""}],"container-title":"Annals of Long-Term Care","id":"ITEM-1","issue":"10","issued":{"date-parts":[["2016"]]},"note":"L618947081 2017-10-31 2017-11-14\nCited By :1 Export Date: 3 December 2018","page":"27-32","title":"Reducing antipsychotic use through culture change: An interdisciplinary effort","type":"article-journal","volume":"24"},"uris":["http://www.mendeley.com/documents/?uuid=202d9686-b8da-4e20-8aa8-a7bf19015e74"]}],"mendeley":{"formattedCitation":"(156)","plainTextFormattedCitation":"(156)","previouslyFormattedCitation":"(156)"},"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(156)</w:t>
            </w:r>
            <w:r w:rsidRPr="00EC3E91">
              <w:rPr>
                <w:rFonts w:cstheme="minorHAnsi"/>
                <w:sz w:val="20"/>
                <w:szCs w:val="20"/>
                <w:lang w:val="en-US"/>
              </w:rPr>
              <w:fldChar w:fldCharType="end"/>
            </w:r>
          </w:p>
        </w:tc>
        <w:tc>
          <w:tcPr>
            <w:tcW w:w="992" w:type="dxa"/>
          </w:tcPr>
          <w:p w14:paraId="59A0D7AF" w14:textId="2C87962F"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0A7F3ADB" w14:textId="1F198B87" w:rsidR="00FF4BD9" w:rsidRPr="00EC3E91" w:rsidRDefault="00FF4BD9" w:rsidP="009549DD">
            <w:pPr>
              <w:rPr>
                <w:rFonts w:cstheme="minorHAnsi"/>
                <w:sz w:val="20"/>
                <w:szCs w:val="20"/>
                <w:lang w:val="en-US"/>
              </w:rPr>
            </w:pPr>
            <w:r w:rsidRPr="00EC3E91">
              <w:rPr>
                <w:rFonts w:cstheme="minorHAnsi"/>
                <w:sz w:val="20"/>
                <w:szCs w:val="20"/>
                <w:lang w:val="en-US"/>
              </w:rPr>
              <w:t>Aged Care</w:t>
            </w:r>
          </w:p>
        </w:tc>
        <w:tc>
          <w:tcPr>
            <w:tcW w:w="850" w:type="dxa"/>
          </w:tcPr>
          <w:p w14:paraId="4E0194B6" w14:textId="0D8A3555" w:rsidR="00FF4BD9" w:rsidRPr="00EC3E91" w:rsidRDefault="00FF4BD9" w:rsidP="009549DD">
            <w:pPr>
              <w:rPr>
                <w:rFonts w:cstheme="minorHAnsi"/>
                <w:sz w:val="20"/>
                <w:szCs w:val="20"/>
                <w:lang w:val="en-US"/>
              </w:rPr>
            </w:pPr>
            <w:r w:rsidRPr="00EC3E91">
              <w:rPr>
                <w:rFonts w:cstheme="minorHAnsi"/>
                <w:sz w:val="20"/>
                <w:szCs w:val="20"/>
                <w:lang w:val="en-US"/>
              </w:rPr>
              <w:t>Quant Pre-post</w:t>
            </w:r>
          </w:p>
        </w:tc>
        <w:tc>
          <w:tcPr>
            <w:tcW w:w="851" w:type="dxa"/>
          </w:tcPr>
          <w:p w14:paraId="2DB2E9F4" w14:textId="6829417F"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43C5F554" w14:textId="0EA0D6BA" w:rsidR="00FF4BD9" w:rsidRPr="00EC3E91" w:rsidRDefault="00FF4BD9" w:rsidP="009549DD">
            <w:pPr>
              <w:rPr>
                <w:rFonts w:cstheme="minorHAnsi"/>
                <w:sz w:val="20"/>
                <w:szCs w:val="20"/>
                <w:lang w:val="en-US"/>
              </w:rPr>
            </w:pPr>
            <w:r w:rsidRPr="00EC3E91">
              <w:rPr>
                <w:rFonts w:cstheme="minorHAnsi"/>
                <w:sz w:val="20"/>
                <w:szCs w:val="20"/>
                <w:lang w:val="en-US"/>
              </w:rPr>
              <w:t>Antipsychotics</w:t>
            </w:r>
          </w:p>
        </w:tc>
        <w:tc>
          <w:tcPr>
            <w:tcW w:w="2126" w:type="dxa"/>
          </w:tcPr>
          <w:p w14:paraId="1C61807E" w14:textId="2A242122" w:rsidR="00FF4BD9" w:rsidRPr="00EC3E91" w:rsidRDefault="00FF4BD9" w:rsidP="009549DD">
            <w:pPr>
              <w:rPr>
                <w:rFonts w:cstheme="minorHAnsi"/>
                <w:sz w:val="20"/>
                <w:szCs w:val="20"/>
                <w:lang w:val="en-US"/>
              </w:rPr>
            </w:pPr>
            <w:r w:rsidRPr="00EC3E91">
              <w:rPr>
                <w:rFonts w:cstheme="minorHAnsi"/>
                <w:sz w:val="20"/>
                <w:szCs w:val="20"/>
                <w:lang w:val="en-US"/>
              </w:rPr>
              <w:t>Inappropriate use of antipsychotic medications in the nursing home</w:t>
            </w:r>
          </w:p>
        </w:tc>
        <w:tc>
          <w:tcPr>
            <w:tcW w:w="3969" w:type="dxa"/>
          </w:tcPr>
          <w:p w14:paraId="638B279B" w14:textId="2BE4C999" w:rsidR="00FF4BD9" w:rsidRPr="00EC3E91" w:rsidRDefault="00FF4BD9" w:rsidP="00E45AA3">
            <w:pPr>
              <w:rPr>
                <w:rFonts w:cstheme="minorHAnsi"/>
                <w:sz w:val="20"/>
                <w:szCs w:val="20"/>
                <w:lang w:val="en-US"/>
              </w:rPr>
            </w:pPr>
            <w:r w:rsidRPr="00EC3E91">
              <w:rPr>
                <w:rFonts w:cstheme="minorHAnsi"/>
                <w:sz w:val="20"/>
                <w:szCs w:val="20"/>
                <w:lang w:val="en-US"/>
              </w:rPr>
              <w:t xml:space="preserve">Centers for Medicare and Medicaid Services. National Partnership to improve dementia care in nursing homes. </w:t>
            </w:r>
          </w:p>
        </w:tc>
        <w:tc>
          <w:tcPr>
            <w:tcW w:w="2551" w:type="dxa"/>
          </w:tcPr>
          <w:p w14:paraId="6C7B4A3C" w14:textId="3D872D0C" w:rsidR="00FF4BD9" w:rsidRPr="00EC3E91" w:rsidRDefault="00FF4BD9" w:rsidP="009549DD">
            <w:pPr>
              <w:rPr>
                <w:rFonts w:cstheme="minorHAnsi"/>
                <w:sz w:val="20"/>
                <w:szCs w:val="20"/>
                <w:lang w:val="en-US"/>
              </w:rPr>
            </w:pPr>
            <w:r w:rsidRPr="00EC3E91">
              <w:rPr>
                <w:rFonts w:cstheme="minorHAnsi"/>
                <w:sz w:val="20"/>
                <w:szCs w:val="20"/>
                <w:lang w:val="en-US"/>
              </w:rPr>
              <w:t>Assess and redesign workflow, revise professional roles, develop educational materials</w:t>
            </w:r>
          </w:p>
        </w:tc>
      </w:tr>
      <w:tr w:rsidR="00FF4BD9" w:rsidRPr="00E119DD" w14:paraId="1479795D" w14:textId="77777777" w:rsidTr="00FF4BD9">
        <w:trPr>
          <w:tblHeader/>
        </w:trPr>
        <w:tc>
          <w:tcPr>
            <w:tcW w:w="709" w:type="dxa"/>
          </w:tcPr>
          <w:p w14:paraId="1C4767AE" w14:textId="328E70AE" w:rsidR="00FF4BD9" w:rsidRPr="00EC3E91" w:rsidRDefault="00FF4BD9" w:rsidP="009549DD">
            <w:pPr>
              <w:rPr>
                <w:rFonts w:cstheme="minorHAnsi"/>
                <w:sz w:val="20"/>
                <w:szCs w:val="20"/>
                <w:lang w:val="en-US"/>
              </w:rPr>
            </w:pPr>
            <w:r w:rsidRPr="00EC3E91">
              <w:rPr>
                <w:rFonts w:cstheme="minorHAnsi"/>
                <w:sz w:val="20"/>
                <w:szCs w:val="20"/>
                <w:lang w:val="en-US"/>
              </w:rPr>
              <w:fldChar w:fldCharType="begin" w:fldLock="1"/>
            </w:r>
            <w:r w:rsidR="00984D1B" w:rsidRPr="00EC3E91">
              <w:rPr>
                <w:rFonts w:cstheme="minorHAnsi"/>
                <w:sz w:val="20"/>
                <w:szCs w:val="20"/>
                <w:lang w:val="en-US"/>
              </w:rPr>
              <w:instrText>ADDIN CSL_CITATION {"citationItems":[{"id":"ITEM-1","itemData":{"abstract":"BACKGROUND: Overutilization of stress ulcer prophylaxis (SUP) in the intensive care unit (ICU) is common. Acid-suppressive therapies routinely used for SUP are best reserved for patients with greatest risk of clinically important bleeding as they have been associated with nosocomial pneumonia, Clostridium difficile infection and increased hospital cost. OBJECTIVE: The primary objective was to reduce inappropriate utilization of SUP in 2 adult medical and surgical ICU settings at the University of California, San Francisco Medical Center. Secondary objectives included reduction of inappropriate continuation of SUP at ICU and hospital discharge. METHODS: To attain the study objective, an interprofessional team developed a bundled quality improvement initiative, including an institution SUP guideline, pharmacist-led intervention, and an education and awareness campaign. To assess the impact of these interventions, we conducted a retrospective cohort study comparing data on prescribing practices at baseline before and after the intervention. Since computerized prescriber order entry (CPOE) was implemented during this time frame, preintervention data collection consisted of 2 periods, one before and one after CPOE implementation. RESULTS: The incidence of the inappropriate use of SUP was not significantly different between the pre-CPOE and post-CPOE groups (20 and 19 per 100 patient-days, respectively; P = .88), but the incidence of inappropriate use of SUP was significantly lower in the postintervention group versus the post-CPOE group (9 and 19 per 100 patient-days, respectively; P = .03). At ICU discharge, 4% of patients in the post-intervention group were discharged inappropriately on SUP compared with 8% in the post-CPOE group (P = .54). At hospital discharge, none of the patients in the postintervention group were discharged inappropriately on SUP compared with 7% in the post-CPOE group (P = .22). CONCLUSIONS: Implementation of an interprofessional bundled quality improvement initiative is effective in decreasing inappropriate use of SUP in adult medical and surgical ICUs at a university-affiliated, tertiary care academic medical center.","author":[{"dropping-particle":"","family":"Tasaka","given":"C L","non-dropping-particle":"","parse-names":false,"suffix":""},{"dropping-particle":"","family":"Burg","given":"C","non-dropping-particle":"","parse-names":false,"suffix":""},{"dropping-particle":"","family":"VanOsdol","given":"S J","non-dropping-particle":"","parse-names":false,"suffix":""},{"dropping-particle":"","family":"Bekeart","given":"L","non-dropping-particle":"","parse-names":false,"suffix":""},{"dropping-particle":"","family":"Anglemyer","given":"A","non-dropping-particle":"","parse-names":false,"suffix":""},{"dropping-particle":"","family":"Tsourounis","given":"C","non-dropping-particle":"","parse-names":false,"suffix":""},{"dropping-particle":"","family":"Rennke","given":"S","non-dropping-particle":"","parse-names":false,"suffix":""}],"container-title":"Annals of Pharmacotherapy","id":"ITEM-1","issue":"4","issued":{"date-parts":[["2014"]]},"page":"462-469","title":"An interprofessional approach to reducing the overutilization of stress ulcer prophylaxis in adult medical and surgical intensive care units","type":"article-journal","volume":"48"},"uris":["http://www.mendeley.com/documents/?uuid=18c5cdf7-1315-49b5-8ab8-530ab1047d3b"]}],"mendeley":{"formattedCitation":"(157)","plainTextFormattedCitation":"(157)","previouslyFormattedCitation":"(157)"},"properties":{"noteIndex":0},"schema":"https://github.com/citation-style-language/schema/raw/master/csl-citation.json"}</w:instrText>
            </w:r>
            <w:r w:rsidRPr="00EC3E91">
              <w:rPr>
                <w:rFonts w:cstheme="minorHAnsi"/>
                <w:sz w:val="20"/>
                <w:szCs w:val="20"/>
                <w:lang w:val="en-US"/>
              </w:rPr>
              <w:fldChar w:fldCharType="separate"/>
            </w:r>
            <w:r w:rsidRPr="00EC3E91">
              <w:rPr>
                <w:rFonts w:cstheme="minorHAnsi"/>
                <w:noProof/>
                <w:sz w:val="20"/>
                <w:szCs w:val="20"/>
                <w:lang w:val="en-US"/>
              </w:rPr>
              <w:t>(157)</w:t>
            </w:r>
            <w:r w:rsidRPr="00EC3E91">
              <w:rPr>
                <w:rFonts w:cstheme="minorHAnsi"/>
                <w:sz w:val="20"/>
                <w:szCs w:val="20"/>
                <w:lang w:val="en-US"/>
              </w:rPr>
              <w:fldChar w:fldCharType="end"/>
            </w:r>
          </w:p>
        </w:tc>
        <w:tc>
          <w:tcPr>
            <w:tcW w:w="992" w:type="dxa"/>
          </w:tcPr>
          <w:p w14:paraId="7A614517" w14:textId="5557BE47" w:rsidR="00FF4BD9" w:rsidRPr="00EC3E91" w:rsidRDefault="00FF4BD9" w:rsidP="009549DD">
            <w:pPr>
              <w:rPr>
                <w:rFonts w:cstheme="minorHAnsi"/>
                <w:sz w:val="20"/>
                <w:szCs w:val="20"/>
                <w:lang w:val="en-US"/>
              </w:rPr>
            </w:pPr>
            <w:r w:rsidRPr="00EC3E91">
              <w:rPr>
                <w:rFonts w:cstheme="minorHAnsi"/>
                <w:sz w:val="20"/>
                <w:szCs w:val="20"/>
                <w:lang w:val="en-US"/>
              </w:rPr>
              <w:t>US</w:t>
            </w:r>
          </w:p>
        </w:tc>
        <w:tc>
          <w:tcPr>
            <w:tcW w:w="993" w:type="dxa"/>
          </w:tcPr>
          <w:p w14:paraId="00A47D1E" w14:textId="07F1AD37" w:rsidR="00FF4BD9" w:rsidRPr="00EC3E91" w:rsidRDefault="00FF4BD9" w:rsidP="009549DD">
            <w:pPr>
              <w:rPr>
                <w:rFonts w:cstheme="minorHAnsi"/>
                <w:sz w:val="20"/>
                <w:szCs w:val="20"/>
                <w:lang w:val="en-US"/>
              </w:rPr>
            </w:pPr>
            <w:r w:rsidRPr="00EC3E91">
              <w:rPr>
                <w:rFonts w:cstheme="minorHAnsi"/>
                <w:sz w:val="20"/>
                <w:szCs w:val="20"/>
                <w:lang w:val="en-US"/>
              </w:rPr>
              <w:t>Hospital</w:t>
            </w:r>
          </w:p>
        </w:tc>
        <w:tc>
          <w:tcPr>
            <w:tcW w:w="850" w:type="dxa"/>
          </w:tcPr>
          <w:p w14:paraId="4160A1D1" w14:textId="25ABEBD2" w:rsidR="00FF4BD9" w:rsidRPr="00EC3E91" w:rsidRDefault="00FF4BD9" w:rsidP="009549DD">
            <w:pPr>
              <w:rPr>
                <w:rFonts w:cstheme="minorHAnsi"/>
                <w:sz w:val="20"/>
                <w:szCs w:val="20"/>
                <w:lang w:val="en-US"/>
              </w:rPr>
            </w:pPr>
            <w:r w:rsidRPr="00EC3E91">
              <w:rPr>
                <w:rFonts w:cstheme="minorHAnsi"/>
                <w:sz w:val="20"/>
                <w:szCs w:val="20"/>
                <w:lang w:val="en-US"/>
              </w:rPr>
              <w:t>Quant Cohort</w:t>
            </w:r>
          </w:p>
        </w:tc>
        <w:tc>
          <w:tcPr>
            <w:tcW w:w="851" w:type="dxa"/>
          </w:tcPr>
          <w:p w14:paraId="332CB86D" w14:textId="6C29FE84" w:rsidR="00FF4BD9" w:rsidRPr="00EC3E91" w:rsidRDefault="00FF4BD9" w:rsidP="009549DD">
            <w:pPr>
              <w:rPr>
                <w:rFonts w:cstheme="minorHAnsi"/>
                <w:sz w:val="20"/>
                <w:szCs w:val="20"/>
                <w:lang w:val="en-US"/>
              </w:rPr>
            </w:pPr>
            <w:r w:rsidRPr="00EC3E91">
              <w:rPr>
                <w:rFonts w:cstheme="minorHAnsi"/>
                <w:sz w:val="20"/>
                <w:szCs w:val="20"/>
                <w:lang w:val="en-US"/>
              </w:rPr>
              <w:t>Efficacy/Effectiveness</w:t>
            </w:r>
          </w:p>
        </w:tc>
        <w:tc>
          <w:tcPr>
            <w:tcW w:w="1134" w:type="dxa"/>
          </w:tcPr>
          <w:p w14:paraId="55AC094F" w14:textId="784B18CE" w:rsidR="00FF4BD9" w:rsidRPr="00EC3E91" w:rsidRDefault="00FF4BD9" w:rsidP="009549DD">
            <w:pPr>
              <w:rPr>
                <w:rFonts w:cstheme="minorHAnsi"/>
                <w:sz w:val="20"/>
                <w:szCs w:val="20"/>
                <w:lang w:val="en-US"/>
              </w:rPr>
            </w:pPr>
            <w:r w:rsidRPr="00EC3E91">
              <w:rPr>
                <w:rFonts w:cstheme="minorHAnsi"/>
                <w:sz w:val="20"/>
                <w:szCs w:val="20"/>
                <w:lang w:val="en-US"/>
              </w:rPr>
              <w:t>Stress ulcer prophylaxis</w:t>
            </w:r>
          </w:p>
        </w:tc>
        <w:tc>
          <w:tcPr>
            <w:tcW w:w="2126" w:type="dxa"/>
          </w:tcPr>
          <w:p w14:paraId="43EE0220" w14:textId="5A481344" w:rsidR="00FF4BD9" w:rsidRPr="00EC3E91" w:rsidRDefault="00FF4BD9" w:rsidP="009549DD">
            <w:pPr>
              <w:rPr>
                <w:rFonts w:cstheme="minorHAnsi"/>
                <w:sz w:val="20"/>
                <w:szCs w:val="20"/>
                <w:lang w:val="en-US"/>
              </w:rPr>
            </w:pPr>
            <w:r w:rsidRPr="00EC3E91">
              <w:rPr>
                <w:rFonts w:cstheme="minorHAnsi"/>
                <w:sz w:val="20"/>
                <w:szCs w:val="20"/>
                <w:lang w:val="en-US"/>
              </w:rPr>
              <w:t xml:space="preserve">Inappropriate utilization of </w:t>
            </w:r>
            <w:r w:rsidR="003E560B" w:rsidRPr="00EC3E91">
              <w:rPr>
                <w:rFonts w:cstheme="minorHAnsi"/>
                <w:sz w:val="20"/>
                <w:szCs w:val="20"/>
                <w:lang w:val="en-US"/>
              </w:rPr>
              <w:t>Stress ulcer prophylaxis</w:t>
            </w:r>
          </w:p>
          <w:p w14:paraId="63D33085" w14:textId="77777777" w:rsidR="00FF4BD9" w:rsidRPr="00EC3E91" w:rsidRDefault="00FF4BD9" w:rsidP="00F36DAB">
            <w:pPr>
              <w:rPr>
                <w:rFonts w:cstheme="minorHAnsi"/>
                <w:sz w:val="20"/>
                <w:szCs w:val="20"/>
                <w:lang w:val="en-US"/>
              </w:rPr>
            </w:pPr>
          </w:p>
          <w:p w14:paraId="708735B5" w14:textId="77777777" w:rsidR="00FF4BD9" w:rsidRPr="00EC3E91" w:rsidRDefault="00FF4BD9" w:rsidP="00F36DAB">
            <w:pPr>
              <w:rPr>
                <w:rFonts w:cstheme="minorHAnsi"/>
                <w:sz w:val="20"/>
                <w:szCs w:val="20"/>
                <w:lang w:val="en-US"/>
              </w:rPr>
            </w:pPr>
          </w:p>
          <w:p w14:paraId="22836161" w14:textId="77777777" w:rsidR="00FF4BD9" w:rsidRPr="00EC3E91" w:rsidRDefault="00FF4BD9" w:rsidP="00F36DAB">
            <w:pPr>
              <w:rPr>
                <w:rFonts w:cstheme="minorHAnsi"/>
                <w:sz w:val="20"/>
                <w:szCs w:val="20"/>
                <w:lang w:val="en-US"/>
              </w:rPr>
            </w:pPr>
          </w:p>
          <w:p w14:paraId="7EB22FAF" w14:textId="253B8D1F" w:rsidR="00FF4BD9" w:rsidRPr="00EC3E91" w:rsidRDefault="00FF4BD9" w:rsidP="00F36DAB">
            <w:pPr>
              <w:rPr>
                <w:rFonts w:cstheme="minorHAnsi"/>
                <w:sz w:val="20"/>
                <w:szCs w:val="20"/>
                <w:lang w:val="en-US"/>
              </w:rPr>
            </w:pPr>
          </w:p>
          <w:p w14:paraId="78A1B1A7" w14:textId="6E295A3D" w:rsidR="00FF4BD9" w:rsidRPr="00EC3E91" w:rsidRDefault="00FF4BD9" w:rsidP="00F36DAB">
            <w:pPr>
              <w:rPr>
                <w:rFonts w:cstheme="minorHAnsi"/>
                <w:sz w:val="20"/>
                <w:szCs w:val="20"/>
                <w:lang w:val="en-US"/>
              </w:rPr>
            </w:pPr>
          </w:p>
          <w:p w14:paraId="4377B8B1" w14:textId="62F532BE" w:rsidR="00FF4BD9" w:rsidRPr="00EC3E91" w:rsidRDefault="00FF4BD9" w:rsidP="00F36DAB">
            <w:pPr>
              <w:rPr>
                <w:rFonts w:cstheme="minorHAnsi"/>
                <w:sz w:val="20"/>
                <w:szCs w:val="20"/>
                <w:lang w:val="en-US"/>
              </w:rPr>
            </w:pPr>
          </w:p>
          <w:p w14:paraId="73A8980F" w14:textId="25DE6D03" w:rsidR="00FF4BD9" w:rsidRPr="00EC3E91" w:rsidRDefault="00FF4BD9" w:rsidP="00F36DAB">
            <w:pPr>
              <w:rPr>
                <w:rFonts w:cstheme="minorHAnsi"/>
                <w:sz w:val="20"/>
                <w:szCs w:val="20"/>
                <w:lang w:val="en-US"/>
              </w:rPr>
            </w:pPr>
          </w:p>
          <w:p w14:paraId="6108E5C7" w14:textId="77777777" w:rsidR="00FF4BD9" w:rsidRPr="00EC3E91" w:rsidRDefault="00FF4BD9" w:rsidP="00F36DAB">
            <w:pPr>
              <w:jc w:val="right"/>
              <w:rPr>
                <w:rFonts w:cstheme="minorHAnsi"/>
                <w:sz w:val="20"/>
                <w:szCs w:val="20"/>
                <w:lang w:val="en-US"/>
              </w:rPr>
            </w:pPr>
          </w:p>
        </w:tc>
        <w:tc>
          <w:tcPr>
            <w:tcW w:w="3969" w:type="dxa"/>
          </w:tcPr>
          <w:p w14:paraId="3E1B32C1" w14:textId="2AF7B8B7" w:rsidR="00FF4BD9" w:rsidRPr="00EC3E91" w:rsidRDefault="00FF4BD9" w:rsidP="004D63CA">
            <w:pPr>
              <w:rPr>
                <w:rFonts w:cstheme="minorHAnsi"/>
                <w:sz w:val="20"/>
                <w:szCs w:val="20"/>
                <w:lang w:val="en-US"/>
              </w:rPr>
            </w:pPr>
            <w:r w:rsidRPr="00EC3E91">
              <w:rPr>
                <w:rFonts w:cstheme="minorHAnsi"/>
                <w:sz w:val="20"/>
                <w:szCs w:val="20"/>
                <w:lang w:val="en-US"/>
              </w:rPr>
              <w:t>2010 expert consensus document on the concomitant use of proton pump inhibitors and thienopyridines: a focused update of the</w:t>
            </w:r>
          </w:p>
          <w:p w14:paraId="3476EC35" w14:textId="0E972A16" w:rsidR="00FF4BD9" w:rsidRPr="00EC3E91" w:rsidRDefault="00FF4BD9" w:rsidP="00E45AA3">
            <w:pPr>
              <w:rPr>
                <w:rFonts w:cstheme="minorHAnsi"/>
                <w:sz w:val="20"/>
                <w:szCs w:val="20"/>
                <w:lang w:val="en-US"/>
              </w:rPr>
            </w:pPr>
            <w:r w:rsidRPr="00EC3E91">
              <w:rPr>
                <w:rFonts w:cstheme="minorHAnsi"/>
                <w:sz w:val="20"/>
                <w:szCs w:val="20"/>
                <w:lang w:val="en-US"/>
              </w:rPr>
              <w:t xml:space="preserve">ACCF/ACG/AHA 2008 expert consensus document on reducing the gastrointestinal risks of antiplatelet therapy and NSAID use. </w:t>
            </w:r>
          </w:p>
          <w:p w14:paraId="1CD46B15" w14:textId="7C760105" w:rsidR="00FF4BD9" w:rsidRPr="00EC3E91" w:rsidRDefault="00FF4BD9" w:rsidP="004D63CA">
            <w:pPr>
              <w:rPr>
                <w:rFonts w:cstheme="minorHAnsi"/>
                <w:sz w:val="20"/>
                <w:szCs w:val="20"/>
                <w:lang w:val="en-US"/>
              </w:rPr>
            </w:pPr>
          </w:p>
        </w:tc>
        <w:tc>
          <w:tcPr>
            <w:tcW w:w="2551" w:type="dxa"/>
          </w:tcPr>
          <w:p w14:paraId="1C1CB5DC" w14:textId="7E1D2F59" w:rsidR="00FF4BD9" w:rsidRPr="00EC3E91" w:rsidRDefault="00FF4BD9" w:rsidP="009549DD">
            <w:pPr>
              <w:rPr>
                <w:rFonts w:cstheme="minorHAnsi"/>
                <w:sz w:val="20"/>
                <w:szCs w:val="20"/>
                <w:lang w:val="en-US"/>
              </w:rPr>
            </w:pPr>
            <w:r w:rsidRPr="00EC3E91">
              <w:rPr>
                <w:rFonts w:cstheme="minorHAnsi"/>
                <w:sz w:val="20"/>
                <w:szCs w:val="20"/>
                <w:lang w:val="en-US"/>
              </w:rPr>
              <w:t>use advisory boards and workgroups, distribute educational materials, make training dynamic, develop educational materials, remind clinicians, conduct educational outreach, develop and implement tools for quality monitoring</w:t>
            </w:r>
          </w:p>
        </w:tc>
      </w:tr>
      <w:tr w:rsidR="001A0064" w:rsidRPr="00E119DD" w14:paraId="51ADE3F1" w14:textId="77777777" w:rsidTr="00FF4BD9">
        <w:trPr>
          <w:tblHeader/>
        </w:trPr>
        <w:tc>
          <w:tcPr>
            <w:tcW w:w="709" w:type="dxa"/>
          </w:tcPr>
          <w:p w14:paraId="7BF153B5" w14:textId="77777777" w:rsidR="001A0064" w:rsidRPr="00EC3E91" w:rsidRDefault="001A0064" w:rsidP="009549DD">
            <w:pPr>
              <w:rPr>
                <w:rFonts w:cstheme="minorHAnsi"/>
                <w:sz w:val="20"/>
                <w:szCs w:val="20"/>
                <w:lang w:val="en-US"/>
              </w:rPr>
            </w:pPr>
          </w:p>
          <w:p w14:paraId="2CFBDF84" w14:textId="7637F454" w:rsidR="00B752DB" w:rsidRPr="00EC3E91" w:rsidRDefault="00B752DB" w:rsidP="009549DD">
            <w:pPr>
              <w:rPr>
                <w:rFonts w:cstheme="minorHAnsi"/>
                <w:sz w:val="20"/>
                <w:szCs w:val="20"/>
                <w:lang w:val="en-US"/>
              </w:rPr>
            </w:pPr>
            <w:r w:rsidRPr="00EC3E91">
              <w:rPr>
                <w:rFonts w:cstheme="minorHAnsi"/>
                <w:sz w:val="20"/>
                <w:szCs w:val="20"/>
                <w:lang w:val="en-US"/>
              </w:rPr>
              <w:t>2</w:t>
            </w:r>
            <w:r w:rsidRPr="00EC3E91">
              <w:rPr>
                <w:rFonts w:cstheme="minorHAnsi"/>
                <w:sz w:val="20"/>
                <w:szCs w:val="20"/>
                <w:vertAlign w:val="superscript"/>
                <w:lang w:val="en-US"/>
              </w:rPr>
              <w:t>nd</w:t>
            </w:r>
            <w:r w:rsidRPr="00EC3E91">
              <w:rPr>
                <w:rFonts w:cstheme="minorHAnsi"/>
                <w:sz w:val="20"/>
                <w:szCs w:val="20"/>
                <w:lang w:val="en-US"/>
              </w:rPr>
              <w:t xml:space="preserve"> </w:t>
            </w:r>
          </w:p>
        </w:tc>
        <w:tc>
          <w:tcPr>
            <w:tcW w:w="992" w:type="dxa"/>
          </w:tcPr>
          <w:p w14:paraId="55BA86E5" w14:textId="77777777" w:rsidR="001A0064" w:rsidRPr="00EC3E91" w:rsidRDefault="001A0064" w:rsidP="009549DD">
            <w:pPr>
              <w:rPr>
                <w:rFonts w:cstheme="minorHAnsi"/>
                <w:sz w:val="20"/>
                <w:szCs w:val="20"/>
                <w:lang w:val="en-US"/>
              </w:rPr>
            </w:pPr>
          </w:p>
        </w:tc>
        <w:tc>
          <w:tcPr>
            <w:tcW w:w="993" w:type="dxa"/>
          </w:tcPr>
          <w:p w14:paraId="6FD5E504" w14:textId="77777777" w:rsidR="001A0064" w:rsidRPr="00EC3E91" w:rsidRDefault="001A0064" w:rsidP="009549DD">
            <w:pPr>
              <w:rPr>
                <w:rFonts w:cstheme="minorHAnsi"/>
                <w:sz w:val="20"/>
                <w:szCs w:val="20"/>
                <w:lang w:val="en-US"/>
              </w:rPr>
            </w:pPr>
          </w:p>
        </w:tc>
        <w:tc>
          <w:tcPr>
            <w:tcW w:w="850" w:type="dxa"/>
          </w:tcPr>
          <w:p w14:paraId="7BBFC4E2" w14:textId="77777777" w:rsidR="001A0064" w:rsidRPr="00EC3E91" w:rsidRDefault="001A0064" w:rsidP="009549DD">
            <w:pPr>
              <w:rPr>
                <w:rFonts w:cstheme="minorHAnsi"/>
                <w:sz w:val="20"/>
                <w:szCs w:val="20"/>
                <w:lang w:val="en-US"/>
              </w:rPr>
            </w:pPr>
          </w:p>
        </w:tc>
        <w:tc>
          <w:tcPr>
            <w:tcW w:w="851" w:type="dxa"/>
          </w:tcPr>
          <w:p w14:paraId="06F10AD1" w14:textId="77777777" w:rsidR="001A0064" w:rsidRPr="00EC3E91" w:rsidRDefault="001A0064" w:rsidP="009549DD">
            <w:pPr>
              <w:rPr>
                <w:rFonts w:cstheme="minorHAnsi"/>
                <w:sz w:val="20"/>
                <w:szCs w:val="20"/>
                <w:lang w:val="en-US"/>
              </w:rPr>
            </w:pPr>
          </w:p>
        </w:tc>
        <w:tc>
          <w:tcPr>
            <w:tcW w:w="1134" w:type="dxa"/>
          </w:tcPr>
          <w:p w14:paraId="68389903" w14:textId="77777777" w:rsidR="001A0064" w:rsidRPr="00EC3E91" w:rsidRDefault="001A0064" w:rsidP="009549DD">
            <w:pPr>
              <w:rPr>
                <w:rFonts w:cstheme="minorHAnsi"/>
                <w:sz w:val="20"/>
                <w:szCs w:val="20"/>
                <w:lang w:val="en-US"/>
              </w:rPr>
            </w:pPr>
          </w:p>
        </w:tc>
        <w:tc>
          <w:tcPr>
            <w:tcW w:w="2126" w:type="dxa"/>
          </w:tcPr>
          <w:p w14:paraId="5E5304EB" w14:textId="77777777" w:rsidR="001A0064" w:rsidRPr="00EC3E91" w:rsidRDefault="001A0064" w:rsidP="009549DD">
            <w:pPr>
              <w:rPr>
                <w:rFonts w:cstheme="minorHAnsi"/>
                <w:sz w:val="20"/>
                <w:szCs w:val="20"/>
                <w:lang w:val="en-US"/>
              </w:rPr>
            </w:pPr>
          </w:p>
        </w:tc>
        <w:tc>
          <w:tcPr>
            <w:tcW w:w="3969" w:type="dxa"/>
          </w:tcPr>
          <w:p w14:paraId="31F09CBD" w14:textId="77777777" w:rsidR="001A0064" w:rsidRPr="00EC3E91" w:rsidRDefault="001A0064" w:rsidP="004D63CA">
            <w:pPr>
              <w:rPr>
                <w:rFonts w:cstheme="minorHAnsi"/>
                <w:sz w:val="20"/>
                <w:szCs w:val="20"/>
                <w:lang w:val="en-US"/>
              </w:rPr>
            </w:pPr>
          </w:p>
        </w:tc>
        <w:tc>
          <w:tcPr>
            <w:tcW w:w="2551" w:type="dxa"/>
          </w:tcPr>
          <w:p w14:paraId="76B9D1AD" w14:textId="77777777" w:rsidR="001A0064" w:rsidRPr="00EC3E91" w:rsidRDefault="001A0064" w:rsidP="009549DD">
            <w:pPr>
              <w:rPr>
                <w:rFonts w:cstheme="minorHAnsi"/>
                <w:sz w:val="20"/>
                <w:szCs w:val="20"/>
                <w:lang w:val="en-US"/>
              </w:rPr>
            </w:pPr>
          </w:p>
        </w:tc>
      </w:tr>
    </w:tbl>
    <w:tbl>
      <w:tblPr>
        <w:tblStyle w:val="TableGrid2"/>
        <w:tblpPr w:leftFromText="141" w:rightFromText="141" w:vertAnchor="text" w:tblpY="1"/>
        <w:tblOverlap w:val="never"/>
        <w:tblW w:w="14460" w:type="dxa"/>
        <w:tblInd w:w="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93"/>
        <w:gridCol w:w="992"/>
        <w:gridCol w:w="993"/>
        <w:gridCol w:w="850"/>
        <w:gridCol w:w="851"/>
        <w:gridCol w:w="1134"/>
        <w:gridCol w:w="2126"/>
        <w:gridCol w:w="3970"/>
        <w:gridCol w:w="2551"/>
      </w:tblGrid>
      <w:tr w:rsidR="00F422E5" w:rsidRPr="00E119DD" w14:paraId="364D8DF8" w14:textId="77777777" w:rsidTr="00F422E5">
        <w:trPr>
          <w:trHeight w:val="2235"/>
        </w:trPr>
        <w:tc>
          <w:tcPr>
            <w:tcW w:w="993" w:type="dxa"/>
            <w:tcBorders>
              <w:top w:val="single" w:sz="4" w:space="0" w:color="auto"/>
              <w:left w:val="nil"/>
              <w:bottom w:val="single" w:sz="4" w:space="0" w:color="auto"/>
              <w:right w:val="nil"/>
            </w:tcBorders>
          </w:tcPr>
          <w:p w14:paraId="6F24ACF4" w14:textId="6858D0B3" w:rsidR="00F422E5" w:rsidRPr="00EC3E91" w:rsidRDefault="00EE6F19" w:rsidP="00C02742">
            <w:pPr>
              <w:rPr>
                <w:sz w:val="20"/>
                <w:szCs w:val="20"/>
                <w:lang w:val="en-US"/>
              </w:rPr>
            </w:pPr>
            <w:r w:rsidRPr="00EC3E91">
              <w:rPr>
                <w:sz w:val="20"/>
                <w:szCs w:val="20"/>
                <w:lang w:val="en-US"/>
              </w:rPr>
              <w:fldChar w:fldCharType="begin" w:fldLock="1"/>
            </w:r>
            <w:r w:rsidR="005D2E24" w:rsidRPr="00EC3E91">
              <w:rPr>
                <w:sz w:val="20"/>
                <w:szCs w:val="20"/>
                <w:lang w:val="en-US"/>
              </w:rPr>
              <w:instrText>ADDIN CSL_CITATION {"citationItems":[{"id":"ITEM-1","itemData":{"ISSN":"1553-5606","abstract":"Avoiding routine, repetitive inpatient laboratory testing is a Choosing Wisely® recommendation, with benefits that may be even more pronounced in the setting of the COVID-19 pandemic, considering the need to limit unnecessary exposure, use of personal protective equipment, and laboratory resources. However, the COVID-19 pandemic presented a unique challenge: how to efficiently develop and standardize care for a disease process that had yet to be fully characterized. This article describes the development of a local committee to critically review evidence-based practices, reach consensus, and guide practice patterns, with the aim of delivering high-value care. Following the local introduction of recommendations and electronic health record order sets, non-critically-ill COVID-19 patients at our hospital had more inpatient days where they did not receive laboratory tests, achieving sustained special cause variation on statistical process control charts. The principles of Choosing Wisely® can be applied even within novel and rapidly evolving situations.","author":[{"dropping-particle":"","family":"Abdul-Moheeth","given":"M","non-dropping-particle":"","parse-names":false,"suffix":""},{"dropping-particle":"","family":"Valencia","given":"V","non-dropping-particle":"","parse-names":false,"suffix":""},{"dropping-particle":"","family":"Schaefer","given":"S","non-dropping-particle":"","parse-names":false,"suffix":""},{"dropping-particle":"","family":"Brode","given":"W M","non-dropping-particle":"","parse-names":false,"suffix":""},{"dropping-particle":"","family":"Nieto","given":"K","non-dropping-particle":"","parse-names":false,"suffix":""},{"dropping-particle":"","family":"Moriates","given":"C","non-dropping-particle":"","parse-names":false,"suffix":""}],"container-title":"Journal of hospital medicine","id":"ITEM-1","issue":"8","issued":{"date-parts":[["2021"]]},"language":"English","page":"495-498","title":"Improving Healthcare Value: Effectiveness of a Program to Reduce Laboratory Testing for Non-Critically-Ill Patients With COVID-19","type":"article-journal","volume":"16"},"uris":["http://www.mendeley.com/documents/?uuid=dc8a16bc-e0c7-372c-859e-418a02e4d6ac"]}],"mendeley":{"formattedCitation":"(158)","plainTextFormattedCitation":"(158)","previouslyFormattedCitation":"(158)"},"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(158)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D0C0340"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0E59CC6"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3BC086A"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F9B6BA0"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87CC966"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16473AB4" w14:textId="27EA0182" w:rsidR="00F422E5" w:rsidRPr="00EC3E91" w:rsidRDefault="00F422E5" w:rsidP="00C02742">
            <w:pPr>
              <w:rPr>
                <w:sz w:val="20"/>
                <w:szCs w:val="20"/>
                <w:lang w:val="en-US"/>
              </w:rPr>
            </w:pPr>
            <w:r w:rsidRPr="00EC3E91">
              <w:rPr>
                <w:sz w:val="20"/>
                <w:szCs w:val="20"/>
                <w:lang w:val="en-US"/>
              </w:rPr>
              <w:t>lab testing for non-</w:t>
            </w:r>
            <w:r w:rsidR="003E560B" w:rsidRPr="00EC3E91">
              <w:rPr>
                <w:sz w:val="20"/>
                <w:szCs w:val="20"/>
                <w:lang w:val="en-US"/>
              </w:rPr>
              <w:t>critically ill</w:t>
            </w:r>
            <w:r w:rsidRPr="00EC3E91">
              <w:rPr>
                <w:sz w:val="20"/>
                <w:szCs w:val="20"/>
                <w:lang w:val="en-US"/>
              </w:rPr>
              <w:t xml:space="preserve"> hospitalized COVID-19 patient</w:t>
            </w:r>
          </w:p>
        </w:tc>
        <w:tc>
          <w:tcPr>
            <w:tcW w:w="3970" w:type="dxa"/>
            <w:tcBorders>
              <w:top w:val="single" w:sz="4" w:space="0" w:color="auto"/>
              <w:left w:val="nil"/>
              <w:bottom w:val="single" w:sz="4" w:space="0" w:color="auto"/>
              <w:right w:val="nil"/>
            </w:tcBorders>
            <w:hideMark/>
          </w:tcPr>
          <w:p w14:paraId="45A3CD67" w14:textId="77777777" w:rsidR="00F422E5" w:rsidRPr="00EC3E91" w:rsidRDefault="00F422E5" w:rsidP="00C02742">
            <w:pPr>
              <w:rPr>
                <w:sz w:val="20"/>
                <w:szCs w:val="20"/>
                <w:lang w:val="en-US"/>
              </w:rPr>
            </w:pPr>
            <w:r w:rsidRPr="00EC3E91">
              <w:rPr>
                <w:sz w:val="20"/>
                <w:szCs w:val="20"/>
                <w:lang w:val="en-US"/>
              </w:rPr>
              <w:t>Choosing Wisely</w:t>
            </w:r>
          </w:p>
        </w:tc>
        <w:tc>
          <w:tcPr>
            <w:tcW w:w="2551" w:type="dxa"/>
            <w:tcBorders>
              <w:top w:val="single" w:sz="4" w:space="0" w:color="auto"/>
              <w:left w:val="nil"/>
              <w:bottom w:val="single" w:sz="4" w:space="0" w:color="auto"/>
              <w:right w:val="nil"/>
            </w:tcBorders>
            <w:hideMark/>
          </w:tcPr>
          <w:p w14:paraId="380BC33B" w14:textId="77777777" w:rsidR="00F422E5" w:rsidRPr="00EC3E91" w:rsidRDefault="00F422E5" w:rsidP="00C02742">
            <w:pPr>
              <w:rPr>
                <w:sz w:val="20"/>
                <w:szCs w:val="20"/>
                <w:lang w:val="en-US"/>
              </w:rPr>
            </w:pPr>
            <w:r w:rsidRPr="00EC3E91">
              <w:rPr>
                <w:sz w:val="20"/>
                <w:szCs w:val="20"/>
                <w:lang w:val="en-US"/>
              </w:rPr>
              <w:t>change physical structure and equipment</w:t>
            </w:r>
          </w:p>
        </w:tc>
      </w:tr>
      <w:tr w:rsidR="00F422E5" w:rsidRPr="00E119DD" w14:paraId="54E55E37" w14:textId="77777777" w:rsidTr="00F422E5">
        <w:trPr>
          <w:trHeight w:val="2235"/>
        </w:trPr>
        <w:tc>
          <w:tcPr>
            <w:tcW w:w="993" w:type="dxa"/>
            <w:tcBorders>
              <w:top w:val="single" w:sz="4" w:space="0" w:color="auto"/>
              <w:left w:val="nil"/>
              <w:bottom w:val="single" w:sz="4" w:space="0" w:color="auto"/>
              <w:right w:val="nil"/>
            </w:tcBorders>
          </w:tcPr>
          <w:p w14:paraId="584C2D46" w14:textId="7A675F6C" w:rsidR="00F422E5" w:rsidRPr="00EC3E91" w:rsidRDefault="005D2E24"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{"citationItems":[{"id":"ITEM-1","itemData":{"ISSN":"1552-4523 0733-4648","abstract":"The objective of this study was to compare implementation of a psychotropic medication reduction project across two types of residential long-term care settings: nursing homes (NH) and assisted living (AL) facilities. Fifteen NHs and 14 AL facilities from within a single corporate chain participated in the psychotropic medication reduction project. Using a comparative case study approach, we conducted in-person and telephone interviews with 62 staff members from participating NH and AL facilities to investigate the experience of project implementation. Project implementation within the more institutional NH model produced dramatic changes in residents’ lives and medication use. Conversely, changes made in the AL environment appeared to have less impact on resident medication use and resident-centric narratives, and AL staff identified numerous barriers to implementation. Identifying methods to monitor processes and outcomes of care without increasing the regulatory burden of AL facilities may increase transferability of quality improvement efforts across settings.","author":[{"dropping-particle":"","family":"Abrahamson","given":"K","non-dropping-particle":"","parse-names":false,"suffix":""},{"dropping-particle":"","family":"Davila","given":"H","non-dropping-particle":"","parse-names":false,"suffix":""},{"dropping-particle":"","family":"Kirk","given":"L","non-dropping-particle":"","parse-names":false,"suffix":""},{"dropping-particle":"","family":"Garavito","given":"G A","non-dropping-particle":"","parse-names":false,"suffix":""},{"dropping-particle":"","family":"Mueller","given":"C","non-dropping-particle":"","parse-names":false,"suffix":""}],"container-title":"Journal of Applied Gerontology","id":"ITEM-1","issue":"9","issued":{"date-parts":[["2021"]]},"language":"English","page":"1071-1079","publisher-place":"K. Abrahamson, Purdue University, West Lafayette, IN, United States","title":"Can a Nursing Home Psychotropic Reduction Project be Successfully Implemented in Assisted Living?","type":"article-journal","volume":"40"},"uris":["http://www.mendeley.com/documents/?uuid=b57c8092-ee25-3ff9-9643-62b2ba1da4e1"]}],"mendeley":{"formattedCitation":"(159)","plainTextFormattedCitation":"(159)","previouslyFormattedCitation":"(159)"},"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(159)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D71A986"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C816462"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5AF4A9E3" w14:textId="77777777" w:rsidR="00F422E5" w:rsidRPr="00EC3E91" w:rsidRDefault="00F422E5" w:rsidP="00C02742">
            <w:pPr>
              <w:rPr>
                <w:sz w:val="20"/>
                <w:szCs w:val="20"/>
                <w:lang w:val="en-US"/>
              </w:rPr>
            </w:pPr>
            <w:r w:rsidRPr="00EC3E91">
              <w:rPr>
                <w:sz w:val="20"/>
                <w:szCs w:val="20"/>
                <w:lang w:val="en-US"/>
              </w:rPr>
              <w:t>Qual Cross-sectional</w:t>
            </w:r>
          </w:p>
        </w:tc>
        <w:tc>
          <w:tcPr>
            <w:tcW w:w="851" w:type="dxa"/>
            <w:tcBorders>
              <w:top w:val="single" w:sz="4" w:space="0" w:color="auto"/>
              <w:left w:val="nil"/>
              <w:bottom w:val="single" w:sz="4" w:space="0" w:color="auto"/>
              <w:right w:val="nil"/>
            </w:tcBorders>
            <w:hideMark/>
          </w:tcPr>
          <w:p w14:paraId="772662B2"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16A542D3" w14:textId="1962D92E" w:rsidR="00F422E5" w:rsidRPr="00EC3E91" w:rsidRDefault="003E560B"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5D014B61" w14:textId="77777777" w:rsidR="00F422E5" w:rsidRPr="00EC3E91" w:rsidRDefault="00F422E5" w:rsidP="00C02742">
            <w:pPr>
              <w:rPr>
                <w:sz w:val="20"/>
                <w:szCs w:val="20"/>
                <w:lang w:val="en-US"/>
              </w:rPr>
            </w:pPr>
            <w:r w:rsidRPr="00EC3E91">
              <w:rPr>
                <w:sz w:val="20"/>
                <w:szCs w:val="20"/>
                <w:lang w:val="en-US"/>
              </w:rPr>
              <w:t>Inappropriate prescribing of psychotropic medication</w:t>
            </w:r>
          </w:p>
        </w:tc>
        <w:tc>
          <w:tcPr>
            <w:tcW w:w="3970" w:type="dxa"/>
            <w:tcBorders>
              <w:top w:val="single" w:sz="4" w:space="0" w:color="auto"/>
              <w:left w:val="nil"/>
              <w:bottom w:val="single" w:sz="4" w:space="0" w:color="auto"/>
              <w:right w:val="nil"/>
            </w:tcBorders>
            <w:hideMark/>
          </w:tcPr>
          <w:p w14:paraId="15B5A0F5" w14:textId="017453AC" w:rsidR="00F422E5" w:rsidRPr="00EC3E91" w:rsidRDefault="00F422E5" w:rsidP="00C02742">
            <w:pPr>
              <w:rPr>
                <w:sz w:val="20"/>
                <w:szCs w:val="20"/>
                <w:lang w:val="en-US"/>
              </w:rPr>
            </w:pPr>
            <w:r w:rsidRPr="00EC3E91">
              <w:rPr>
                <w:sz w:val="20"/>
                <w:szCs w:val="20"/>
                <w:lang w:val="en-US"/>
              </w:rPr>
              <w:t xml:space="preserve">Centers for Medicare and Medicaid </w:t>
            </w:r>
            <w:r w:rsidR="003E560B" w:rsidRPr="00EC3E91">
              <w:rPr>
                <w:sz w:val="20"/>
                <w:szCs w:val="20"/>
                <w:lang w:val="en-US"/>
              </w:rPr>
              <w:t>Services.</w:t>
            </w:r>
            <w:r w:rsidRPr="00EC3E91">
              <w:rPr>
                <w:sz w:val="20"/>
                <w:szCs w:val="20"/>
                <w:lang w:val="en-US"/>
              </w:rPr>
              <w:t xml:space="preserve"> (2019). National partnership to improve dementia care in nursing homes: Antipsychotic medication use data report (April 2019)</w:t>
            </w:r>
            <w:r w:rsidRPr="00EC3E91">
              <w:rPr>
                <w:sz w:val="20"/>
                <w:szCs w:val="20"/>
                <w:lang w:val="en-US"/>
              </w:rPr>
              <w:br/>
            </w:r>
            <w:r w:rsidRPr="00EC3E91">
              <w:rPr>
                <w:sz w:val="20"/>
                <w:szCs w:val="20"/>
                <w:lang w:val="en-US"/>
              </w:rPr>
              <w:br/>
              <w:t xml:space="preserve">Bowers, L. A. (2019, October 4). Increasing assisted living regulation is a trend, NCAL says. </w:t>
            </w:r>
            <w:r w:rsidR="003E560B" w:rsidRPr="00EC3E91">
              <w:rPr>
                <w:sz w:val="20"/>
                <w:szCs w:val="20"/>
                <w:lang w:val="en-US"/>
              </w:rPr>
              <w:t>McKnight’s</w:t>
            </w:r>
            <w:r w:rsidRPr="00EC3E91">
              <w:rPr>
                <w:sz w:val="20"/>
                <w:szCs w:val="20"/>
                <w:lang w:val="en-US"/>
              </w:rPr>
              <w:t xml:space="preserve"> Senior Living.</w:t>
            </w:r>
          </w:p>
        </w:tc>
        <w:tc>
          <w:tcPr>
            <w:tcW w:w="2551" w:type="dxa"/>
            <w:tcBorders>
              <w:top w:val="single" w:sz="4" w:space="0" w:color="auto"/>
              <w:left w:val="nil"/>
              <w:bottom w:val="single" w:sz="4" w:space="0" w:color="auto"/>
              <w:right w:val="nil"/>
            </w:tcBorders>
            <w:hideMark/>
          </w:tcPr>
          <w:p w14:paraId="73EC8CE0" w14:textId="77777777" w:rsidR="00F422E5" w:rsidRPr="00EC3E91" w:rsidRDefault="00F422E5" w:rsidP="00C02742">
            <w:pPr>
              <w:rPr>
                <w:sz w:val="20"/>
                <w:szCs w:val="20"/>
                <w:lang w:val="en-US"/>
              </w:rPr>
            </w:pPr>
            <w:r w:rsidRPr="00EC3E91">
              <w:rPr>
                <w:sz w:val="20"/>
                <w:szCs w:val="20"/>
                <w:lang w:val="en-US"/>
              </w:rPr>
              <w:t>identify and prepare champions, develop and organize quality monitoring systems, change physical structure and equipment</w:t>
            </w:r>
          </w:p>
        </w:tc>
      </w:tr>
      <w:tr w:rsidR="00F422E5" w:rsidRPr="00E119DD" w14:paraId="4B596514" w14:textId="77777777" w:rsidTr="00F422E5">
        <w:trPr>
          <w:trHeight w:val="2235"/>
        </w:trPr>
        <w:tc>
          <w:tcPr>
            <w:tcW w:w="993" w:type="dxa"/>
            <w:tcBorders>
              <w:top w:val="single" w:sz="4" w:space="0" w:color="auto"/>
              <w:left w:val="nil"/>
              <w:bottom w:val="single" w:sz="4" w:space="0" w:color="auto"/>
              <w:right w:val="nil"/>
            </w:tcBorders>
          </w:tcPr>
          <w:p w14:paraId="7E5C5318" w14:textId="254E105E" w:rsidR="00F422E5" w:rsidRPr="00EC3E91" w:rsidRDefault="00125506"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{"citationItems":[{"id":"ITEM-1","itemData":{"ISSN":"1532-5415 0002-8614","abstract":"Delirium threatens the functional independence and cognitive capacity of patients. Medications, especially those with strong anticholinergic effects, have been implicated as a preventable cause of delirium. We evaluated the effect of multicomponent interventions aimed at reducing the use of 9 target medications in hospitalized older adults at risk of delirium. This continuous quality improvement program was undertaken at a tertiary care facility and 4 community hospitals in a hospital system. We included 21, 541 hospital admissions with patients aged 70 and older on acute care medical or surgical units from the preintervention (2012) period, and 27,764 from the postintervention (2015) period. Implemented interventions include formulary and policy changes, technology-assisted medication review, age-conditional order set modifications, best practice alerts, and education. The proportion of hospital admissions with individual's receiving at least 1 target medication declined from 45.6% to 31.3% (relative reduction (RR)=31.4%) from before to after the intervention, meaning that target medication exposure was avoided in approximately 4,000 older adults. The greatest effect was observed for zolpidem (11.2% to 5.3%, RR=52.6%) and diphenhydramine (12.9% to 7.1%, RR=45%). Furthermore, the mean number of doses administered during all hospital admissions was reduced for 7 of 9 medications. Multicomponent interventions implemented in our hospital system were effective at reducing exposure to target medications in hospitalized older adults at risk of delirium. These systematic changes applied throughout the medication use process are sustained today.","author":[{"dropping-particle":"","family":"Adeola","given":"M","non-dropping-particle":"","parse-names":false,"suffix":""},{"dropping-particle":"","family":"Azad","given":"R","non-dropping-particle":"","parse-names":false,"suffix":""},{"dropping-particle":"","family":"Kassie","given":"G M","non-dropping-particle":"","parse-names":false,"suffix":""},{"dropping-particle":"","family":"Shirkey","given":"B","non-dropping-particle":"","parse-names":false,"suffix":""},{"dropping-particle":"","family":"Taffet","given":"G","non-dropping-particle":"","parse-names":false,"suffix":""},{"dropping-particle":"","family":"Liebl","given":"M","non-dropping-particle":"","parse-names":false,"suffix":""},{"dropping-particle":"","family":"Agarwal","given":"K","non-dropping-particle":"","parse-names":false,"suffix":""}],"container-title":"Journal of the American Geriatrics Society","id":"ITEM-1","issue":"8","issued":{"date-parts":[["2018"]]},"language":"English","page":"1638-1645","publisher-place":"M. Adeola, Department of Pharmacy, Houston Methodist Hospital, Houston, TX, United States","title":"Multicomponent Interventions Reduce High-Risk Medications for Delirium in Hospitalized Older Adults","type":"article-journal","volume":"66"},"uris":["http://www.mendeley.com/documents/?uuid=3ff35b1a-ad2b-3ddc-93b2-b3c7e6113779"]}],"mendeley":{"formattedCitation":"(160)","plainTextFormattedCitation":"(160)","previouslyFormattedCitation":"(160)"},"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6ECCE3C"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5B099D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30B3A0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0BE05B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4EE4241"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03708C5C" w14:textId="77777777" w:rsidR="00F422E5" w:rsidRPr="00EC3E91" w:rsidRDefault="00F422E5" w:rsidP="00C02742">
            <w:pPr>
              <w:rPr>
                <w:sz w:val="20"/>
                <w:szCs w:val="20"/>
                <w:lang w:val="en-US"/>
              </w:rPr>
            </w:pPr>
            <w:r w:rsidRPr="00EC3E91">
              <w:rPr>
                <w:sz w:val="20"/>
                <w:szCs w:val="20"/>
                <w:lang w:val="en-US"/>
              </w:rPr>
              <w:t> </w:t>
            </w:r>
          </w:p>
        </w:tc>
        <w:tc>
          <w:tcPr>
            <w:tcW w:w="3970" w:type="dxa"/>
            <w:tcBorders>
              <w:top w:val="single" w:sz="4" w:space="0" w:color="auto"/>
              <w:left w:val="nil"/>
              <w:bottom w:val="single" w:sz="4" w:space="0" w:color="auto"/>
              <w:right w:val="nil"/>
            </w:tcBorders>
            <w:hideMark/>
          </w:tcPr>
          <w:p w14:paraId="0FC5699C" w14:textId="77777777" w:rsidR="00F422E5" w:rsidRPr="00EC3E91" w:rsidRDefault="00F422E5" w:rsidP="00C02742">
            <w:pPr>
              <w:rPr>
                <w:sz w:val="20"/>
                <w:szCs w:val="20"/>
                <w:lang w:val="en-US"/>
              </w:rPr>
            </w:pPr>
            <w:r w:rsidRPr="00EC3E91">
              <w:rPr>
                <w:sz w:val="20"/>
                <w:szCs w:val="20"/>
                <w:lang w:val="en-US"/>
              </w:rPr>
              <w:t>Beers Criteria</w:t>
            </w:r>
          </w:p>
        </w:tc>
        <w:tc>
          <w:tcPr>
            <w:tcW w:w="2551" w:type="dxa"/>
            <w:tcBorders>
              <w:top w:val="single" w:sz="4" w:space="0" w:color="auto"/>
              <w:left w:val="nil"/>
              <w:bottom w:val="single" w:sz="4" w:space="0" w:color="auto"/>
              <w:right w:val="nil"/>
            </w:tcBorders>
            <w:hideMark/>
          </w:tcPr>
          <w:p w14:paraId="23714464" w14:textId="77777777" w:rsidR="00F422E5" w:rsidRPr="00EC3E91" w:rsidRDefault="00F422E5" w:rsidP="00C02742">
            <w:pPr>
              <w:rPr>
                <w:sz w:val="20"/>
                <w:szCs w:val="20"/>
                <w:lang w:val="en-US"/>
              </w:rPr>
            </w:pPr>
            <w:r w:rsidRPr="00EC3E91">
              <w:rPr>
                <w:sz w:val="20"/>
                <w:szCs w:val="20"/>
                <w:lang w:val="en-US"/>
              </w:rPr>
              <w:t>[policy and regulation], change physical structure and equipment, develop and organize quality monitoring systems, make training dynamic, develop educational materials, audit and provide feedback</w:t>
            </w:r>
          </w:p>
        </w:tc>
      </w:tr>
      <w:tr w:rsidR="00F422E5" w:rsidRPr="00E119DD" w14:paraId="3CC2AD6F" w14:textId="77777777" w:rsidTr="00F422E5">
        <w:trPr>
          <w:trHeight w:val="2235"/>
        </w:trPr>
        <w:tc>
          <w:tcPr>
            <w:tcW w:w="993" w:type="dxa"/>
            <w:tcBorders>
              <w:top w:val="single" w:sz="4" w:space="0" w:color="auto"/>
              <w:left w:val="nil"/>
              <w:bottom w:val="single" w:sz="4" w:space="0" w:color="auto"/>
              <w:right w:val="nil"/>
            </w:tcBorders>
          </w:tcPr>
          <w:p w14:paraId="3F87854F" w14:textId="4D954C96" w:rsidR="00F422E5" w:rsidRPr="00EC3E91" w:rsidRDefault="00913A6A" w:rsidP="00C02742">
            <w:pPr>
              <w:rPr>
                <w:sz w:val="20"/>
                <w:szCs w:val="20"/>
                <w:lang w:val="en-US"/>
              </w:rPr>
            </w:pPr>
            <w:r w:rsidRPr="00EC3E91">
              <w:rPr>
                <w:sz w:val="20"/>
                <w:szCs w:val="20"/>
                <w:lang w:val="en-US"/>
              </w:rPr>
              <w:fldChar w:fldCharType="begin" w:fldLock="1"/>
            </w:r>
            <w:r w:rsidR="003650E5" w:rsidRPr="00EC3E91">
              <w:rPr>
                <w:sz w:val="20"/>
                <w:szCs w:val="20"/>
                <w:lang w:val="en-US"/>
              </w:rPr>
              <w:instrText>ADDIN CSL_CITATION {"citationItems":[{"id":"ITEM-1","itemData":{"DOI":"10.3390/metabo11040204","ISSN":"22181989","abstract":"Medication deprescribing is essential to prevent inappropriate medication use in multimorbid patients. However, experience of deprescribing in Danish Subacute Medical Outpatient Clinics (SMOCs) is limited. The objective of our pilot study was to evaluate the feasibility and sustainability of a collaborative deprescribing intervention by a pharmacist and a physician to multimorbid patients in a SMOC. A randomized controlled pilot study was conducted, with phone follow-up at 30 and 365+ days. A senior pharmacist performed a systematic deprescribing intervention using the Screening Tool of Older Persons’ potentially inappropriate Prescriptions (STOPP) criteria, the Danish deprescribing list, and patient interviews. A senior physician received the proposed recommendations and decided which should be implemented. The main outcome was the number of patients having ≥1 medication where deprescribing status was sustained 30 days after inclusion. Out of 76 eligible patients, 72 (95%) were included and 67 (93%) completed the study (57% male; mean age 73 years; mean number of 10 prescribed medications). Nineteen patients (56%) in the intervention group and four (12%) in the control group had ≥1 medication where deprescribing status was sustained 30 days after inclusion (p = 0.015). In total, 37 medications were deprescribed in the intervention group and five in the control group. At 365+ days after inclusion, 97% and 100% of the deprescribed medications were sustained in the intervention and control groups, respectively. The three most frequently deprescribed medication groups were analgesics, cardiovascular, and gastrointestinal medications. In conclusion, a collaborative deprescribing intervention for multimorbid patients was feasible and resulted in sustainable deprescribing of medication in a SMOC.","author":[{"dropping-particle":"","family":"Aharaz","given":"Anissa","non-dropping-particle":"","parse-names":false,"suffix":""},{"dropping-particle":"","family":"Rasmussen","given":"Jens Henning","non-dropping-particle":"","parse-names":false,"suffix":""},{"dropping-particle":"","family":"McNulty","given":"Helle Bach Ølgaard","non-dropping-particle":"","parse-names":false,"suffix":""},{"dropping-particle":"","family":"Cyron","given":"Arne","non-dropping-particle":"","parse-names":false,"suffix":""},{"dropping-particle":"","family":"Fabricius","given":"Pia Keinicke","non-dropping-particle":"","parse-names":false,"suffix":""},{"dropping-particle":"","family":"Bengaard","given":"Anne Kathrine","non-dropping-particle":"","parse-names":false,"suffix":""},{"dropping-particle":"","family":"Sejberg","given":"Hayley Rose Constance","non-dropping-particle":"","parse-names":false,"suffix":""},{"dropping-particle":"","family":"Simonsen","given":"Rikke Rie Løvig","non-dropping-particle":"","parse-names":false,"suffix":""},{"dropping-particle":"","family":"Treldal","given":"Charlotte","non-dropping-particle":"","parse-names":false,"suffix":""},{"dropping-particle":"","family":"Houlind","given":"Morten Baltzer","non-dropping-particle":"","parse-names":false,"suffix":""}],"container-title":"Metabolites","id":"ITEM-1","issue":"4","issued":{"date-parts":[["2021","4","1"]]},"publisher":"MDPI AG","title":"A collaborative deprescribing intervention in a subacute medical outpatient clinic: A pilot randomized controlled trial","type":"article-journal","volume":"11"},"uris":["http://www.mendeley.com/documents/?uuid=706baa06-66ca-31dc-99d4-3539ba2057b2"]}],"mendeley":{"formattedCitation":"(161)","plainTextFormattedCitation":"(161)","previouslyFormattedCitation":"(161)"},"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D1207C2" w14:textId="77777777" w:rsidR="00F422E5" w:rsidRPr="00EC3E91" w:rsidRDefault="00F422E5" w:rsidP="00C02742">
            <w:pPr>
              <w:rPr>
                <w:sz w:val="20"/>
                <w:szCs w:val="20"/>
                <w:lang w:val="en-US"/>
              </w:rPr>
            </w:pPr>
            <w:r w:rsidRPr="00EC3E91">
              <w:rPr>
                <w:sz w:val="20"/>
                <w:szCs w:val="20"/>
                <w:lang w:val="en-US"/>
              </w:rPr>
              <w:t>Denmark</w:t>
            </w:r>
          </w:p>
        </w:tc>
        <w:tc>
          <w:tcPr>
            <w:tcW w:w="993" w:type="dxa"/>
            <w:tcBorders>
              <w:top w:val="single" w:sz="4" w:space="0" w:color="auto"/>
              <w:left w:val="nil"/>
              <w:bottom w:val="single" w:sz="4" w:space="0" w:color="auto"/>
              <w:right w:val="nil"/>
            </w:tcBorders>
            <w:hideMark/>
          </w:tcPr>
          <w:p w14:paraId="47C07212"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3CE4F927"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37371420" w14:textId="77777777" w:rsidR="00F422E5" w:rsidRPr="00EC3E91" w:rsidRDefault="00F422E5"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hideMark/>
          </w:tcPr>
          <w:p w14:paraId="570BE9F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7F1C6AFE"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0419B8C" w14:textId="77777777" w:rsidR="00F422E5" w:rsidRPr="00EC3E91" w:rsidRDefault="00F422E5" w:rsidP="00C02742">
            <w:pPr>
              <w:rPr>
                <w:sz w:val="20"/>
                <w:szCs w:val="20"/>
                <w:lang w:val="en-US"/>
              </w:rPr>
            </w:pPr>
            <w:r w:rsidRPr="00EC3E91">
              <w:rPr>
                <w:sz w:val="20"/>
                <w:szCs w:val="20"/>
                <w:lang w:val="en-US"/>
              </w:rPr>
              <w:t>STOPP (Screening Tool of Older</w:t>
            </w:r>
            <w:r w:rsidRPr="00EC3E91">
              <w:rPr>
                <w:sz w:val="20"/>
                <w:szCs w:val="20"/>
                <w:lang w:val="en-US"/>
              </w:rPr>
              <w:br/>
              <w:t>Person’s Prescriptions) and the Danish deprescribing list</w:t>
            </w:r>
          </w:p>
        </w:tc>
        <w:tc>
          <w:tcPr>
            <w:tcW w:w="2551" w:type="dxa"/>
            <w:tcBorders>
              <w:top w:val="single" w:sz="4" w:space="0" w:color="auto"/>
              <w:left w:val="nil"/>
              <w:bottom w:val="single" w:sz="4" w:space="0" w:color="auto"/>
              <w:right w:val="nil"/>
            </w:tcBorders>
            <w:hideMark/>
          </w:tcPr>
          <w:p w14:paraId="6FF8F457" w14:textId="77777777" w:rsidR="00F422E5" w:rsidRPr="00EC3E91" w:rsidRDefault="00F422E5" w:rsidP="00C02742">
            <w:pPr>
              <w:rPr>
                <w:sz w:val="20"/>
                <w:szCs w:val="20"/>
                <w:lang w:val="en-US"/>
              </w:rPr>
            </w:pPr>
            <w:r w:rsidRPr="00EC3E91">
              <w:rPr>
                <w:sz w:val="20"/>
                <w:szCs w:val="20"/>
                <w:lang w:val="en-US"/>
              </w:rPr>
              <w:t>develop and organize quality monitoring systems, [communication tool]</w:t>
            </w:r>
          </w:p>
        </w:tc>
      </w:tr>
      <w:tr w:rsidR="00F422E5" w:rsidRPr="00E119DD" w14:paraId="66D9875B" w14:textId="77777777" w:rsidTr="00F422E5">
        <w:trPr>
          <w:trHeight w:val="2235"/>
        </w:trPr>
        <w:tc>
          <w:tcPr>
            <w:tcW w:w="993" w:type="dxa"/>
            <w:tcBorders>
              <w:top w:val="single" w:sz="4" w:space="0" w:color="auto"/>
              <w:left w:val="nil"/>
              <w:bottom w:val="single" w:sz="4" w:space="0" w:color="auto"/>
              <w:right w:val="nil"/>
            </w:tcBorders>
          </w:tcPr>
          <w:p w14:paraId="13845EE8" w14:textId="18623455" w:rsidR="00F422E5" w:rsidRPr="00EC3E91" w:rsidRDefault="003650E5" w:rsidP="00C02742">
            <w:pPr>
              <w:rPr>
                <w:sz w:val="20"/>
                <w:szCs w:val="20"/>
                <w:lang w:val="en-US"/>
              </w:rPr>
            </w:pPr>
            <w:r w:rsidRPr="00EC3E91">
              <w:rPr>
                <w:sz w:val="20"/>
                <w:szCs w:val="20"/>
                <w:lang w:val="en-US"/>
              </w:rPr>
              <w:fldChar w:fldCharType="begin" w:fldLock="1"/>
            </w:r>
            <w:r w:rsidR="00E40C4E" w:rsidRPr="00EC3E91">
              <w:rPr>
                <w:sz w:val="20"/>
                <w:szCs w:val="20"/>
                <w:lang w:val="en-US"/>
              </w:rPr>
              <w:instrText>ADDIN CSL_CITATION {"citationItems":[{"id":"ITEM-1","itemData":{"abstract":"Background. We aimed to assess the impact of antibiotic optimization education along with understanding the antibiogram on antibiotic-prescribing practices, antibiotic consumption, antimicrobial resistance and cost of antibiotics in a tertiary care hospital in New Delhi. Methods. We divided the study into 3 phases-before and after intervention and a phase of education in between. We collected data on demographics, indication for antibiotic prescription, appropriateness or reasons for inappropriate antibiotic uses, antibiotic consumption (i.e. the rate and duration of antibiotic use), bacterial resistance and antibiotic cost. Interventions included education, introduction of an antibiogram and use of antibiotic prescription forms. Similar data were collected for the post-interventional phase. The study was conducted at","author":[{"dropping-particle":"","family":"Ahmed","given":"Shaheer A","non-dropping-particle":"","parse-names":false,"suffix":""},{"dropping-particle":"","family":"Kumar","given":"Arvind","non-dropping-particle":"","parse-names":false,"suffix":""},{"dropping-particle":"","family":"Sethi","given":"Prayas","non-dropping-particle":"","parse-names":false,"suffix":""},{"dropping-particle":"","family":"Kapil","given":"Arti","non-dropping-particle":"","parse-names":false,"suffix":""},{"dropping-particle":"","family":"Pandey","given":"R M","non-dropping-particle":"","parse-names":false,"suffix":""}],"container-title":"THE NATIONAL MEDICAL JOURNAL OF INDIA","id":"ITEM-1","issue":"5","issued":{"date-parts":[["2018"]]},"title":"Original Articles Effectiveness of education and antibiotic control programme at All India Institute of Medical Sciences, New Delhi","type":"report","volume":"31"},"uris":["http://www.mendeley.com/documents/?uuid=073f9a2f-6cce-3bb7-882c-c66cb19328da"]}],"mendeley":{"formattedCitation":"(162)","plainTextFormattedCitation":"(162)","previouslyFormattedCitation":"(162)"},"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839AD1E" w14:textId="77777777" w:rsidR="00F422E5" w:rsidRPr="00EC3E91" w:rsidRDefault="00F422E5" w:rsidP="00C02742">
            <w:pPr>
              <w:rPr>
                <w:sz w:val="20"/>
                <w:szCs w:val="20"/>
                <w:lang w:val="en-US"/>
              </w:rPr>
            </w:pPr>
            <w:r w:rsidRPr="00EC3E91">
              <w:rPr>
                <w:sz w:val="20"/>
                <w:szCs w:val="20"/>
                <w:lang w:val="en-US"/>
              </w:rPr>
              <w:t>India</w:t>
            </w:r>
          </w:p>
        </w:tc>
        <w:tc>
          <w:tcPr>
            <w:tcW w:w="993" w:type="dxa"/>
            <w:tcBorders>
              <w:top w:val="single" w:sz="4" w:space="0" w:color="auto"/>
              <w:left w:val="nil"/>
              <w:bottom w:val="single" w:sz="4" w:space="0" w:color="auto"/>
              <w:right w:val="nil"/>
            </w:tcBorders>
            <w:hideMark/>
          </w:tcPr>
          <w:p w14:paraId="37B332A3"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0AA6FC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558F19F5"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DE39ECC" w14:textId="77777777" w:rsidR="00F422E5" w:rsidRPr="00EC3E91" w:rsidRDefault="00F422E5" w:rsidP="00C02742">
            <w:pPr>
              <w:rPr>
                <w:sz w:val="20"/>
                <w:szCs w:val="20"/>
                <w:lang w:val="en-US"/>
              </w:rPr>
            </w:pPr>
            <w:r w:rsidRPr="00EC3E91">
              <w:rPr>
                <w:sz w:val="20"/>
                <w:szCs w:val="20"/>
                <w:lang w:val="en-US"/>
              </w:rPr>
              <w:t xml:space="preserve">Antibiotics </w:t>
            </w:r>
          </w:p>
        </w:tc>
        <w:tc>
          <w:tcPr>
            <w:tcW w:w="2126" w:type="dxa"/>
            <w:tcBorders>
              <w:top w:val="single" w:sz="4" w:space="0" w:color="auto"/>
              <w:left w:val="nil"/>
              <w:bottom w:val="single" w:sz="4" w:space="0" w:color="auto"/>
              <w:right w:val="nil"/>
            </w:tcBorders>
            <w:hideMark/>
          </w:tcPr>
          <w:p w14:paraId="504FED4C"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254F59BF" w14:textId="77777777" w:rsidR="00F422E5" w:rsidRPr="00EC3E91" w:rsidRDefault="00F422E5" w:rsidP="00C02742">
            <w:pPr>
              <w:rPr>
                <w:sz w:val="20"/>
                <w:szCs w:val="20"/>
                <w:lang w:val="en-US"/>
              </w:rPr>
            </w:pPr>
            <w:r w:rsidRPr="00EC3E91">
              <w:rPr>
                <w:sz w:val="20"/>
                <w:szCs w:val="20"/>
                <w:lang w:val="en-US"/>
              </w:rPr>
              <w:t>Surviving sepsis campaign: International guidelines for management of severe sepsis and septic shock: 2012.</w:t>
            </w:r>
          </w:p>
        </w:tc>
        <w:tc>
          <w:tcPr>
            <w:tcW w:w="2551" w:type="dxa"/>
            <w:tcBorders>
              <w:top w:val="single" w:sz="4" w:space="0" w:color="auto"/>
              <w:left w:val="nil"/>
              <w:bottom w:val="single" w:sz="4" w:space="0" w:color="auto"/>
              <w:right w:val="nil"/>
            </w:tcBorders>
            <w:hideMark/>
          </w:tcPr>
          <w:p w14:paraId="7032C5C2" w14:textId="77777777" w:rsidR="00F422E5" w:rsidRPr="00EC3E91" w:rsidRDefault="00F422E5" w:rsidP="00C02742">
            <w:pPr>
              <w:rPr>
                <w:sz w:val="20"/>
                <w:szCs w:val="20"/>
                <w:lang w:val="en-US"/>
              </w:rPr>
            </w:pPr>
            <w:r w:rsidRPr="00EC3E91">
              <w:rPr>
                <w:sz w:val="20"/>
                <w:szCs w:val="20"/>
                <w:lang w:val="en-US"/>
              </w:rPr>
              <w:t>audit and provide feedback, make training dynamic</w:t>
            </w:r>
          </w:p>
        </w:tc>
      </w:tr>
      <w:tr w:rsidR="00F422E5" w:rsidRPr="00E119DD" w14:paraId="24B31931" w14:textId="77777777" w:rsidTr="00F422E5">
        <w:trPr>
          <w:trHeight w:val="2235"/>
        </w:trPr>
        <w:tc>
          <w:tcPr>
            <w:tcW w:w="993" w:type="dxa"/>
            <w:tcBorders>
              <w:top w:val="single" w:sz="4" w:space="0" w:color="auto"/>
              <w:left w:val="nil"/>
              <w:bottom w:val="single" w:sz="4" w:space="0" w:color="auto"/>
              <w:right w:val="nil"/>
            </w:tcBorders>
          </w:tcPr>
          <w:p w14:paraId="3343FF0F" w14:textId="48FA687D" w:rsidR="00F422E5" w:rsidRPr="00EC3E91" w:rsidRDefault="009C25DC" w:rsidP="00C02742">
            <w:pPr>
              <w:rPr>
                <w:sz w:val="20"/>
                <w:szCs w:val="20"/>
                <w:lang w:val="en-US"/>
              </w:rPr>
            </w:pPr>
            <w:r w:rsidRPr="00EC3E91">
              <w:rPr>
                <w:sz w:val="20"/>
                <w:szCs w:val="20"/>
                <w:lang w:val="en-US"/>
              </w:rPr>
              <w:lastRenderedPageBreak/>
              <w:fldChar w:fldCharType="begin" w:fldLock="1"/>
            </w:r>
            <w:r w:rsidR="00DC03FA" w:rsidRPr="00EC3E91">
              <w:rPr>
                <w:sz w:val="20"/>
                <w:szCs w:val="20"/>
                <w:lang w:val="en-US"/>
              </w:rPr>
              <w:instrText>ADDIN CSL_CITATION {"citationItems":[{"id":"ITEM-1","itemData":{"DOI":"10.1186/s40545-020-00236-0","ISSN":"20523211","abstract":"Background: Potentially inappropriate prescribing (PIP) is associated with the incidence of adverse drug reactions, drug-related hospitalization and other negative outcomes in older adults. After hospitalization, older adults might be discharged with several types of PIPs. Studies have found that the lack of healthcare professionals' (HCPs) knowledge regarding PIP is one of the major contributing factors in this issue. The purpose of this study is to investigate the impact of a multifaceted intervention on physicians' and clinical pharmacists' behavior regarding potentially inappropriate medication (PIM) and potential prescribing omission (PPO) among hospitalized older adults. Methods: This is a before-and-after study that took place in a tertiary Malaysian hospital. Discharge medications of patients ≥65 years old were reviewed to identify PIMs/PPOs using version 2 of the STOPP/START criteria. The prevalence and pattern of PIM/PPO before and after the intervention were compared. The intervention targeted the physicians and clinical pharmacists and it consisted of academic detailing and a newly developed smartphone application (app). Results: The study involved 240 patients before (control group) and 240 patients after the intervention. The prevalence of PIM was 22% and 27% before and after the intervention, respectively (P = 0.213). The prevalence of PPO in the intervention group was significantly lower than that in the control group (42% Vs. 53.3%); P = 0.014. This difference remained statistically significant after controlling for other variables (P = 0.015). The intervention was effective in reducing the two most common PPOs; the omission of vitamin D supplements in patients with a history of falls (P = 0.001) and the omission of angiotensin converting enzyme inhibitor in patients with coronary artery disease (P = 0.03). Conclusions: The smartphone app coupled with academic detailing was effective in reducing the prevalence of PPO at discharge. However, it did not significantly affect the prevalence or pattern of PIM.","author":[{"dropping-particle":"","family":"Akkawi","given":"Muhammad Eid","non-dropping-particle":"","parse-names":false,"suffix":""},{"dropping-particle":"","family":"Nik Mohamed","given":"Mohamad Haniki","non-dropping-particle":"","parse-names":false,"suffix":""},{"dropping-particle":"","family":"Md Aris","given":"Mohd Aznan","non-dropping-particle":"","parse-names":false,"suffix":""}],"container-title":"Journal of Pharmaceutical Policy and Practice","id":"ITEM-1","issue":"1","issued":{"date-parts":[["2020","7","17"]]},"publisher":"BioMed Central","title":"The impact of a multifaceted intervention to reduce potentially inappropriate prescribing among discharged older adults: A before-and-after study","type":"article-journal","volume":"13"},"uris":["http://www.mendeley.com/documents/?uuid=115117a9-dedc-3757-8bae-7840d497586d"]}],"mendeley":{"formattedCitation":"(163)","plainTextFormattedCitation":"(163)","previouslyFormattedCitation":"(163)"},"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29CA6B5" w14:textId="77777777" w:rsidR="00F422E5" w:rsidRPr="00EC3E91" w:rsidRDefault="00F422E5" w:rsidP="00C02742">
            <w:pPr>
              <w:rPr>
                <w:sz w:val="20"/>
                <w:szCs w:val="20"/>
                <w:lang w:val="en-US"/>
              </w:rPr>
            </w:pPr>
            <w:r w:rsidRPr="00EC3E91">
              <w:rPr>
                <w:sz w:val="20"/>
                <w:szCs w:val="20"/>
                <w:lang w:val="en-US"/>
              </w:rPr>
              <w:t>Malaysia</w:t>
            </w:r>
          </w:p>
        </w:tc>
        <w:tc>
          <w:tcPr>
            <w:tcW w:w="993" w:type="dxa"/>
            <w:tcBorders>
              <w:top w:val="single" w:sz="4" w:space="0" w:color="auto"/>
              <w:left w:val="nil"/>
              <w:bottom w:val="single" w:sz="4" w:space="0" w:color="auto"/>
              <w:right w:val="nil"/>
            </w:tcBorders>
            <w:hideMark/>
          </w:tcPr>
          <w:p w14:paraId="5EB459C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7E5E47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597A7EA6"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B5982D7"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3FD5875"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9375EFC"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0C43EBA0" w14:textId="77777777" w:rsidR="00F422E5" w:rsidRPr="00EC3E91" w:rsidRDefault="00F422E5" w:rsidP="00C02742">
            <w:pPr>
              <w:rPr>
                <w:sz w:val="20"/>
                <w:szCs w:val="20"/>
                <w:lang w:val="en-US"/>
              </w:rPr>
            </w:pPr>
            <w:r w:rsidRPr="00EC3E91">
              <w:rPr>
                <w:sz w:val="20"/>
                <w:szCs w:val="20"/>
                <w:lang w:val="en-US"/>
              </w:rPr>
              <w:t>conduct educational outreach visits, remind clinicians</w:t>
            </w:r>
          </w:p>
        </w:tc>
      </w:tr>
      <w:tr w:rsidR="00F422E5" w:rsidRPr="00E119DD" w14:paraId="689D0977" w14:textId="77777777" w:rsidTr="00F422E5">
        <w:trPr>
          <w:trHeight w:val="2235"/>
        </w:trPr>
        <w:tc>
          <w:tcPr>
            <w:tcW w:w="993" w:type="dxa"/>
            <w:tcBorders>
              <w:top w:val="single" w:sz="4" w:space="0" w:color="auto"/>
              <w:left w:val="nil"/>
              <w:bottom w:val="single" w:sz="4" w:space="0" w:color="auto"/>
              <w:right w:val="nil"/>
            </w:tcBorders>
          </w:tcPr>
          <w:p w14:paraId="05DA2BE5" w14:textId="5752005A" w:rsidR="00F422E5" w:rsidRPr="00EC3E91" w:rsidRDefault="00DC03FA"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{"citationItems":[{"id":"ITEM-1","itemData":{"ISSN":"2468-0869 2468-0451","abstract":"Background: Antimicrobial stewardship is a key component of hospital accreditation in Australia and contributes to the prevention and containment of antimicrobial resistance. The Second Australian Report on Antimicrobial Use and Resistance in Human Health (AURA Report) 2017 calls for greater participation by small hospitals in antimicrobial stewardship activities. Community acquired pneumonia (CAP) and third generation cephalosporin (3GCs) use is a known target for intervention. This paper reports the results of an educational intervention for reducing inappropriate prescribing of 3GCs in the empiric treatment of CAP. Methods: The intervention was based on a leadership and education campaign in an Emergency Department (ED) in a 96 bed acute rural hospital in New South Wales, Australia. A two-point retrospective audit within (April–June 2010, April–June 2011) was conducted comparing pre-intervention and post-intervention antibiotic prescribing trends for CAP from ED presentations. Data was collected via audit tool and appropriateness was assessed against endorsed guidelines. The main outcome measures were improved prescribing appropriateness and decreased utilisation. Results: Whilst statistically insignificant, a reduction (6.4%) in inappropriate prescribing and a reduction in 3GC utilisation (16.7%) was demonstrated. Conclusion: Small hospitals have active contributions to make to prevent and contain antimicrobial resistance via antimicrobial stewardship. The challenge is collecting this data for national data sets whilst instituting local benefits in the context of limited resources. Our results suggest change can occur in antibiotic prescribing, studies such as this model a targeted strategy for resource poor facilities to contribute to national AU data whilst instituting local AMS change.","author":[{"dropping-particle":"","family":"Alcorn","given":"S","non-dropping-particle":"","parse-names":false,"suffix":""},{"dropping-particle":"","family":"Hoek","given":"J","non-dropping-particle":"van der","parse-names":false,"suffix":""},{"dropping-particle":"","family":"Shaban","given":"R Z","non-dropping-particle":"","parse-names":false,"suffix":""}],"container-title":"Infection, Disease and Health","id":"ITEM-1","issue":"3","issued":{"date-parts":[["2018"]]},"language":"English","page":"163-169","publisher-place":"S. Alcorn, School of Pharmacy and Pharmacology, Griffith University, Gold Coast Campus, Griffith University, Australia","title":"Reducing inappropriate third-generation cephalosporin use for community-acquired pneumonia in a small Australian emergency department","type":"article-journal","volume":"23"},"uris":["http://www.mendeley.com/documents/?uuid=d08d16b6-dec4-3f38-a6c0-2bf4b24abfdf"]}],"mendeley":{"formattedCitation":"(164)","plainTextFormattedCitation":"(164)","previouslyFormattedCitation":"(164)"},"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DD2A16C" w14:textId="77777777" w:rsidR="00F422E5" w:rsidRPr="00EC3E91" w:rsidRDefault="00F422E5" w:rsidP="00C02742">
            <w:pPr>
              <w:rPr>
                <w:sz w:val="20"/>
                <w:szCs w:val="20"/>
                <w:lang w:val="en-US"/>
              </w:rPr>
            </w:pPr>
            <w:r w:rsidRPr="00EC3E91">
              <w:rPr>
                <w:sz w:val="20"/>
                <w:szCs w:val="20"/>
                <w:lang w:val="en-US"/>
              </w:rPr>
              <w:t>Japan</w:t>
            </w:r>
          </w:p>
        </w:tc>
        <w:tc>
          <w:tcPr>
            <w:tcW w:w="993" w:type="dxa"/>
            <w:tcBorders>
              <w:top w:val="single" w:sz="4" w:space="0" w:color="auto"/>
              <w:left w:val="nil"/>
              <w:bottom w:val="single" w:sz="4" w:space="0" w:color="auto"/>
              <w:right w:val="nil"/>
            </w:tcBorders>
            <w:hideMark/>
          </w:tcPr>
          <w:p w14:paraId="34876CAC" w14:textId="77777777" w:rsidR="00F422E5" w:rsidRPr="00EC3E91" w:rsidRDefault="00F422E5" w:rsidP="00C02742">
            <w:pPr>
              <w:rPr>
                <w:sz w:val="20"/>
                <w:szCs w:val="20"/>
                <w:lang w:val="en-US"/>
              </w:rPr>
            </w:pPr>
            <w:r w:rsidRPr="00EC3E91">
              <w:rPr>
                <w:sz w:val="20"/>
                <w:szCs w:val="20"/>
                <w:lang w:val="en-US"/>
              </w:rPr>
              <w:t>university hospital</w:t>
            </w:r>
          </w:p>
        </w:tc>
        <w:tc>
          <w:tcPr>
            <w:tcW w:w="850" w:type="dxa"/>
            <w:tcBorders>
              <w:top w:val="single" w:sz="4" w:space="0" w:color="auto"/>
              <w:left w:val="nil"/>
              <w:bottom w:val="single" w:sz="4" w:space="0" w:color="auto"/>
              <w:right w:val="nil"/>
            </w:tcBorders>
            <w:hideMark/>
          </w:tcPr>
          <w:p w14:paraId="4A60E46A"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2279FD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52C7D3C"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56CD371F"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19C88651" w14:textId="77777777" w:rsidR="00F422E5" w:rsidRPr="00EC3E91" w:rsidRDefault="00F422E5" w:rsidP="00C02742">
            <w:pPr>
              <w:rPr>
                <w:sz w:val="20"/>
                <w:szCs w:val="20"/>
                <w:lang w:val="en-US"/>
              </w:rPr>
            </w:pPr>
            <w:r w:rsidRPr="00EC3E91">
              <w:rPr>
                <w:sz w:val="20"/>
                <w:szCs w:val="20"/>
                <w:lang w:val="en-US"/>
              </w:rPr>
              <w:t>AURORA 2016 report by the Australian Commission on Safety and Quality in Health Care (ACSQHC)</w:t>
            </w:r>
          </w:p>
        </w:tc>
        <w:tc>
          <w:tcPr>
            <w:tcW w:w="2551" w:type="dxa"/>
            <w:tcBorders>
              <w:top w:val="single" w:sz="4" w:space="0" w:color="auto"/>
              <w:left w:val="nil"/>
              <w:bottom w:val="single" w:sz="4" w:space="0" w:color="auto"/>
              <w:right w:val="nil"/>
            </w:tcBorders>
            <w:hideMark/>
          </w:tcPr>
          <w:p w14:paraId="3CD5940A" w14:textId="1DF4EF1E" w:rsidR="00F422E5" w:rsidRPr="00EC3E91" w:rsidRDefault="00F422E5" w:rsidP="00C02742">
            <w:pPr>
              <w:rPr>
                <w:sz w:val="20"/>
                <w:szCs w:val="20"/>
                <w:lang w:val="en-US"/>
              </w:rPr>
            </w:pPr>
            <w:r w:rsidRPr="00EC3E91">
              <w:rPr>
                <w:sz w:val="20"/>
                <w:szCs w:val="20"/>
                <w:lang w:val="en-US"/>
              </w:rPr>
              <w:t xml:space="preserve">conduct educational meeting, audit and provide feedback, provide </w:t>
            </w:r>
            <w:r w:rsidR="003E560B" w:rsidRPr="00EC3E91">
              <w:rPr>
                <w:sz w:val="20"/>
                <w:szCs w:val="20"/>
                <w:lang w:val="en-US"/>
              </w:rPr>
              <w:t>clinical</w:t>
            </w:r>
            <w:r w:rsidRPr="00EC3E91">
              <w:rPr>
                <w:sz w:val="20"/>
                <w:szCs w:val="20"/>
                <w:lang w:val="en-US"/>
              </w:rPr>
              <w:t xml:space="preserve"> supervision</w:t>
            </w:r>
          </w:p>
        </w:tc>
      </w:tr>
      <w:tr w:rsidR="00F422E5" w:rsidRPr="00E119DD" w14:paraId="08BE2B91" w14:textId="77777777" w:rsidTr="00F422E5">
        <w:trPr>
          <w:trHeight w:val="2235"/>
        </w:trPr>
        <w:tc>
          <w:tcPr>
            <w:tcW w:w="993" w:type="dxa"/>
            <w:tcBorders>
              <w:top w:val="single" w:sz="4" w:space="0" w:color="auto"/>
              <w:left w:val="nil"/>
              <w:bottom w:val="single" w:sz="4" w:space="0" w:color="auto"/>
              <w:right w:val="nil"/>
            </w:tcBorders>
          </w:tcPr>
          <w:p w14:paraId="6B80FF28" w14:textId="689E20B4" w:rsidR="00F422E5" w:rsidRPr="00EC3E91" w:rsidRDefault="00180496" w:rsidP="00C02742">
            <w:pPr>
              <w:rPr>
                <w:sz w:val="20"/>
                <w:szCs w:val="20"/>
                <w:lang w:val="en-US"/>
              </w:rPr>
            </w:pPr>
            <w:r w:rsidRPr="00EC3E91">
              <w:rPr>
                <w:sz w:val="20"/>
                <w:szCs w:val="20"/>
                <w:lang w:val="en-US"/>
              </w:rPr>
              <w:fldChar w:fldCharType="begin" w:fldLock="1"/>
            </w:r>
            <w:r w:rsidRPr="00EC3E91">
              <w:rPr>
                <w:sz w:val="20"/>
                <w:szCs w:val="20"/>
                <w:lang w:val="en-US"/>
              </w:rPr>
              <w:instrText>ADDIN CSL_CITATION {"citationItems":[{"id":"ITEM-1","itemData":{"DOI":"10.3122/jabfm.2019.04.180296","ISSN":"15587118","PMID":"31300576","abstract":"Background: Opioid misuse in the United States has made it challenging for physicians to treat chronic noncancer pain (CNCP). We implemented an educational program aimed at promoting safe opioid prescribing practices in hopes of increasing the level of appropriateness associated with prescribing opioids for CNCP. Methods: We conducted a quality-improvement study with a retrospective chart review of adult patients who were prescribed opioids for CNCP for at least 90 consecutive days at 2 academic primary care clinics. Patients were reviewed at baseline (July 2014-May 2015) and after initial interventions (January 2016-June 2016; ie, following multimodal educational activities on appropriate opioid prescription implemented from June 2015-December 2015). An opioid appropriateness score was calculated based on documentation of 9 items. Categorical variables were analyzed with Fisher exact tests and continuous variables by 2-sample t tests and regression analysis. Binary logistic regression was used for multivariable modeling. Mann-Whitney test was used to compare appropriateness scores before and after intervention. Results: A total of 177 and 96 patients were evaluated at baseline and postintervention, respectively. Patient demographic characteristics were not statistically different. Overall, postintervention level of appropriateness was significantly different from preintervention (P &lt; .0001), with means increasing from 5.54 preintervention to 6.29 postintervention. Both clinics had significant improvement from baseline (both P values &lt;.003). Conclusions: Clinician education on best practices while treating CNCP is associated with an increase in the level of opioid use appropriateness.","author":[{"dropping-particle":"","family":"Arizmendez","given":"Natalia P.","non-dropping-particle":"","parse-names":false,"suffix":""},{"dropping-particle":"","family":"Kotovicz","given":"Fabiana","non-dropping-particle":"","parse-names":false,"suffix":""},{"dropping-particle":"","family":"Kram","given":"Jessica J.F.","non-dropping-particle":"","parse-names":false,"suffix":""},{"dropping-particle":"","family":"Baumgardner","given":"Dennis J.","non-dropping-particle":"","parse-names":false,"suffix":""}],"container-title":"Journal of the American Board of Family Medicine","id":"ITEM-1","issue":"4","issued":{"date-parts":[["2019"]]},"page":"559-566","publisher":"American Board of Family Medicine","title":"Multimodal local opioid prescribing intervention outcomes in chronic noncancer pain management","type":"article-journal","volume":"32"},"uris":["http://www.mendeley.com/documents/?uuid=4e757834-43f2-3448-a37e-4edf6c6193b6"]}],"mendeley":{"formattedCitation":"(165)","plainTextFormattedCitation":"(165)","previouslyFormattedCitation":"(165)"},"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EC99512"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668B0FA"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95A2DB5"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39825C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EEE703A" w14:textId="77777777" w:rsidR="00F422E5" w:rsidRPr="00EC3E91" w:rsidRDefault="00F422E5" w:rsidP="00C02742">
            <w:pPr>
              <w:rPr>
                <w:sz w:val="20"/>
                <w:szCs w:val="20"/>
                <w:vertAlign w:val="superscript"/>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4C54439A" w14:textId="77777777" w:rsidR="00F422E5" w:rsidRPr="00EC3E91" w:rsidRDefault="00F422E5" w:rsidP="00C02742">
            <w:pPr>
              <w:rPr>
                <w:sz w:val="20"/>
                <w:szCs w:val="20"/>
                <w:lang w:val="en-US"/>
              </w:rPr>
            </w:pPr>
            <w:r w:rsidRPr="00EC3E91">
              <w:rPr>
                <w:sz w:val="20"/>
                <w:szCs w:val="20"/>
                <w:lang w:val="en-US"/>
              </w:rPr>
              <w:t xml:space="preserve">Inappropriate use of opioids </w:t>
            </w:r>
          </w:p>
        </w:tc>
        <w:tc>
          <w:tcPr>
            <w:tcW w:w="3970" w:type="dxa"/>
            <w:tcBorders>
              <w:top w:val="single" w:sz="4" w:space="0" w:color="auto"/>
              <w:left w:val="nil"/>
              <w:bottom w:val="single" w:sz="4" w:space="0" w:color="auto"/>
              <w:right w:val="nil"/>
            </w:tcBorders>
            <w:hideMark/>
          </w:tcPr>
          <w:p w14:paraId="57B23F63" w14:textId="77777777" w:rsidR="00F422E5" w:rsidRPr="00EC3E91" w:rsidRDefault="00F422E5" w:rsidP="00C02742">
            <w:pPr>
              <w:rPr>
                <w:sz w:val="20"/>
                <w:szCs w:val="20"/>
                <w:lang w:val="en-US"/>
              </w:rPr>
            </w:pPr>
            <w:r w:rsidRPr="00EC3E91">
              <w:rPr>
                <w:sz w:val="20"/>
                <w:szCs w:val="20"/>
                <w:lang w:val="en-US"/>
              </w:rPr>
              <w:t>State of Wisconsin Medical Board Opioid Prescribing Recommendations</w:t>
            </w:r>
          </w:p>
        </w:tc>
        <w:tc>
          <w:tcPr>
            <w:tcW w:w="2551" w:type="dxa"/>
            <w:tcBorders>
              <w:top w:val="single" w:sz="4" w:space="0" w:color="auto"/>
              <w:left w:val="nil"/>
              <w:bottom w:val="single" w:sz="4" w:space="0" w:color="auto"/>
              <w:right w:val="nil"/>
            </w:tcBorders>
            <w:hideMark/>
          </w:tcPr>
          <w:p w14:paraId="6C36AE00" w14:textId="77777777" w:rsidR="00F422E5" w:rsidRPr="00EC3E91" w:rsidRDefault="00F422E5" w:rsidP="00C02742">
            <w:pPr>
              <w:rPr>
                <w:sz w:val="20"/>
                <w:szCs w:val="20"/>
                <w:lang w:val="en-US"/>
              </w:rPr>
            </w:pPr>
            <w:r w:rsidRPr="00EC3E91">
              <w:rPr>
                <w:sz w:val="20"/>
                <w:szCs w:val="20"/>
                <w:lang w:val="en-US"/>
              </w:rPr>
              <w:t xml:space="preserve">conduct educational meeting, remind clinicians, </w:t>
            </w:r>
          </w:p>
        </w:tc>
      </w:tr>
      <w:tr w:rsidR="00F422E5" w:rsidRPr="00E119DD" w14:paraId="36CD72D7" w14:textId="77777777" w:rsidTr="00F422E5">
        <w:trPr>
          <w:trHeight w:val="2235"/>
        </w:trPr>
        <w:tc>
          <w:tcPr>
            <w:tcW w:w="993" w:type="dxa"/>
            <w:tcBorders>
              <w:top w:val="single" w:sz="4" w:space="0" w:color="auto"/>
              <w:left w:val="nil"/>
              <w:bottom w:val="single" w:sz="4" w:space="0" w:color="auto"/>
              <w:right w:val="nil"/>
            </w:tcBorders>
          </w:tcPr>
          <w:p w14:paraId="029A0D01" w14:textId="27725E32" w:rsidR="00F422E5" w:rsidRPr="00EC3E91" w:rsidRDefault="00180496" w:rsidP="00C02742">
            <w:pPr>
              <w:rPr>
                <w:sz w:val="20"/>
                <w:szCs w:val="20"/>
                <w:lang w:val="en-US"/>
              </w:rPr>
            </w:pPr>
            <w:r w:rsidRPr="00EC3E91">
              <w:rPr>
                <w:sz w:val="20"/>
                <w:szCs w:val="20"/>
                <w:lang w:val="en-US"/>
              </w:rPr>
              <w:fldChar w:fldCharType="begin" w:fldLock="1"/>
            </w:r>
            <w:r w:rsidR="00E119DD">
              <w:rPr>
                <w:sz w:val="20"/>
                <w:szCs w:val="20"/>
                <w:lang w:val="en-US"/>
              </w:rPr>
              <w:instrText>ADDIN CSL_CITATION {"citationItems":[{"id":"ITEM-1","itemData":{"ISSN":"0974-360X 0974-3618","abstract":"Background: Antibiotics are the most important class of drugs for major advancement in medical treatment but the efficacy of these medication diminishes upon its extensive use. In children, antibiotic is the most immensely used medications, that can be a lifesaving treatment in certain bacterial infections. Inappropriate use of these medications in pediatric population may cause drug toxicity, adverse events, and drug resistance. Objectives: This study aims at analyzing the antibiotic use among pediatric population and to evaluate the impact of an intervention by clinical pharmacist in minimizing inappropriate antibiotic use by creating awareness among both patient bystanders and physician. Methodology: A one-year prospective interventional research was performed in a 750 bedded hospital of south India. 180 subjects were randomly enrolled from the pediatric inpatients of the hospital and all relevant information were obtained from their case file and analyzed for irrational antibiotic use, and also a questionnaire was circulated among patient’s bystanders to assess their knowledge about antibiotics. Several strategies were developed and implemented through leaflets to reduce the inappropriate antibiotic use. Audits were conducted to assess the acceptance of strategies and to find out the impact of clinical pharmacist intervention. Results: Data were collected from 180 patient’s and in that male subjects were dominant (n= 108, 60%) from that of females (n= 72, 40%). In this study beta-lactam antibiotic (35.21%) are predominantly used in pediatrics and were most commonly prescribed for the treatment of respiratory tract infection (33.33%). In pre-intervention phase, inappropriate use of antibiotic was most commonly observed with wrong drug choice (23.3%) and poor knowledge on antibiotics, which was resolved to some extent with clinical pharmacist intervention in the post-intervention phase. Conclusion: Lack of knowledge was the prime reason irrational antibiotic use. Educational interventions and effective communication between healthcare professionals should be encouraged and physicians should adhere to antibiotic prescribing guidelines.","author":[{"dropping-particle":"","family":"Azeez","given":"S","non-dropping-particle":"","parse-names":false,"suffix":""},{"dropping-particle":"","family":"Panakkal","given":"L M","non-dropping-particle":"","parse-names":false,"suffix":""},{"dropping-particle":"","family":"Meenpidiyil","given":"S S","non-dropping-particle":"","parse-names":false,"suffix":""},{"dropping-particle":"","family":"Sulaiman","given":"N","non-dropping-particle":"","parse-names":false,"suffix":""}],"container-title":"Research Journal of Pharmacy and Technology","id":"ITEM-1","issue":"11","issued":{"date-parts":[["2020"]]},"language":"English","page":"5077-5082","publisher-place":"S. Azeez, Department of Pharmacy Practice, Al Shifa College Pharmacy, Perinthalmanna, Malappuram, Kerala, India","title":"Impact of clinical pharmacist intervention in promoting rational antibiotic use in pediatric patients","type":"article-journal","volume":"13"},"uris":["http://www.mendeley.com/documents/?uuid=4c319448-5a31-3585-be25-ce3bdc9237d4"]}],"mendeley":{"formattedCitation":"(166)","plainTextFormattedCitation":"(166)","previouslyFormattedCitation":"(166)"},"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AF1A319" w14:textId="77777777" w:rsidR="00F422E5" w:rsidRPr="00EC3E91" w:rsidRDefault="00F422E5" w:rsidP="00C02742">
            <w:pPr>
              <w:rPr>
                <w:sz w:val="20"/>
                <w:szCs w:val="20"/>
                <w:lang w:val="en-US"/>
              </w:rPr>
            </w:pPr>
            <w:r w:rsidRPr="00EC3E91">
              <w:rPr>
                <w:sz w:val="20"/>
                <w:szCs w:val="20"/>
                <w:lang w:val="en-US"/>
              </w:rPr>
              <w:t>India</w:t>
            </w:r>
          </w:p>
        </w:tc>
        <w:tc>
          <w:tcPr>
            <w:tcW w:w="993" w:type="dxa"/>
            <w:tcBorders>
              <w:top w:val="single" w:sz="4" w:space="0" w:color="auto"/>
              <w:left w:val="nil"/>
              <w:bottom w:val="single" w:sz="4" w:space="0" w:color="auto"/>
              <w:right w:val="nil"/>
            </w:tcBorders>
            <w:hideMark/>
          </w:tcPr>
          <w:p w14:paraId="530AD7B7"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2026BF5"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11F4861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CC93CBA"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F2BAEFE"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49E53731" w14:textId="173F28EB" w:rsidR="00F422E5" w:rsidRPr="00EC3E91" w:rsidRDefault="00F422E5" w:rsidP="00C02742">
            <w:pPr>
              <w:rPr>
                <w:sz w:val="20"/>
                <w:szCs w:val="20"/>
                <w:lang w:val="en-US"/>
              </w:rPr>
            </w:pPr>
            <w:r w:rsidRPr="00EC3E91">
              <w:rPr>
                <w:sz w:val="20"/>
                <w:szCs w:val="20"/>
                <w:lang w:val="en-US"/>
              </w:rPr>
              <w:t xml:space="preserve">National Guidelines </w:t>
            </w:r>
            <w:r w:rsidR="003E560B" w:rsidRPr="00EC3E91">
              <w:rPr>
                <w:sz w:val="20"/>
                <w:szCs w:val="20"/>
                <w:lang w:val="en-US"/>
              </w:rPr>
              <w:t>developed by</w:t>
            </w:r>
            <w:r w:rsidRPr="00EC3E91">
              <w:rPr>
                <w:sz w:val="20"/>
                <w:szCs w:val="20"/>
                <w:lang w:val="en-US"/>
              </w:rPr>
              <w:t xml:space="preserve"> National </w:t>
            </w:r>
            <w:r w:rsidR="00D15AE9" w:rsidRPr="00EC3E91">
              <w:rPr>
                <w:sz w:val="20"/>
                <w:szCs w:val="20"/>
                <w:lang w:val="en-US"/>
              </w:rPr>
              <w:t xml:space="preserve">Centre </w:t>
            </w:r>
            <w:r w:rsidR="00594F8A" w:rsidRPr="00EC3E91">
              <w:rPr>
                <w:sz w:val="20"/>
                <w:szCs w:val="20"/>
                <w:lang w:val="en-US"/>
              </w:rPr>
              <w:t>for Disease</w:t>
            </w:r>
            <w:r w:rsidRPr="00EC3E91">
              <w:rPr>
                <w:sz w:val="20"/>
                <w:szCs w:val="20"/>
                <w:lang w:val="en-US"/>
              </w:rPr>
              <w:t xml:space="preserve"> Control</w:t>
            </w:r>
          </w:p>
        </w:tc>
        <w:tc>
          <w:tcPr>
            <w:tcW w:w="2551" w:type="dxa"/>
            <w:tcBorders>
              <w:top w:val="single" w:sz="4" w:space="0" w:color="auto"/>
              <w:left w:val="nil"/>
              <w:bottom w:val="single" w:sz="4" w:space="0" w:color="auto"/>
              <w:right w:val="nil"/>
            </w:tcBorders>
            <w:hideMark/>
          </w:tcPr>
          <w:p w14:paraId="79832272" w14:textId="77777777" w:rsidR="00F422E5" w:rsidRPr="00EC3E91" w:rsidRDefault="00F422E5" w:rsidP="00C02742">
            <w:pPr>
              <w:rPr>
                <w:sz w:val="20"/>
                <w:szCs w:val="20"/>
                <w:lang w:val="en-US"/>
              </w:rPr>
            </w:pPr>
            <w:r w:rsidRPr="00EC3E91">
              <w:rPr>
                <w:sz w:val="20"/>
                <w:szCs w:val="20"/>
                <w:lang w:val="en-US"/>
              </w:rPr>
              <w:t>develop educational materials</w:t>
            </w:r>
          </w:p>
        </w:tc>
      </w:tr>
      <w:tr w:rsidR="00F422E5" w:rsidRPr="00E119DD" w14:paraId="06E30847" w14:textId="77777777" w:rsidTr="00F422E5">
        <w:trPr>
          <w:trHeight w:val="2235"/>
        </w:trPr>
        <w:tc>
          <w:tcPr>
            <w:tcW w:w="993" w:type="dxa"/>
            <w:tcBorders>
              <w:top w:val="single" w:sz="4" w:space="0" w:color="auto"/>
              <w:left w:val="nil"/>
              <w:bottom w:val="single" w:sz="4" w:space="0" w:color="auto"/>
              <w:right w:val="nil"/>
            </w:tcBorders>
          </w:tcPr>
          <w:p w14:paraId="02BB6CAA" w14:textId="7FB922D2" w:rsidR="00F422E5" w:rsidRPr="00EC3E91" w:rsidRDefault="00A67096" w:rsidP="00C02742">
            <w:pPr>
              <w:rPr>
                <w:sz w:val="20"/>
                <w:szCs w:val="20"/>
                <w:lang w:val="en-US"/>
              </w:rPr>
            </w:pPr>
            <w:r w:rsidRPr="00EC3E91">
              <w:rPr>
                <w:sz w:val="20"/>
                <w:szCs w:val="20"/>
                <w:lang w:val="en-US"/>
              </w:rPr>
              <w:lastRenderedPageBreak/>
              <w:fldChar w:fldCharType="begin" w:fldLock="1"/>
            </w:r>
            <w:r w:rsidR="00164C5A" w:rsidRPr="00EC3E91">
              <w:rPr>
                <w:sz w:val="20"/>
                <w:szCs w:val="20"/>
                <w:lang w:val="en-US"/>
              </w:rPr>
              <w:instrText>ADDIN CSL_CITATION {"citationItems":[{"id":"ITEM-1","itemData":{"DOI":"10.1007/s11096-020-01073-6","ISSN":"22107711","PMID":"32494991","abstract":"Background Polypharmacy is prevalent among long-term care residents in Canada, with 48.4% receiving ten or more different medications and 40.7% chronically prescribed potentially inappropriate medications. Objective We implemented a pharmacist-administered deprescribing program in a long-term care facility to determine if the number of medications taken per resident could be reduced. Setting: A long-term care facility in Newfoundland and Labrador, Canada from February 2017 to February 2018. Method: Residents were randomized to receive either a deprescribing-focused medication review by a pharmacist or usual care. Main outcome measure Change in the number of medications at 3 and 6 months. Results Forty-five residents enrolled in the study (n = 22 intervention, n = 23 control). Seventy-eight deprescribing recommendations were made, and 85.1% were successfully implemented. The average number of medications taken by residents in the intervention group was 2.68 less than the control group (p &lt; 0.02; 95% CI − 4.284, − 1.071) at 3 months and 2.88 less (p = 0.02, 95% CI − 4.543, − 1.112) at 6 months. In 14.9% of cases, a medication had to be restarted after deprescribing was attempted because symptoms returned. Conclusion: A pharmacist-led deprescribing intervention can reduce the number of unnecessary and potentially harmful medications taken by LTC residents.","author":[{"dropping-particle":"","family":"Balsom","given":"Cathy","non-dropping-particle":"","parse-names":false,"suffix":""},{"dropping-particle":"","family":"Pittman","given":"Nicole","non-dropping-particle":"","parse-names":false,"suffix":""},{"dropping-particle":"","family":"King","given":"Renee","non-dropping-particle":"","parse-names":false,"suffix":""},{"dropping-particle":"","family":"Kelly","given":"Debbie","non-dropping-particle":"","parse-names":false,"suffix":""}],"container-title":"International Journal of Clinical Pharmacy","id":"ITEM-1","issue":"4","issued":{"date-parts":[["2020","8","1"]]},"page":"1153-1167","publisher":"Springer","title":"Impact of a pharmacist-administered deprescribing intervention on nursing home residents: a randomized controlled trial","type":"article-journal","volume":"42"},"uris":["http://www.mendeley.com/documents/?uuid=4057d1dc-2711-3d88-8666-53b4dfbf9b41"]}],"mendeley":{"formattedCitation":"(167)","plainTextFormattedCitation":"(167)","previouslyFormattedCitation":"(167)"},"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B445EF7"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38FC2631"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3C51E4F7"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2CC9B64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163179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18BD19E"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BF5803A" w14:textId="38A9316C" w:rsidR="00F422E5" w:rsidRPr="00EC3E91" w:rsidRDefault="003E560B"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24450524" w14:textId="3627C8E8" w:rsidR="00F422E5" w:rsidRPr="00EC3E91" w:rsidRDefault="00F422E5" w:rsidP="00C02742">
            <w:pPr>
              <w:rPr>
                <w:sz w:val="20"/>
                <w:szCs w:val="20"/>
                <w:lang w:val="en-US"/>
              </w:rPr>
            </w:pPr>
            <w:r w:rsidRPr="00EC3E91">
              <w:rPr>
                <w:sz w:val="20"/>
                <w:szCs w:val="20"/>
                <w:lang w:val="en-US"/>
              </w:rPr>
              <w:t xml:space="preserve">develop and organize </w:t>
            </w:r>
            <w:r w:rsidR="003E560B" w:rsidRPr="00EC3E91">
              <w:rPr>
                <w:sz w:val="20"/>
                <w:szCs w:val="20"/>
                <w:lang w:val="en-US"/>
              </w:rPr>
              <w:t>quality</w:t>
            </w:r>
            <w:r w:rsidRPr="00EC3E91">
              <w:rPr>
                <w:sz w:val="20"/>
                <w:szCs w:val="20"/>
                <w:lang w:val="en-US"/>
              </w:rPr>
              <w:t xml:space="preserve"> monitoring system </w:t>
            </w:r>
          </w:p>
        </w:tc>
      </w:tr>
      <w:tr w:rsidR="00F422E5" w:rsidRPr="00E119DD" w14:paraId="09F36C9A" w14:textId="77777777" w:rsidTr="00F422E5">
        <w:trPr>
          <w:trHeight w:val="2235"/>
        </w:trPr>
        <w:tc>
          <w:tcPr>
            <w:tcW w:w="993" w:type="dxa"/>
            <w:tcBorders>
              <w:top w:val="single" w:sz="4" w:space="0" w:color="auto"/>
              <w:left w:val="nil"/>
              <w:bottom w:val="single" w:sz="4" w:space="0" w:color="auto"/>
              <w:right w:val="nil"/>
            </w:tcBorders>
          </w:tcPr>
          <w:p w14:paraId="4EC1493C" w14:textId="0EA3C46C" w:rsidR="00F422E5" w:rsidRPr="00EC3E91" w:rsidRDefault="00164C5A" w:rsidP="00C02742">
            <w:pPr>
              <w:rPr>
                <w:sz w:val="20"/>
                <w:szCs w:val="20"/>
                <w:lang w:val="en-US"/>
              </w:rPr>
            </w:pPr>
            <w:r w:rsidRPr="00EC3E91">
              <w:rPr>
                <w:sz w:val="20"/>
                <w:szCs w:val="20"/>
                <w:lang w:val="en-US"/>
              </w:rPr>
              <w:fldChar w:fldCharType="begin" w:fldLock="1"/>
            </w:r>
            <w:r w:rsidR="0047126E" w:rsidRPr="00EC3E91">
              <w:rPr>
                <w:sz w:val="20"/>
                <w:szCs w:val="20"/>
                <w:lang w:val="en-US"/>
              </w:rPr>
              <w:instrText>ADDIN CSL_CITATION {"citationItems":[{"id":"ITEM-1","itemData":{"ISSN":"1178-6981","abstract":"Background: The recommendations of the American Board of Internal Medicine Foundation’s “Choosing Wisely®” initiative recognize the importance of improving the appropriateness of testing behavior and reducing the number of duplicate laboratory tests. Objective: To assess the effectiveness of an electronic medical record Best Practice Alert (BPA or “pop up”) intervention aimed at reducing duplicate laboratory tests and hospital costs. Design: Comparison of the number of duplicated laboratory tests performed on inpatients before and after the intervention. Setting: University of Florida Health Shands Hospital, Gainesville, FL, USA, during 2014–2017. Intervention: The electronic medical record intervention was a BPA pop-up alert that informed the ordering physician if a recent identical order already existed along with the “ordering time”, “collecting time”, “resulting time”, and the result itself. Main outcome measures: Percentage change in the number of inpatient duplicate orders of selected clinical biochemistry tests and cost savings from reduction of the duplicates. Student’s t-test and beta-binomial models were used to analyze the data. Results: Results from the beta-binomial model indicated that the intervention reduced the overall duplicates by 18% (OR=0.82, standard error=0.016, P-value&lt;0.000). Percent reductions in 9 of the 17 tests were statistically significant: serum hemoglobin A1C level, vitamin B12, serum erythrocyte sedimentation rate, serum folate, serum iron, lipid panel, respiratory viral panel, serum thyroid stimulating hormone level, and Vitamin D. Additionally, important cost savings were realized from the reduction of duplicates for each lab test (with the exception of CRP) with an estimated overall savings of $72,543 over 17 months in the post-intervention period. Conclusions: The present study included all hospital inpatients and covered 17 clinical laboratory tests. This rather simple and low-cost intervention resulted in significant reductions in percentage duplicates of several tests and resulted in cost savings. The study also highlights the role of hospitalists in quality improvement.","author":[{"dropping-particle":"","family":"Bejjanki","given":"H","non-dropping-particle":"","parse-names":false,"suffix":""},{"dropping-particle":"","family":"Mramba","given":"L K","non-dropping-particle":"","parse-names":false,"suffix":""},{"dropping-particle":"","family":"Beal","given":"S G","non-dropping-particle":"","parse-names":false,"suffix":""},{"dropping-particle":"","family":"Radhakrishnan","given":"N","non-dropping-particle":"","parse-names":false,"suffix":""},{"dropping-particle":"","family":"Bishnoi","given":"R","non-dropping-particle":"","parse-names":false,"suffix":""},{"dropping-particle":"","family":"Shah","given":"C","non-dropping-particle":"","parse-names":false,"suffix":""},{"dropping-particle":"","family":"Agrawal","given":"N","non-dropping-particle":"","parse-names":false,"suffix":""},{"dropping-particle":"","family":"Harris","given":"N","non-dropping-particle":"","parse-names":false,"suffix":""},{"dropping-particle":"","family":"Leverence","given":"R","non-dropping-particle":"","parse-names":false,"suffix":""},{"dropping-particle":"","family":"Rand","given":"K","non-dropping-particle":"","parse-names":false,"suffix":""}],"container-title":"ClinicoEconomics and Outcomes Research","id":"ITEM-1","issued":{"date-parts":[["2018"]]},"language":"English","page":"611-618","publisher-place":"H. Bejjanki, Division of Hospital Medicine, Department of Medicine, University of Florida, 1600 SW Archer Road M509, Gainesville, FL, United States","title":"The role of a best practice alert in the electronic medical record in reducing repetitive lab tests","type":"article-journal","volume":"10"},"uris":["http://www.mendeley.com/documents/?uuid=d9f4ea70-5cde-3080-82e1-931def06cdb3"]}],"mendeley":{"formattedCitation":"(168)","plainTextFormattedCitation":"(168)","previouslyFormattedCitation":"(168)"},"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8235A89"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F552E82"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1E60AEA"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13D9D1C"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53C0F670"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2CBB1A87" w14:textId="77777777" w:rsidR="00F422E5" w:rsidRPr="00EC3E91" w:rsidRDefault="00F422E5" w:rsidP="00C02742">
            <w:pPr>
              <w:rPr>
                <w:sz w:val="20"/>
                <w:szCs w:val="20"/>
                <w:lang w:val="en-US"/>
              </w:rPr>
            </w:pPr>
            <w:r w:rsidRPr="00EC3E91">
              <w:rPr>
                <w:sz w:val="20"/>
                <w:szCs w:val="20"/>
                <w:lang w:val="en-US"/>
              </w:rPr>
              <w:t>Duplicate laboratory tests</w:t>
            </w:r>
          </w:p>
        </w:tc>
        <w:tc>
          <w:tcPr>
            <w:tcW w:w="3970" w:type="dxa"/>
            <w:tcBorders>
              <w:top w:val="single" w:sz="4" w:space="0" w:color="auto"/>
              <w:left w:val="nil"/>
              <w:bottom w:val="single" w:sz="4" w:space="0" w:color="auto"/>
              <w:right w:val="nil"/>
            </w:tcBorders>
            <w:hideMark/>
          </w:tcPr>
          <w:p w14:paraId="20F57FD7" w14:textId="77777777" w:rsidR="00F422E5" w:rsidRPr="00EC3E91" w:rsidRDefault="00F422E5" w:rsidP="00C02742">
            <w:pPr>
              <w:rPr>
                <w:sz w:val="20"/>
                <w:szCs w:val="20"/>
                <w:lang w:val="en-US"/>
              </w:rPr>
            </w:pPr>
            <w:r w:rsidRPr="00EC3E91">
              <w:rPr>
                <w:sz w:val="20"/>
                <w:szCs w:val="20"/>
                <w:lang w:val="en-US"/>
              </w:rPr>
              <w:t>Choosing wisely, American college of Chest Physicians and American Thoracic Society</w:t>
            </w:r>
          </w:p>
        </w:tc>
        <w:tc>
          <w:tcPr>
            <w:tcW w:w="2551" w:type="dxa"/>
            <w:tcBorders>
              <w:top w:val="single" w:sz="4" w:space="0" w:color="auto"/>
              <w:left w:val="nil"/>
              <w:bottom w:val="single" w:sz="4" w:space="0" w:color="auto"/>
              <w:right w:val="nil"/>
            </w:tcBorders>
            <w:hideMark/>
          </w:tcPr>
          <w:p w14:paraId="053629EF" w14:textId="1F8D0512" w:rsidR="00F422E5" w:rsidRPr="00EC3E91" w:rsidRDefault="00F422E5" w:rsidP="00C02742">
            <w:pPr>
              <w:rPr>
                <w:sz w:val="20"/>
                <w:szCs w:val="20"/>
                <w:lang w:val="en-US"/>
              </w:rPr>
            </w:pPr>
            <w:r w:rsidRPr="00EC3E91">
              <w:rPr>
                <w:sz w:val="20"/>
                <w:szCs w:val="20"/>
                <w:lang w:val="en-US"/>
              </w:rPr>
              <w:t xml:space="preserve">develop and organize </w:t>
            </w:r>
            <w:r w:rsidR="00496DA2" w:rsidRPr="00EC3E91">
              <w:rPr>
                <w:sz w:val="20"/>
                <w:szCs w:val="20"/>
                <w:lang w:val="en-US"/>
              </w:rPr>
              <w:t>quality</w:t>
            </w:r>
            <w:r w:rsidRPr="00EC3E91">
              <w:rPr>
                <w:sz w:val="20"/>
                <w:szCs w:val="20"/>
                <w:lang w:val="en-US"/>
              </w:rPr>
              <w:t xml:space="preserve"> monitoring system</w:t>
            </w:r>
          </w:p>
        </w:tc>
      </w:tr>
      <w:tr w:rsidR="00F422E5" w:rsidRPr="00E119DD" w14:paraId="4BF8DEB0" w14:textId="77777777" w:rsidTr="00F422E5">
        <w:trPr>
          <w:trHeight w:val="2235"/>
        </w:trPr>
        <w:tc>
          <w:tcPr>
            <w:tcW w:w="993" w:type="dxa"/>
            <w:tcBorders>
              <w:top w:val="single" w:sz="4" w:space="0" w:color="auto"/>
              <w:left w:val="nil"/>
              <w:bottom w:val="single" w:sz="4" w:space="0" w:color="auto"/>
              <w:right w:val="nil"/>
            </w:tcBorders>
          </w:tcPr>
          <w:p w14:paraId="5A99FAF4" w14:textId="66712154" w:rsidR="00F422E5" w:rsidRPr="00EC3E91" w:rsidRDefault="0047126E" w:rsidP="00C02742">
            <w:pPr>
              <w:rPr>
                <w:sz w:val="20"/>
                <w:szCs w:val="20"/>
                <w:lang w:val="en-US"/>
              </w:rPr>
            </w:pPr>
            <w:r w:rsidRPr="00EC3E91">
              <w:rPr>
                <w:sz w:val="20"/>
                <w:szCs w:val="20"/>
                <w:lang w:val="en-US"/>
              </w:rPr>
              <w:fldChar w:fldCharType="begin" w:fldLock="1"/>
            </w:r>
            <w:r w:rsidR="006D21E0" w:rsidRPr="00EC3E91">
              <w:rPr>
                <w:sz w:val="20"/>
                <w:szCs w:val="20"/>
                <w:lang w:val="en-US"/>
              </w:rPr>
              <w:instrText>ADDIN CSL_CITATION {"citationItems":[{"id":"ITEM-1","itemData":{"DOI":"10.1542/hpeds.2019-0284","ISSN":"2154-1663","abstract":"BACKGROUND AND OBJECTIVES: Quality improvement (QI) initiatives have increased provider adherence to individual components of a bronchiolitis clinical practice guideline (CPG). Few have evaluated complete adherence to a guideline in multiple types of care settings. Our aim with this study was to increase complete adherence to our institutional bronchiolitis CPG in urgent care center, emergency department, and inpatient settings.\n\nMETHODS: We conducted a QI study at a single pediatric institution with multiple care settings. Encounters for patients with bronchiolitis ages &gt;60 days to &lt;24 months occurring between October 1 and March 31 in 2015–2018 were included. Those in intensive or subspecialty care were excluded. Management of each encounter was considered adherent to the CPG if none of the following were ordered: respiratory pathogen panel, respiratory syncytial virus antigen, complete blood cell count, blood culture, chest radiography, bronchodilator, antibiotic, or systemic corticosteroid. Medical team education, family engagement, order set modifications, and data dissemination were employed to drive deimplementation. We used interrupted time series to assess changes in processes and outcomes both across and within seasons.\n\nRESULTS: Analysis included 13 063 patient encounters. Hospital-wide complete adherence to the CPG increased ( P &lt; .001) from 40.9% (95% confidence interval 39.3%–42.5%) to 54.6% (95% confidence interval 53.2%–56.0%). Although CPG adherence improved in all 3 clinical settings, the use of individual CPG components varied by setting. Direct cost decreased in the urgent care center ( P &lt; .001) and emergency department ( P = .001).\n\nCONCLUSIONS: We created a strict definition of CPG adherence and used QI methodology to deimplement multiple overused tests and medications across the continuum of patient care.","author":[{"dropping-particle":"","family":"Berg","given":"Kathleen","non-dropping-particle":"","parse-names":false,"suffix":""},{"dropping-particle":"","family":"Nedved","given":"Amanda","non-dropping-particle":"","parse-names":false,"suffix":""},{"dropping-particle":"","family":"Richardson","given":"Troy","non-dropping-particle":"","parse-names":false,"suffix":""},{"dropping-particle":"","family":"Montalbano","given":"Amanda","non-dropping-particle":"","parse-names":false,"suffix":""},{"dropping-particle":"","family":"Michael","given":"Jeffrey","non-dropping-particle":"","parse-names":false,"suffix":""},{"dropping-particle":"","family":"Johnson","given":"Matthew","non-dropping-particle":"","parse-names":false,"suffix":""}],"container-title":"Hospital Pediatrics","id":"ITEM-1","issue":"5","issued":{"date-parts":[["2020","5","1"]]},"page":"385-391","publisher":"American Academy of Pediatrics (AAP)","title":"Actively Doing Less: Deimplementation of Unnecessary Interventions in Bronchiolitis Care Across Urgent Care, Emergency Department, and Inpatient Settings","type":"article-journal","volume":"10"},"uris":["http://www.mendeley.com/documents/?uuid=3d8a9244-7530-3491-b7bf-59a9d6c8d5d2"]}],"mendeley":{"formattedCitation":"(169)","plainTextFormattedCitation":"(169)","previouslyFormattedCitation":"(169)"},"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(169)</w:t>
            </w:r>
            <w:r w:rsidRPr="00EC3E91">
              <w:rPr>
                <w:sz w:val="20"/>
                <w:szCs w:val="20"/>
                <w:lang w:val="en-US"/>
              </w:rPr>
              <w:fldChar w:fldCharType="end"/>
            </w:r>
            <w:r w:rsidR="006D21E0" w:rsidRPr="00EC3E91">
              <w:rPr>
                <w:sz w:val="20"/>
                <w:szCs w:val="20"/>
                <w:lang w:val="en-US"/>
              </w:rPr>
              <w:t>,</w:t>
            </w:r>
          </w:p>
        </w:tc>
        <w:tc>
          <w:tcPr>
            <w:tcW w:w="992" w:type="dxa"/>
            <w:tcBorders>
              <w:top w:val="single" w:sz="4" w:space="0" w:color="auto"/>
              <w:left w:val="nil"/>
              <w:bottom w:val="single" w:sz="4" w:space="0" w:color="auto"/>
              <w:right w:val="nil"/>
            </w:tcBorders>
            <w:hideMark/>
          </w:tcPr>
          <w:p w14:paraId="603D4685"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9C73B07"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B3045CC"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65F27D2C"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22B8E790" w14:textId="77777777" w:rsidR="00F422E5" w:rsidRPr="00EC3E91" w:rsidRDefault="00F422E5" w:rsidP="00C02742">
            <w:pPr>
              <w:rPr>
                <w:sz w:val="20"/>
                <w:szCs w:val="20"/>
                <w:lang w:val="en-US"/>
              </w:rPr>
            </w:pPr>
            <w:r w:rsidRPr="00EC3E91">
              <w:rPr>
                <w:sz w:val="20"/>
                <w:szCs w:val="20"/>
                <w:lang w:val="en-US"/>
              </w:rPr>
              <w:t>Imaging, Antibiotics, Other</w:t>
            </w:r>
            <w:r w:rsidRPr="00EC3E91">
              <w:rPr>
                <w:sz w:val="20"/>
                <w:szCs w:val="20"/>
                <w:vertAlign w:val="superscript"/>
                <w:lang w:val="en-US"/>
              </w:rPr>
              <w:t>1</w:t>
            </w:r>
            <w:r w:rsidRPr="00EC3E91">
              <w:rPr>
                <w:sz w:val="20"/>
                <w:szCs w:val="20"/>
                <w:lang w:val="en-US"/>
              </w:rPr>
              <w:t>, Lab tests</w:t>
            </w:r>
          </w:p>
        </w:tc>
        <w:tc>
          <w:tcPr>
            <w:tcW w:w="2126" w:type="dxa"/>
            <w:tcBorders>
              <w:top w:val="single" w:sz="4" w:space="0" w:color="auto"/>
              <w:left w:val="nil"/>
              <w:bottom w:val="single" w:sz="4" w:space="0" w:color="auto"/>
              <w:right w:val="nil"/>
            </w:tcBorders>
            <w:hideMark/>
          </w:tcPr>
          <w:p w14:paraId="2A984C57" w14:textId="77777777" w:rsidR="00F422E5" w:rsidRPr="00EC3E91" w:rsidRDefault="00F422E5" w:rsidP="00C02742">
            <w:pPr>
              <w:rPr>
                <w:sz w:val="20"/>
                <w:szCs w:val="20"/>
                <w:lang w:val="en-US"/>
              </w:rPr>
            </w:pPr>
            <w:r w:rsidRPr="00EC3E91">
              <w:rPr>
                <w:sz w:val="20"/>
                <w:szCs w:val="20"/>
                <w:lang w:val="en-US"/>
              </w:rPr>
              <w:t>Medical interventions discouraged by the AAP bronchiolitis guideline</w:t>
            </w:r>
          </w:p>
        </w:tc>
        <w:tc>
          <w:tcPr>
            <w:tcW w:w="3970" w:type="dxa"/>
            <w:tcBorders>
              <w:top w:val="single" w:sz="4" w:space="0" w:color="auto"/>
              <w:left w:val="nil"/>
              <w:bottom w:val="single" w:sz="4" w:space="0" w:color="auto"/>
              <w:right w:val="nil"/>
            </w:tcBorders>
            <w:hideMark/>
          </w:tcPr>
          <w:p w14:paraId="2FB574F5" w14:textId="55E009E0" w:rsidR="00F422E5" w:rsidRPr="00EC3E91" w:rsidRDefault="00F422E5" w:rsidP="00C02742">
            <w:pPr>
              <w:rPr>
                <w:sz w:val="20"/>
                <w:szCs w:val="20"/>
                <w:lang w:val="en-US"/>
              </w:rPr>
            </w:pPr>
            <w:r w:rsidRPr="00EC3E91">
              <w:rPr>
                <w:sz w:val="20"/>
                <w:szCs w:val="20"/>
                <w:lang w:val="en-US"/>
              </w:rPr>
              <w:t>the American Academy of Pediatrics (</w:t>
            </w:r>
            <w:r w:rsidR="00496DA2" w:rsidRPr="00EC3E91">
              <w:rPr>
                <w:sz w:val="20"/>
                <w:szCs w:val="20"/>
                <w:lang w:val="en-US"/>
              </w:rPr>
              <w:t>AAP) clinical</w:t>
            </w:r>
            <w:r w:rsidRPr="00EC3E91">
              <w:rPr>
                <w:sz w:val="20"/>
                <w:szCs w:val="20"/>
                <w:lang w:val="en-US"/>
              </w:rPr>
              <w:t xml:space="preserve"> practice guideline</w:t>
            </w:r>
          </w:p>
        </w:tc>
        <w:tc>
          <w:tcPr>
            <w:tcW w:w="2551" w:type="dxa"/>
            <w:tcBorders>
              <w:top w:val="single" w:sz="4" w:space="0" w:color="auto"/>
              <w:left w:val="nil"/>
              <w:bottom w:val="single" w:sz="4" w:space="0" w:color="auto"/>
              <w:right w:val="nil"/>
            </w:tcBorders>
            <w:hideMark/>
          </w:tcPr>
          <w:p w14:paraId="5F549C31" w14:textId="797E97B9" w:rsidR="00F422E5" w:rsidRPr="00EC3E91" w:rsidRDefault="00F422E5" w:rsidP="00C02742">
            <w:pPr>
              <w:rPr>
                <w:sz w:val="20"/>
                <w:szCs w:val="20"/>
                <w:lang w:val="en-US"/>
              </w:rPr>
            </w:pPr>
            <w:r w:rsidRPr="00EC3E91">
              <w:rPr>
                <w:sz w:val="20"/>
                <w:szCs w:val="20"/>
                <w:lang w:val="en-US"/>
              </w:rPr>
              <w:t xml:space="preserve">distribute educational materials, change physical structure and equipment, conduct educational meeting, develop educational materials, audit and provide </w:t>
            </w:r>
            <w:r w:rsidR="00496DA2" w:rsidRPr="00EC3E91">
              <w:rPr>
                <w:sz w:val="20"/>
                <w:szCs w:val="20"/>
                <w:lang w:val="en-US"/>
              </w:rPr>
              <w:t>feedback</w:t>
            </w:r>
          </w:p>
        </w:tc>
      </w:tr>
      <w:tr w:rsidR="00F422E5" w:rsidRPr="00E119DD" w14:paraId="3A47BD30" w14:textId="77777777" w:rsidTr="00F422E5">
        <w:trPr>
          <w:trHeight w:val="2235"/>
        </w:trPr>
        <w:tc>
          <w:tcPr>
            <w:tcW w:w="993" w:type="dxa"/>
            <w:tcBorders>
              <w:top w:val="single" w:sz="4" w:space="0" w:color="auto"/>
              <w:left w:val="nil"/>
              <w:bottom w:val="single" w:sz="4" w:space="0" w:color="auto"/>
              <w:right w:val="nil"/>
            </w:tcBorders>
          </w:tcPr>
          <w:p w14:paraId="2583EC71" w14:textId="0156915D" w:rsidR="00F422E5" w:rsidRPr="00EC3E91" w:rsidRDefault="006D21E0" w:rsidP="00C02742">
            <w:pPr>
              <w:rPr>
                <w:sz w:val="20"/>
                <w:szCs w:val="20"/>
                <w:lang w:val="en-US"/>
              </w:rPr>
            </w:pPr>
            <w:r w:rsidRPr="00EC3E91">
              <w:rPr>
                <w:sz w:val="20"/>
                <w:szCs w:val="20"/>
                <w:lang w:val="en-US"/>
              </w:rPr>
              <w:fldChar w:fldCharType="begin" w:fldLock="1"/>
            </w:r>
            <w:r w:rsidR="00EA00C1" w:rsidRPr="00EC3E91">
              <w:rPr>
                <w:sz w:val="20"/>
                <w:szCs w:val="20"/>
                <w:lang w:val="en-US"/>
              </w:rPr>
              <w:instrText>ADDIN CSL_CITATION {"citationItems":[{"id":"ITEM-1","itemData":{"ISSN":"2079-6382","abstract":"Inappropriate antimicrobial prescribing contributes to increasing antimicrobial resistance. An antimicrobial stewardship (AMS) program in the form of quality improvement activities that included audit and feedback, clinical decision support and education was developed to help optimise prescribing in general practice. The aim of this study was to evaluate the implementation of this program (Guidance GP) in three general practices in Melbourne, Australia, between November 2019 and August 2020. Thirty-one general practitioners (GPs) participated in the program, with 11 GPs and three practice managers participating in follow-up focus groups and interviews to explore the acceptability and feasibility of the program. Our findings showed that the quality improvement activities were acceptable to GPs, if they accurately fit GPs’ decision-making process and workflow. It was also important that they provided clinically meaningful information in the form of audit and feedback to GPs. The time needed to coordinate the program, and costs to implement the program were some of the potential barriers identified. Facilitators of success were a ‘whole of practice’ approach with enthusiastic GPs and practice staff, and an identified practice champion. The findings of this research will inform implementation strategies for both the Guidance GP program and AMS programs more broadly in Australian general practice, which will be critical for general practice participation and engagement.","author":[{"dropping-particle":"","family":"Biezen","given":"R","non-dropping-particle":"","parse-names":false,"suffix":""},{"dropping-particle":"","family":"Buising","given":"K","non-dropping-particle":"","parse-names":false,"suffix":""},{"dropping-particle":"","family":"Monaghan","given":"T","non-dropping-particle":"","parse-names":false,"suffix":""},{"dropping-particle":"","family":"Bal","given":"R","non-dropping-particle":"","parse-names":false,"suffix":""},{"dropping-particle":"","family":"Thursky","given":"K","non-dropping-particle":"","parse-names":false,"suffix":""},{"dropping-particle":"","family":"Cheah","given":"R","non-dropping-particle":"","parse-names":false,"suffix":""},{"dropping-particle":"","family":"Clark","given":"M","non-dropping-particle":"","parse-names":false,"suffix":""},{"dropping-particle":"","family":"Manski-Nankervis","given":"J A","non-dropping-particle":"","parse-names":false,"suffix":""}],"container-title":"Antibiotics","id":"ITEM-1","issue":"7","issued":{"date-parts":[["2021"]]},"language":"English","publisher-place":"R. Biezen, Department of General Practice, The University of Melbourne, Melbourne, Australia","title":"Evaluating the implementation of a pilot quality improvement program to support appropriate antimicrobial prescribing in general practice","type":"article-journal","volume":"10"},"uris":["http://www.mendeley.com/documents/?uuid=4c842afc-1e1d-3a67-b21c-44bb0d19ef4f"]}],"mendeley":{"formattedCitation":"(170)","plainTextFormattedCitation":"(170)","previouslyFormattedCitation":"(170)"},"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(170)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112711C"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4B8A12A4"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AFA04C2" w14:textId="054EE824" w:rsidR="00F422E5" w:rsidRPr="00EC3E91" w:rsidRDefault="00496DA2" w:rsidP="00C02742">
            <w:pPr>
              <w:rPr>
                <w:sz w:val="20"/>
                <w:szCs w:val="20"/>
                <w:lang w:val="en-US"/>
              </w:rPr>
            </w:pPr>
            <w:r w:rsidRPr="00EC3E91">
              <w:rPr>
                <w:sz w:val="20"/>
                <w:szCs w:val="20"/>
                <w:lang w:val="en-US"/>
              </w:rPr>
              <w:t>Mixed Pre</w:t>
            </w:r>
            <w:r w:rsidR="00F422E5" w:rsidRPr="00EC3E91">
              <w:rPr>
                <w:sz w:val="20"/>
                <w:szCs w:val="20"/>
                <w:lang w:val="en-US"/>
              </w:rPr>
              <w:t xml:space="preserve">-post </w:t>
            </w:r>
          </w:p>
        </w:tc>
        <w:tc>
          <w:tcPr>
            <w:tcW w:w="851" w:type="dxa"/>
            <w:tcBorders>
              <w:top w:val="single" w:sz="4" w:space="0" w:color="auto"/>
              <w:left w:val="nil"/>
              <w:bottom w:val="single" w:sz="4" w:space="0" w:color="auto"/>
              <w:right w:val="nil"/>
            </w:tcBorders>
            <w:hideMark/>
          </w:tcPr>
          <w:p w14:paraId="34953E86" w14:textId="77777777" w:rsidR="00F422E5" w:rsidRPr="00EC3E91" w:rsidRDefault="00F422E5"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hideMark/>
          </w:tcPr>
          <w:p w14:paraId="5C8C6F6C"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129B6CC9"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6FA919BB" w14:textId="77777777" w:rsidR="00F422E5" w:rsidRPr="00EC3E91" w:rsidRDefault="00F422E5" w:rsidP="00C02742">
            <w:pPr>
              <w:rPr>
                <w:sz w:val="20"/>
                <w:szCs w:val="20"/>
                <w:lang w:val="en-US"/>
              </w:rPr>
            </w:pPr>
            <w:r w:rsidRPr="00EC3E91">
              <w:rPr>
                <w:sz w:val="20"/>
                <w:szCs w:val="20"/>
                <w:lang w:val="en-US"/>
              </w:rPr>
              <w:t>Australia’s National Antimicrobial Resistance Strategy (Australian Government Department of Health)</w:t>
            </w:r>
          </w:p>
        </w:tc>
        <w:tc>
          <w:tcPr>
            <w:tcW w:w="2551" w:type="dxa"/>
            <w:tcBorders>
              <w:top w:val="single" w:sz="4" w:space="0" w:color="auto"/>
              <w:left w:val="nil"/>
              <w:bottom w:val="single" w:sz="4" w:space="0" w:color="auto"/>
              <w:right w:val="nil"/>
            </w:tcBorders>
            <w:hideMark/>
          </w:tcPr>
          <w:p w14:paraId="454D1C69" w14:textId="77777777" w:rsidR="00F422E5" w:rsidRPr="00EC3E91" w:rsidRDefault="00F422E5" w:rsidP="00C02742">
            <w:pPr>
              <w:rPr>
                <w:sz w:val="20"/>
                <w:szCs w:val="20"/>
                <w:lang w:val="en-US"/>
              </w:rPr>
            </w:pPr>
            <w:r w:rsidRPr="00EC3E91">
              <w:rPr>
                <w:sz w:val="20"/>
                <w:szCs w:val="20"/>
                <w:lang w:val="en-US"/>
              </w:rPr>
              <w:t xml:space="preserve">remind clinicians, audit and provide feedback, conduct educational meeting </w:t>
            </w:r>
          </w:p>
        </w:tc>
      </w:tr>
      <w:tr w:rsidR="00F422E5" w:rsidRPr="00E119DD" w14:paraId="32C547F1" w14:textId="77777777" w:rsidTr="00F422E5">
        <w:trPr>
          <w:trHeight w:val="2235"/>
        </w:trPr>
        <w:tc>
          <w:tcPr>
            <w:tcW w:w="993" w:type="dxa"/>
            <w:tcBorders>
              <w:top w:val="single" w:sz="4" w:space="0" w:color="auto"/>
              <w:left w:val="nil"/>
              <w:bottom w:val="single" w:sz="4" w:space="0" w:color="auto"/>
              <w:right w:val="nil"/>
            </w:tcBorders>
          </w:tcPr>
          <w:p w14:paraId="6D31BA7E" w14:textId="49BB8087" w:rsidR="00F422E5" w:rsidRPr="00EC3E91" w:rsidRDefault="00EA00C1" w:rsidP="00C02742">
            <w:pPr>
              <w:rPr>
                <w:sz w:val="20"/>
                <w:szCs w:val="20"/>
                <w:lang w:val="en-US"/>
              </w:rPr>
            </w:pPr>
            <w:r w:rsidRPr="00EC3E91">
              <w:rPr>
                <w:sz w:val="20"/>
                <w:szCs w:val="20"/>
                <w:lang w:val="en-US"/>
              </w:rPr>
              <w:lastRenderedPageBreak/>
              <w:fldChar w:fldCharType="begin" w:fldLock="1"/>
            </w:r>
            <w:r w:rsidR="007070F6" w:rsidRPr="00EC3E91">
              <w:rPr>
                <w:sz w:val="20"/>
                <w:szCs w:val="20"/>
                <w:lang w:val="en-US"/>
              </w:rPr>
              <w:instrText>ADDIN CSL_CITATION {"citationItems":[{"id":"ITEM-1","itemData":{"DOI":"10.1136/bmj.n1585","ISSN":"17561833","PMID":"34257088","abstract":"Objective To examine the effect of optimising drug treatment on drug related hospital admissions in older adults with multimorbidity and polypharmacy admitted to hospital. Design Cluster randomised controlled trial. Setting 110 clusters of inpatient wards within university based hospitals in four European countries (Switzerland, Netherlands, Belgium, and Republic of Ireland) defined by attending hospital doctors. Participants 2008 older adults (≥70 years) with multimorbidity (≥3 chronic conditions) and polypharmacy (≥5 drugs used long term). Intervention Clinical staff clusters were randomised to usual care or a structured pharmacotherapy optimisation intervention performed at the individual level jointly by a doctor and a pharmacist, with the support of a clinical decision software system deploying the screening tool of older person's prescriptions and screening tool to alert to the right treatment (STOPP/START) criteria to identify potentially inappropriate prescribing. Main outcome measure Primary outcome was first drug related hospital admission within 12 months. Results 2008 older adults (median nine drugs) were randomised and enrolled in 54 intervention clusters (963 participants) and 56 control clusters (1045 participants) receiving usual care. In the intervention arm, 86.1% of participants (n=789) had inappropriate prescribing, with a mean of 2.75 (SD 2.24) STOPP/START recommendations for each participant. 62.2% (n=491) had ≥1 recommendation successfully implemented at two months, predominantly discontinuation of potentially inappropriate drugs. In the intervention group, 211 participants (21.9%) experienced a first drug related hospital admission compared with 234 (22.4%) in the control group. In the intention-to-treat analysis censored for death as competing event (n=375, 18.7%), the hazard ratio for first drug related hospital admission was 0.95 (95% confidence interval 0.77 to 1.17). In the per protocol analysis, the hazard ratio for a drug related hospital admission was 0.91 (0.69 to 1.19). The hazard ratio for first fall was 0.96 (0.79 to 1.15; 237 v 263 first falls) and for death was 0.90 (0.71 to 1.13; 172 v 203 deaths). Conclusions Inappropriate prescribing was common in older adults with multimorbidity and polypharmacy admitted to hospital and was reduced through an intervention to optimise pharmacotherapy, but without effect on drug related hospital admissions. Additional efforts are needed to identify pharmacotherapy optimisation int…","author":[{"dropping-particle":"","family":"Blum","given":"Manuel R.","non-dropping-particle":"","parse-names":false,"suffix":""},{"dropping-particle":"","family":"Sallevelt","given":"Bastiaan T.G.M.","non-dropping-particle":"","parse-names":false,"suffix":""},{"dropping-particle":"","family":"Spinewine","given":"Anne","non-dropping-particle":"","parse-names":false,"suffix":""},{"dropping-particle":"","family":"O'Mahony","given":"Denis","non-dropping-particle":"","parse-names":false,"suffix":""},{"dropping-particle":"","family":"Moutzouri","given":"Elisavet","non-dropping-particle":"","parse-names":false,"suffix":""},{"dropping-particle":"","family":"Feller","given":"Martin","non-dropping-particle":"","parse-names":false,"suffix":""},{"dropping-particle":"","family":"Baumgartner","given":"Christine","non-dropping-particle":"","parse-names":false,"suffix":""},{"dropping-particle":"","family":"Roumet","given":"Marie","non-dropping-particle":"","parse-names":false,"suffix":""},{"dropping-particle":"","family":"Jungo","given":"Katharina Tabea","non-dropping-particle":"","parse-names":false,"suffix":""},{"dropping-particle":"","family":"Schwab","given":"Nathalie","non-dropping-particle":"","parse-names":false,"suffix":""},{"dropping-particle":"","family":"Bretagne","given":"Lisa","non-dropping-particle":"","parse-names":false,"suffix":""},{"dropping-particle":"","family":"Beglinger","given":"Shanthi","non-dropping-particle":"","parse-names":false,"suffix":""},{"dropping-particle":"","family":"Aubert","given":"Carole E.","non-dropping-particle":"","parse-names":false,"suffix":""},{"dropping-particle":"","family":"Wilting","given":"Ingeborg","non-dropping-particle":"","parse-names":false,"suffix":""},{"dropping-particle":"","family":"Thevelin","given":"Stefanie","non-dropping-particle":"","parse-names":false,"suffix":""},{"dropping-particle":"","family":"Murphy","given":"Kevin","non-dropping-particle":"","parse-names":false,"suffix":""},{"dropping-particle":"","family":"Huibers","given":"Corlina J.A.","non-dropping-particle":"","parse-names":false,"suffix":""},{"dropping-particle":"","family":"Clara Drenth-Van Maanen","given":"A.","non-dropping-particle":"","parse-names":false,"suffix":""},{"dropping-particle":"","family":"Boland","given":"Benoit","non-dropping-particle":"","parse-names":false,"suffix":""},{"dropping-particle":"","family":"Crowley","given":"Erin","non-dropping-particle":"","parse-names":false,"suffix":""},{"dropping-particle":"","family":"Eichenberger","given":"Anne","non-dropping-particle":"","parse-names":false,"suffix":""},{"dropping-particle":"","family":"Meulendijk","given":"Michiel","non-dropping-particle":"","parse-names":false,"suffix":""},{"dropping-particle":"","family":"Jennings","given":"Emma","non-dropping-particle":"","parse-names":false,"suffix":""},{"dropping-particle":"","family":"Adam","given":"Luise","non-dropping-particle":"","parse-names":false,"suffix":""},{"dropping-particle":"","family":"Roos","given":"Marvin J.","non-dropping-particle":"","parse-names":false,"suffix":""},{"dropping-particle":"","family":"Gleeson","given":"Laura","non-dropping-particle":"","parse-names":false,"suffix":""},{"dropping-particle":"","family":"Shen","given":"Zhengru","non-dropping-particle":"","parse-names":false,"suffix":""},{"dropping-particle":"","family":"Marien","given":"Sophie","non-dropping-particle":"","parse-names":false,"suffix":""},{"dropping-particle":"","family":"Meinders","given":"Arend Jan","non-dropping-particle":"","parse-names":false,"suffix":""},{"dropping-particle":"","family":"Baretella","given":"Oliver","non-dropping-particle":"","parse-names":false,"suffix":""},{"dropping-particle":"","family":"Netzer","given":"Seraina","non-dropping-particle":"","parse-names":false,"suffix":""},{"dropping-particle":"","family":"Montmollin","given":"Maria","non-dropping-particle":"De","parse-names":false,"suffix":""},{"dropping-particle":"","family":"Fournier","given":"Anne","non-dropping-particle":"","parse-names":false,"suffix":""},{"dropping-particle":"","family":"Mouzon","given":"Ariane","non-dropping-particle":"","parse-names":false,"suffix":""},{"dropping-particle":"","family":"O'Mahony","given":"Cian","non-dropping-particle":"","parse-names":false,"suffix":""},{"dropping-particle":"","family":"Aujesky","given":"Drahomir","non-dropping-particle":"","parse-names":false,"suffix":""},{"dropping-particle":"","family":"Mavridis","given":"Dimitris","non-dropping-particle":"","parse-names":false,"suffix":""},{"dropping-particle":"","family":"Byrne","given":"Stephen","non-dropping-particle":"","parse-names":false,"suffix":""},{"dropping-particle":"","family":"Jansen","given":"Paul A.F.","non-dropping-particle":"","parse-names":false,"suffix":""},{"dropping-particle":"","family":"Schwenkglenks","given":"Matthias","non-dropping-particle":"","parse-names":false,"suffix":""},{"dropping-particle":"","family":"Spruit","given":"Marco","non-dropping-particle":"","parse-names":false,"suffix":""},{"dropping-particle":"","family":"Dalleur","given":"Olivia","non-dropping-particle":"","parse-names":false,"suffix":""},{"dropping-particle":"","family":"Knol","given":"Wilma","non-dropping-particle":"","parse-names":false,"suffix":""},{"dropping-particle":"","family":"Trelle","given":"Sven","non-dropping-particle":"","parse-names":false,"suffix":""},{"dropping-particle":"","family":"Rodondi","given":"Nicolas","non-dropping-particle":"","parse-names":false,"suffix":""}],"container-title":"The BMJ","id":"ITEM-1","issued":{"date-parts":[["2021","7","13"]]},"publisher":"BMJ Publishing Group","title":"Optimizing Therapy to Prevent Avoidable Hospital Admissions in Multimorbid Older Adults (OPERAM): Cluster randomised controlled trial","type":"article-journal","volume":"374"},"uris":["http://www.mendeley.com/documents/?uuid=6b812901-3826-30c2-aaa7-40cf7c95d5fe"]}],"mendeley":{"formattedCitation":"(171)","plainTextFormattedCitation":"(171)","previouslyFormattedCitation":"(171)"},"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(171)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7CC6EBC" w14:textId="77777777" w:rsidR="00F422E5" w:rsidRPr="00EC3E91" w:rsidRDefault="00F422E5" w:rsidP="00C02742">
            <w:pPr>
              <w:rPr>
                <w:sz w:val="20"/>
                <w:szCs w:val="20"/>
                <w:lang w:val="en-US"/>
              </w:rPr>
            </w:pPr>
            <w:r w:rsidRPr="00EC3E91">
              <w:rPr>
                <w:sz w:val="20"/>
                <w:szCs w:val="20"/>
                <w:lang w:val="en-US"/>
              </w:rPr>
              <w:t>Multiple countries</w:t>
            </w:r>
          </w:p>
        </w:tc>
        <w:tc>
          <w:tcPr>
            <w:tcW w:w="993" w:type="dxa"/>
            <w:tcBorders>
              <w:top w:val="single" w:sz="4" w:space="0" w:color="auto"/>
              <w:left w:val="nil"/>
              <w:bottom w:val="single" w:sz="4" w:space="0" w:color="auto"/>
              <w:right w:val="nil"/>
            </w:tcBorders>
            <w:hideMark/>
          </w:tcPr>
          <w:p w14:paraId="68C0D89E"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94319B0" w14:textId="2278B0AB" w:rsidR="00F422E5" w:rsidRPr="00EC3E91" w:rsidRDefault="00496DA2" w:rsidP="00C02742">
            <w:pPr>
              <w:rPr>
                <w:sz w:val="20"/>
                <w:szCs w:val="20"/>
                <w:lang w:val="en-US"/>
              </w:rPr>
            </w:pPr>
            <w:r w:rsidRPr="00EC3E91">
              <w:rPr>
                <w:sz w:val="20"/>
                <w:szCs w:val="20"/>
                <w:lang w:val="en-US"/>
              </w:rPr>
              <w:t>Mixed RCT</w:t>
            </w:r>
          </w:p>
        </w:tc>
        <w:tc>
          <w:tcPr>
            <w:tcW w:w="851" w:type="dxa"/>
            <w:tcBorders>
              <w:top w:val="single" w:sz="4" w:space="0" w:color="auto"/>
              <w:left w:val="nil"/>
              <w:bottom w:val="single" w:sz="4" w:space="0" w:color="auto"/>
              <w:right w:val="nil"/>
            </w:tcBorders>
            <w:hideMark/>
          </w:tcPr>
          <w:p w14:paraId="2E3D4B2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07A002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365775E"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6A133C1"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314B59EB" w14:textId="77777777" w:rsidR="00F422E5" w:rsidRPr="00EC3E91" w:rsidRDefault="00F422E5" w:rsidP="00C02742">
            <w:pPr>
              <w:rPr>
                <w:sz w:val="20"/>
                <w:szCs w:val="20"/>
                <w:lang w:val="en-US"/>
              </w:rPr>
            </w:pPr>
            <w:r w:rsidRPr="00EC3E91">
              <w:rPr>
                <w:sz w:val="20"/>
                <w:szCs w:val="20"/>
                <w:lang w:val="en-US"/>
              </w:rPr>
              <w:t>develop and organize quality monitoring systems, remind clinicians, [communication tool]</w:t>
            </w:r>
          </w:p>
        </w:tc>
      </w:tr>
      <w:tr w:rsidR="00F422E5" w:rsidRPr="00E119DD" w14:paraId="09E8B13F" w14:textId="77777777" w:rsidTr="00F422E5">
        <w:trPr>
          <w:trHeight w:val="2235"/>
        </w:trPr>
        <w:tc>
          <w:tcPr>
            <w:tcW w:w="993" w:type="dxa"/>
            <w:tcBorders>
              <w:top w:val="single" w:sz="4" w:space="0" w:color="auto"/>
              <w:left w:val="nil"/>
              <w:bottom w:val="single" w:sz="4" w:space="0" w:color="auto"/>
              <w:right w:val="nil"/>
            </w:tcBorders>
          </w:tcPr>
          <w:p w14:paraId="5565AB89" w14:textId="655DB3AA" w:rsidR="00F422E5" w:rsidRPr="00EC3E91" w:rsidRDefault="007070F6"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{"citationItems":[{"id":"ITEM-1","itemData":{"DOI":"10.1093/ajhp/zxz144","ISSN":"1079-2082","abstract":"A novel automatic discontinuation policy implemented within an antimicrobial stewardship program (ASP) is described, and results of an evaluation of the policy’s effects on antibiotic usage are reported.A retrospective, before-and-after study was conducted at an 800-bed, tertiary care, academic teaching hospital to evaluate selected antibiotic usage outcomes in both intensive care unit (ICU) and non-ICU adult patients targeted for ASP interventions before and after implementation of an automatic discontinuation of antibiotics policy (ADAP) authorizing the ASP team to automatically halt antibiotic therapy in cases involving inappropriate duplicate antimicrobial coverage or excess duration of therapy. The primary outcome was total days of antibiotic therapy. Secondary outcomes included excess days of therapy and rates of 30-day readmission, Clostridioides difficile infection, and multidrug-resistant infection.There were no statistically significant differences in group demographics or clinical characteristics. The most common indication for antibiotics was hospital-acquired pneumonia, and the most common reason for ASP intervention was excess duration of therapy. The mean total number of antibiotic days per patient was reduced from 7.6 days in the pre-ADAP group to 6.6 days in the post-ADAP group (p &lt; 0.05). The mean number of excess days of antibiotics was similarly reduced, from 2.3 days to 1.5 days, after implementation of the ADAP (p &lt; 0.05).Adoption of an ADAP—a more active approach to ASP interventions—was effective in reducing overall antibiotic usage and improving the efficiency of the ASP.","author":[{"dropping-particle":"","family":"Bolten","given":"Bailey C","non-dropping-particle":"","parse-names":false,"suffix":""},{"dropping-particle":"","family":"Bradford","given":"J Lacie","non-dropping-particle":"","parse-names":false,"suffix":""},{"dropping-particle":"","family":"White","given":"Brittany N","non-dropping-particle":"","parse-names":false,"suffix":""},{"dropping-particle":"","family":"Heath","given":"Gregory W","non-dropping-particle":"","parse-names":false,"suffix":""},{"dropping-particle":"","family":"Sizemore","given":"James M","non-dropping-particle":"","parse-names":false,"suffix":""},{"dropping-particle":"","family":"White","given":"Cyle E","non-dropping-particle":"","parse-names":false,"suffix":""}],"container-title":"American Journal of Health-System Pharmacy","id":"ITEM-1","issue":"Supplement_3","issued":{"date-parts":[["2019","9","1"]]},"page":"S85-S90","title":"Effects of an automatic discontinuation of antibiotics policy: A novel approach to antimicrobial stewardship","type":"article-journal","volume":"76"},"uris":["http://www.mendeley.com/documents/?uuid=f73bf746-51a4-3fd5-be49-cda08c30c0eb"]}],"mendeley":{"formattedCitation":"(172)","plainTextFormattedCitation":"(172)","previouslyFormattedCitation":"(172)"},"properties":{"noteIndex":0},"schema":"https://github.com/citation-style-language/schema/raw/master/csl-citation.json"}</w:instrText>
            </w:r>
            <w:r w:rsidRPr="00EC3E91">
              <w:rPr>
                <w:sz w:val="20"/>
                <w:szCs w:val="20"/>
                <w:lang w:val="en-US"/>
              </w:rPr>
              <w:fldChar w:fldCharType="separate"/>
            </w:r>
            <w:r w:rsidRPr="00EC3E91">
              <w:rPr>
                <w:noProof/>
                <w:sz w:val="20"/>
                <w:szCs w:val="20"/>
                <w:lang w:val="en-US"/>
              </w:rPr>
              <w:t>(172)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8728F72"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DF5D8B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B8899B5"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27DA6C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974A544"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3AF514A5"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6725C9D7" w14:textId="77777777" w:rsidR="00F422E5" w:rsidRPr="00EC3E91" w:rsidRDefault="00F422E5" w:rsidP="00C02742">
            <w:pPr>
              <w:rPr>
                <w:sz w:val="20"/>
                <w:szCs w:val="20"/>
                <w:lang w:val="en-US"/>
              </w:rPr>
            </w:pPr>
            <w:r w:rsidRPr="00EC3E91">
              <w:rPr>
                <w:sz w:val="20"/>
                <w:szCs w:val="20"/>
                <w:lang w:val="en-US"/>
              </w:rPr>
              <w:t>IDSA Clinical Practice Guidelines</w:t>
            </w:r>
          </w:p>
        </w:tc>
        <w:tc>
          <w:tcPr>
            <w:tcW w:w="2551" w:type="dxa"/>
            <w:tcBorders>
              <w:top w:val="single" w:sz="4" w:space="0" w:color="auto"/>
              <w:left w:val="nil"/>
              <w:bottom w:val="single" w:sz="4" w:space="0" w:color="auto"/>
              <w:right w:val="nil"/>
            </w:tcBorders>
            <w:hideMark/>
          </w:tcPr>
          <w:p w14:paraId="2FBD3D62"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conduct educational meeting </w:t>
            </w:r>
          </w:p>
        </w:tc>
      </w:tr>
      <w:tr w:rsidR="00765F44" w:rsidRPr="00E119DD" w14:paraId="5DBE70FE" w14:textId="77777777" w:rsidTr="009353A9">
        <w:trPr>
          <w:trHeight w:val="2235"/>
        </w:trPr>
        <w:tc>
          <w:tcPr>
            <w:tcW w:w="993" w:type="dxa"/>
            <w:tcBorders>
              <w:top w:val="single" w:sz="4" w:space="0" w:color="auto"/>
              <w:left w:val="nil"/>
              <w:bottom w:val="single" w:sz="4" w:space="0" w:color="auto"/>
              <w:right w:val="nil"/>
            </w:tcBorders>
            <w:shd w:val="clear" w:color="auto" w:fill="auto"/>
          </w:tcPr>
          <w:p w14:paraId="3EE46CCB" w14:textId="3B67F0B7" w:rsidR="00F422E5" w:rsidRPr="00EC3E91" w:rsidRDefault="003363AA" w:rsidP="00C02742">
            <w:pPr>
              <w:rPr>
                <w:sz w:val="20"/>
                <w:szCs w:val="20"/>
                <w:lang w:val="en-US"/>
              </w:rPr>
            </w:pPr>
            <w:r>
              <w:rPr>
                <w:sz w:val="20"/>
                <w:szCs w:val="20"/>
                <w:lang w:val="en-US"/>
              </w:rPr>
              <w:fldChar w:fldCharType="begin" w:fldLock="1"/>
            </w:r>
            <w:r w:rsidR="006A62A1">
              <w:rPr>
                <w:sz w:val="20"/>
                <w:szCs w:val="20"/>
                <w:lang w:val="en-US"/>
              </w:rPr>
              <w:instrText>ADDIN CSL_CITATION {"citationItems":[{"id":"ITEM-1","itemData":{"ISSN":"1471-2334","abstract":"Background: Restricted use of third-generation cephalosporins and fluoroquinolones has been linked to a reduced incidence of hospital-acquired infections with multidrug-resistant bacteria. We implemented an intensified antibiotic stewardship (ABS) programme in the medical service of a university hospital center aiming at a reduction by at least 30% in the use of these two drug classes.Methods: The ABS programme was focused on the 300-bed medical service. Prescription of third-generation cephalosporins was discouraged, whereas the use of penicillins was encouraged. Monthly drug use density was measured in WHO-ATC defined and locally recommended daily doses (DDD and RDD) per 100 patient days, to evaluate trends before (01/2008 to 10/2011) and after starting the intervention (1/2012 to 3/2013). The effect was analysed using interrupted time-series analysis with six non-intervention departments as controls.Results: Following initiation of the ABS intervention, overall antibiotic use in the medical service declined (p &lt; 0.001). There was a significant intervention-related decrease in the use of cephalosporins and fluoroquinolones (p &lt; 0.001) outperforming the decreasing baseline trend. Trend changes observed in some of the control departments were smaller, and the difference between trend changes in the medical service and those in control departments were highly significant for overall use and cephalosporin use reductions (p &lt; 0.001) as well as for the increasing use of penicillins (p &lt; 0.001). Mean use density levels (in RDD per 100 patient days) dropped for cephalosporins from 16.3 to 10.3 (-37%) and for fluoroquinolones from 17.7 to 10.1 (-43%), respectively. During the same period, the use of penicillins increased (15.4 to 18.2; 18%). The changes in expenditures for antibiotics in the medical service compared to control services minus programme costs indicated initial net cost savings likely to be associated with the programme.Conclusion: An intensified ABS programme targeting cephalosporin und fluoroquinolone use in the setting of a large academic hospital is feasible and effective. The intervention may serve as a model for other services and hospitals with a similar structure and baseline situation. © 2014 Borde et al.; licensee BioMed Central Ltd.","author":[{"dropping-particle":"","family":"Borde","given":"J P","non-dropping-particle":"","parse-names":false,"suffix":""},{"dropping-particle":"","family":"Kaier","given":"K","non-dropping-particle":"","parse-names":false,"suffix":""},{"dropping-particle":"","family":"Steib-Bauert","given":"M","non-dropping-particle":"","parse-names":false,"suffix":""},{"dropping-particle":"","family":"Vach","given":"W","non-dropping-particle":"","parse-names":false,"suffix":""},{"dropping-particle":"","family":"Geibel-Zehender","given":"A","non-dropping-particle":"","parse-names":false,"suffix":""},{"dropping-particle":"","family":"Busch","given":"H","non-dropping-particle":"","parse-names":false,"suffix":""},{"dropping-particle":"","family":"Bertz","given":"H","non-dropping-particle":"","parse-names":false,"suffix":""},{"dropping-particle":"","family":"Hug","given":"M","non-dropping-particle":"","parse-names":false,"suffix":""},{"dropping-particle":"","family":"With","given":"K","non-dropping-particle":"de","parse-names":false,"suffix":""},{"dropping-particle":"V","family":"Kern","given":"W","non-dropping-particle":"","parse-names":false,"suffix":""}],"container-title":"BMC Infectious Diseases","id":"ITEM-1","issue":"1","issued":{"date-parts":[["2014"]]},"language":"English","publisher-place":"J.P. Borde, Department of Medicine, Abteilung Infektiologie, Universitatsklinikum Freiburg, Hugstetter Straße 55, D-79106 Freiburg i.Br, Germany","title":"Feasibility and impact of an intensified antibiotic stewardship programme targeting cephalosporin and fluoroquinolone use in a tertiary care university medical center","type":"article-journal","volume":"14"},"uris":["http://www.mendeley.com/documents/?uuid=1b4be75e-76a1-3605-a586-af81dab5ba57"]}],"mendeley":{"formattedCitation":"(173)","plainTextFormattedCitation":"(173)","previouslyFormattedCitation":"(173)"},"properties":{"noteIndex":0},"schema":"https://github.com/citation-style-language/schema/raw/master/csl-citation.json"}</w:instrText>
            </w:r>
            <w:r>
              <w:rPr>
                <w:sz w:val="20"/>
                <w:szCs w:val="20"/>
                <w:lang w:val="en-US"/>
              </w:rPr>
              <w:fldChar w:fldCharType="separate"/>
            </w:r>
            <w:r w:rsidRPr="003363AA">
              <w:rPr>
                <w:noProof/>
                <w:sz w:val="20"/>
                <w:szCs w:val="20"/>
                <w:lang w:val="en-US"/>
              </w:rPr>
              <w:t>(173)</w:t>
            </w:r>
            <w:r>
              <w:rPr>
                <w:sz w:val="20"/>
                <w:szCs w:val="20"/>
                <w:lang w:val="en-US"/>
              </w:rPr>
              <w:fldChar w:fldCharType="end"/>
            </w:r>
          </w:p>
        </w:tc>
        <w:tc>
          <w:tcPr>
            <w:tcW w:w="992" w:type="dxa"/>
            <w:tcBorders>
              <w:top w:val="single" w:sz="4" w:space="0" w:color="auto"/>
              <w:left w:val="nil"/>
              <w:bottom w:val="single" w:sz="4" w:space="0" w:color="auto"/>
              <w:right w:val="nil"/>
            </w:tcBorders>
            <w:shd w:val="clear" w:color="auto" w:fill="auto"/>
            <w:hideMark/>
          </w:tcPr>
          <w:p w14:paraId="5C2E7658" w14:textId="77777777" w:rsidR="00F422E5" w:rsidRPr="00EC3E91" w:rsidRDefault="00F422E5" w:rsidP="00C02742">
            <w:pPr>
              <w:rPr>
                <w:sz w:val="20"/>
                <w:szCs w:val="20"/>
                <w:lang w:val="en-US"/>
              </w:rPr>
            </w:pPr>
            <w:r w:rsidRPr="00EC3E91">
              <w:rPr>
                <w:sz w:val="20"/>
                <w:szCs w:val="20"/>
                <w:lang w:val="en-US"/>
              </w:rPr>
              <w:t>Germany</w:t>
            </w:r>
          </w:p>
        </w:tc>
        <w:tc>
          <w:tcPr>
            <w:tcW w:w="993" w:type="dxa"/>
            <w:tcBorders>
              <w:top w:val="single" w:sz="4" w:space="0" w:color="auto"/>
              <w:left w:val="nil"/>
              <w:bottom w:val="single" w:sz="4" w:space="0" w:color="auto"/>
              <w:right w:val="nil"/>
            </w:tcBorders>
            <w:shd w:val="clear" w:color="auto" w:fill="auto"/>
            <w:hideMark/>
          </w:tcPr>
          <w:p w14:paraId="7D7EFC8F"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shd w:val="clear" w:color="auto" w:fill="auto"/>
            <w:hideMark/>
          </w:tcPr>
          <w:p w14:paraId="0BABFE0D"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shd w:val="clear" w:color="auto" w:fill="auto"/>
            <w:hideMark/>
          </w:tcPr>
          <w:p w14:paraId="603DF530"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shd w:val="clear" w:color="auto" w:fill="auto"/>
            <w:hideMark/>
          </w:tcPr>
          <w:p w14:paraId="43F422AE"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shd w:val="clear" w:color="auto" w:fill="auto"/>
            <w:hideMark/>
          </w:tcPr>
          <w:p w14:paraId="07E34ACD"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shd w:val="clear" w:color="auto" w:fill="auto"/>
            <w:hideMark/>
          </w:tcPr>
          <w:p w14:paraId="35B948EE" w14:textId="77777777" w:rsidR="00F422E5" w:rsidRPr="00EC3E91" w:rsidRDefault="00F422E5" w:rsidP="00C02742">
            <w:pPr>
              <w:rPr>
                <w:sz w:val="20"/>
                <w:szCs w:val="20"/>
                <w:lang w:val="en-US"/>
              </w:rPr>
            </w:pPr>
            <w:r w:rsidRPr="00EC3E91">
              <w:rPr>
                <w:sz w:val="20"/>
                <w:szCs w:val="20"/>
                <w:lang w:val="en-US"/>
              </w:rPr>
              <w:t xml:space="preserve">Infectious Diseases Society of America and the Society for Healthcare Epidemiology of America guidelines for developing an institutional program to enhance antimicrobial stewardship </w:t>
            </w:r>
          </w:p>
        </w:tc>
        <w:tc>
          <w:tcPr>
            <w:tcW w:w="2551" w:type="dxa"/>
            <w:tcBorders>
              <w:top w:val="single" w:sz="4" w:space="0" w:color="auto"/>
              <w:left w:val="nil"/>
              <w:bottom w:val="single" w:sz="4" w:space="0" w:color="auto"/>
              <w:right w:val="nil"/>
            </w:tcBorders>
            <w:shd w:val="clear" w:color="auto" w:fill="auto"/>
            <w:hideMark/>
          </w:tcPr>
          <w:p w14:paraId="202F9D9E" w14:textId="77777777" w:rsidR="00F422E5" w:rsidRPr="00EC3E91" w:rsidRDefault="00F422E5" w:rsidP="00C02742">
            <w:pPr>
              <w:rPr>
                <w:sz w:val="20"/>
                <w:szCs w:val="20"/>
                <w:lang w:val="en-US"/>
              </w:rPr>
            </w:pPr>
            <w:r w:rsidRPr="00EC3E91">
              <w:rPr>
                <w:sz w:val="20"/>
                <w:szCs w:val="20"/>
                <w:lang w:val="en-US"/>
              </w:rPr>
              <w:t xml:space="preserve">distribute educational materials, remind clinicians, develop educational materials, audit and provide feedback, conduct educational outreach, assess and redesign workflow </w:t>
            </w:r>
          </w:p>
        </w:tc>
      </w:tr>
      <w:tr w:rsidR="00F422E5" w:rsidRPr="00E119DD" w14:paraId="17501F0A" w14:textId="77777777" w:rsidTr="00F422E5">
        <w:trPr>
          <w:trHeight w:val="2235"/>
        </w:trPr>
        <w:tc>
          <w:tcPr>
            <w:tcW w:w="993" w:type="dxa"/>
            <w:tcBorders>
              <w:top w:val="single" w:sz="4" w:space="0" w:color="auto"/>
              <w:left w:val="nil"/>
              <w:bottom w:val="single" w:sz="4" w:space="0" w:color="auto"/>
              <w:right w:val="nil"/>
            </w:tcBorders>
          </w:tcPr>
          <w:p w14:paraId="6E019BC2" w14:textId="16E2E6DF" w:rsidR="00F422E5" w:rsidRPr="00EC3E91" w:rsidRDefault="007F42C7" w:rsidP="00C02742">
            <w:pPr>
              <w:rPr>
                <w:sz w:val="20"/>
                <w:szCs w:val="20"/>
                <w:lang w:val="en-US"/>
              </w:rPr>
            </w:pPr>
            <w:r w:rsidRPr="00EC3E91">
              <w:rPr>
                <w:sz w:val="20"/>
                <w:szCs w:val="20"/>
                <w:lang w:val="en-US"/>
              </w:rPr>
              <w:fldChar w:fldCharType="begin" w:fldLock="1"/>
            </w:r>
            <w:r w:rsidR="0050039F">
              <w:rPr>
                <w:sz w:val="20"/>
                <w:szCs w:val="20"/>
                <w:lang w:val="en-US"/>
              </w:rPr>
              <w:instrText>ADDIN CSL_CITATION {"citationItems":[{"id":"ITEM-1","itemData":{"DOI":"10.1093/jac/dky237","ISSN":"0305-7453","abstract":"To assess the impact of the 2015/16 NHS England Quality Premium (which provided a financial incentive for Clinical Commissioning Groups to reduce antibiotic prescribing in primary care) on antibiotic prescribing by General Practitioners (GPs) for respiratory tract infections (RTIs).\nInterrupted time series analysis using monthly patient-level consultation and prescribing data obtained from the Clinical Practice Research Datalink (CPRD) between April 2011 and March 2017. The study population comprised patients consulting a GP who were diagnosed with an RTI. We assessed the rate of antibiotic prescribing in patients (both aggregate and stratified by age) with a recorded diagnosis of uncomplicated RTI, before and after the implementation of the Quality Premium.\nPrescribing rates decreased over the 6 year study period, with evident seasonality. Notably, there was a 3% drop in the rate of antibiotic prescribing (equating to 14.65 prescriptions per 1000 RTI consultations) (P &lt; 0.05) in April 2015, coinciding with the introduction of the Quality Premium. This reduction was sustained, such that after 2 years there was a 3% decrease in prescribing relative to that expected had the pre-intervention trend continued. There was also a concurrent 2% relative reduction in the rate of broad-spectrum antibiotic prescribing. Antibiotic prescribing for RTIs diagnosed in children showed the greatest decline with a 6% relative change 2 years after the intervention. Of the RTI indications studied, the greatest reductions in antibiotic prescribing were seen for patients with sore throats.\nCommunity prescribing of antibiotics for RTIs significantly decreased following the introduction of the Quality Premium, with the greatest reduction seen in younger patients.","author":[{"dropping-particle":"","family":"Bou-Antoun","given":"Sabine","non-dropping-particle":"","parse-names":false,"suffix":""},{"dropping-particle":"","family":"Costelloe","given":"Ceire","non-dropping-particle":"","parse-names":false,"suffix":""},{"dropping-particle":"","family":"Honeyford","given":"Kate","non-dropping-particle":"","parse-names":false,"suffix":""},{"dropping-particle":"","family":"Mazidi","given":"Mahsa","non-dropping-particle":"","parse-names":false,"suffix":""},{"dropping-particle":"","family":"Hayhoe","given":"Benedict W J","non-dropping-particle":"","parse-names":false,"suffix":""},{"dropping-particle":"","family":"Holmes","given":"Alison","non-dropping-particle":"","parse-names":false,"suffix":""},{"dropping-particle":"","family":"Johnson","given":"Alan P","non-dropping-particle":"","parse-names":false,"suffix":""},{"dropping-particle":"","family":"Aylin","given":"Paul","non-dropping-particle":"","parse-names":false,"suffix":""}],"container-title":"Journal of antimicrobial chemotherapy","id":"ITEM-1","issue":"10","issued":{"date-parts":[["2018"]]},"page":"2883-2892","publisher-place":"England","title":"Age-related decline in antibiotic prescribing for uncomplicated respiratory tract infections in primary care in England following the introduction of a national financial incentive (the Quality Premium) for health commissioners to reduce use of antibiotic","type":"article-journal","volume":"73"},"uris":["http://www.mendeley.com/documents/?uuid=41a61f63-369f-4d0c-97ff-4ee128a153ba"]}],"mendeley":{"formattedCitation":"(174)","plainTextFormattedCitation":"(174)","previouslyFormattedCitation":"(174)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EC1595C" w14:textId="77777777" w:rsidR="00F422E5" w:rsidRPr="00EC3E91" w:rsidRDefault="00F422E5" w:rsidP="00C02742">
            <w:pPr>
              <w:rPr>
                <w:sz w:val="20"/>
                <w:szCs w:val="20"/>
                <w:lang w:val="en-US"/>
              </w:rPr>
            </w:pPr>
            <w:r w:rsidRPr="00EC3E91">
              <w:rPr>
                <w:sz w:val="20"/>
                <w:szCs w:val="20"/>
                <w:lang w:val="en-US"/>
              </w:rPr>
              <w:t>United Kingdom</w:t>
            </w:r>
          </w:p>
        </w:tc>
        <w:tc>
          <w:tcPr>
            <w:tcW w:w="993" w:type="dxa"/>
            <w:tcBorders>
              <w:top w:val="single" w:sz="4" w:space="0" w:color="auto"/>
              <w:left w:val="nil"/>
              <w:bottom w:val="single" w:sz="4" w:space="0" w:color="auto"/>
              <w:right w:val="nil"/>
            </w:tcBorders>
            <w:hideMark/>
          </w:tcPr>
          <w:p w14:paraId="6A8E103C"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6711CAA0"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0974D7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784ADCB"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80C2879"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0579A119" w14:textId="77777777" w:rsidR="00F422E5" w:rsidRPr="00EC3E91" w:rsidRDefault="00F422E5" w:rsidP="00C02742">
            <w:pPr>
              <w:rPr>
                <w:sz w:val="20"/>
                <w:szCs w:val="20"/>
                <w:lang w:val="en-US"/>
              </w:rPr>
            </w:pPr>
            <w:r w:rsidRPr="00EC3E91">
              <w:rPr>
                <w:sz w:val="20"/>
                <w:szCs w:val="20"/>
                <w:lang w:val="en-US"/>
              </w:rPr>
              <w:t>NICE guidelines</w:t>
            </w:r>
          </w:p>
        </w:tc>
        <w:tc>
          <w:tcPr>
            <w:tcW w:w="2551" w:type="dxa"/>
            <w:tcBorders>
              <w:top w:val="single" w:sz="4" w:space="0" w:color="auto"/>
              <w:left w:val="nil"/>
              <w:bottom w:val="single" w:sz="4" w:space="0" w:color="auto"/>
              <w:right w:val="nil"/>
            </w:tcBorders>
            <w:hideMark/>
          </w:tcPr>
          <w:p w14:paraId="2625E85E" w14:textId="258F59AD" w:rsidR="00F422E5" w:rsidRPr="00EC3E91" w:rsidRDefault="00F422E5" w:rsidP="00C02742">
            <w:pPr>
              <w:rPr>
                <w:sz w:val="20"/>
                <w:szCs w:val="20"/>
                <w:lang w:val="en-US"/>
              </w:rPr>
            </w:pPr>
            <w:r w:rsidRPr="00EC3E91">
              <w:rPr>
                <w:sz w:val="20"/>
                <w:szCs w:val="20"/>
                <w:lang w:val="en-US"/>
              </w:rPr>
              <w:t>alter incentive/</w:t>
            </w:r>
            <w:r w:rsidR="00496DA2" w:rsidRPr="00EC3E91">
              <w:rPr>
                <w:sz w:val="20"/>
                <w:szCs w:val="20"/>
                <w:lang w:val="en-US"/>
              </w:rPr>
              <w:t>allowance</w:t>
            </w:r>
            <w:r w:rsidRPr="00EC3E91">
              <w:rPr>
                <w:sz w:val="20"/>
                <w:szCs w:val="20"/>
                <w:lang w:val="en-US"/>
              </w:rPr>
              <w:t xml:space="preserve"> structures </w:t>
            </w:r>
          </w:p>
        </w:tc>
      </w:tr>
      <w:tr w:rsidR="00F422E5" w:rsidRPr="00EC3E91" w14:paraId="2D1CA190" w14:textId="77777777" w:rsidTr="00F422E5">
        <w:trPr>
          <w:trHeight w:val="2235"/>
        </w:trPr>
        <w:tc>
          <w:tcPr>
            <w:tcW w:w="993" w:type="dxa"/>
            <w:tcBorders>
              <w:top w:val="single" w:sz="4" w:space="0" w:color="auto"/>
              <w:left w:val="nil"/>
              <w:bottom w:val="single" w:sz="4" w:space="0" w:color="auto"/>
              <w:right w:val="nil"/>
            </w:tcBorders>
          </w:tcPr>
          <w:p w14:paraId="77C381A5" w14:textId="672707F6" w:rsidR="00F422E5" w:rsidRPr="00EC3E91" w:rsidRDefault="00195DCE"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{"citationItems":[{"id":"ITEM-1","itemData":{"DOI":"10.7399/fh.11217","ISSN":"21718695","PMID":"31276444","abstract":"Objective: To develop a clinical protocol for the use of antipsychotic drugs in dementia patients with behavioral disturbances that includes prescribing and deprescribing criteria and to assess its applicability in long-term care institutions. Method: The protocol was developed from an interdisciplinary perspective based on a literature search of the published proposals on antipsychotic drug use in dementia patients. Its applicability to the antipsychotic deprescribing process was assessed in a single center in a prospective before-after study with a follow-up of 6 months after the intervention study. Results: A protocol was developed that includes prescribing and deprescribing criteria. The intervention was performed in 35 patients (21 [60%] female). Antipsychotic treatment was completely withdrawn in 28 patients (80%) and was reduced to the minimum effective dose in 7 (20%). Treatment was resumed in 2 patients due to worsening symptoms. The pre- and 6-month post-test results showed that there were no significant changes in neuropsychiatric symptoms (12.91±12.80 vs 13.76±16.68; P=0.124). Conclusions: The establishment of a protocol that includes prescribing and deprescribing criteria, in combination with the incorporation of a pharmacist in the multidisciplinary team, can be effective in improving the use of these drugs in elderly dementia patients in long-term care institutions.","author":[{"dropping-particle":"","family":"Bravo-José","given":"Patricia","non-dropping-particle":"","parse-names":false,"suffix":""},{"dropping-particle":"","family":"Sáez-Lleó","given":"Carmen Isabel","non-dropping-particle":"","parse-names":false,"suffix":""},{"dropping-particle":"","family":"Peris-Martí","given":"Juan Francisco","non-dropping-particle":"","parse-names":false,"suffix":""}],"container-title":"Farmacia Hospitalaria","id":"ITEM-1","issue":"4","issued":{"date-parts":[["2019"]]},"page":"140-145","publisher":"Grupo Aula Medica S.L.","title":"Deprescribing antipsychotics in long term care patients with dementia","type":"article-journal","volume":"43"},"uris":["http://www.mendeley.com/documents/?uuid=574cba2c-496f-3340-b26e-27251285d244"]}],"mendeley":{"formattedCitation":"(175)","plainTextFormattedCitation":"(175)","previouslyFormattedCitation":"(175)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2518DEE"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2DBEA806"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0640A96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9AE8E61"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8991C85" w14:textId="6E905266" w:rsidR="00F422E5" w:rsidRPr="00EC3E91" w:rsidRDefault="00496DA2"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64E7E8C4" w14:textId="77777777" w:rsidR="00F422E5" w:rsidRPr="00EC3E91" w:rsidRDefault="00F422E5" w:rsidP="00C02742">
            <w:pPr>
              <w:rPr>
                <w:sz w:val="20"/>
                <w:szCs w:val="20"/>
                <w:lang w:val="en-US"/>
              </w:rPr>
            </w:pPr>
            <w:r w:rsidRPr="00EC3E91">
              <w:rPr>
                <w:sz w:val="20"/>
                <w:szCs w:val="20"/>
                <w:lang w:val="en-US"/>
              </w:rPr>
              <w:t>Antipsychotic treatment in institutionalized dementia patients</w:t>
            </w:r>
          </w:p>
        </w:tc>
        <w:tc>
          <w:tcPr>
            <w:tcW w:w="3970" w:type="dxa"/>
            <w:tcBorders>
              <w:top w:val="single" w:sz="4" w:space="0" w:color="auto"/>
              <w:left w:val="nil"/>
              <w:bottom w:val="single" w:sz="4" w:space="0" w:color="auto"/>
              <w:right w:val="nil"/>
            </w:tcBorders>
            <w:hideMark/>
          </w:tcPr>
          <w:p w14:paraId="2FD987DD" w14:textId="2D4AA7F9" w:rsidR="00F422E5" w:rsidRPr="00EC3E91" w:rsidRDefault="00F422E5" w:rsidP="00C02742">
            <w:pPr>
              <w:rPr>
                <w:sz w:val="20"/>
                <w:szCs w:val="20"/>
                <w:lang w:val="en-US"/>
              </w:rPr>
            </w:pPr>
            <w:r w:rsidRPr="00EC3E91">
              <w:rPr>
                <w:sz w:val="20"/>
                <w:szCs w:val="20"/>
                <w:lang w:val="en-US"/>
              </w:rPr>
              <w:t xml:space="preserve">Guidelines from </w:t>
            </w:r>
            <w:r w:rsidR="00496DA2" w:rsidRPr="00EC3E91">
              <w:rPr>
                <w:sz w:val="20"/>
                <w:szCs w:val="20"/>
                <w:lang w:val="en-US"/>
              </w:rPr>
              <w:t>Ministry</w:t>
            </w:r>
            <w:r w:rsidRPr="00EC3E91">
              <w:rPr>
                <w:sz w:val="20"/>
                <w:szCs w:val="20"/>
                <w:lang w:val="en-US"/>
              </w:rPr>
              <w:t xml:space="preserve"> of Health Malaysia, Malaysian Psychiatric Association, Academy of Medicine Malaysia and Malaysian Society of Neurosciences 2009. Management of dementia. </w:t>
            </w:r>
            <w:r w:rsidRPr="00EC3E91">
              <w:rPr>
                <w:sz w:val="20"/>
                <w:szCs w:val="20"/>
                <w:lang w:val="en-US"/>
              </w:rPr>
              <w:br/>
            </w:r>
            <w:r w:rsidRPr="00EC3E91">
              <w:rPr>
                <w:sz w:val="20"/>
                <w:szCs w:val="20"/>
                <w:lang w:val="en-US"/>
              </w:rPr>
              <w:br/>
              <w:t>Canadian Consensus Conference (3rd), 2007. Diagnosis and treatment of dementia.</w:t>
            </w:r>
          </w:p>
        </w:tc>
        <w:tc>
          <w:tcPr>
            <w:tcW w:w="2551" w:type="dxa"/>
            <w:tcBorders>
              <w:top w:val="single" w:sz="4" w:space="0" w:color="auto"/>
              <w:left w:val="nil"/>
              <w:bottom w:val="single" w:sz="4" w:space="0" w:color="auto"/>
              <w:right w:val="nil"/>
            </w:tcBorders>
            <w:hideMark/>
          </w:tcPr>
          <w:p w14:paraId="473DE8E6" w14:textId="77777777" w:rsidR="00F422E5" w:rsidRPr="00EC3E91" w:rsidRDefault="00F422E5" w:rsidP="00C02742">
            <w:pPr>
              <w:rPr>
                <w:sz w:val="20"/>
                <w:szCs w:val="20"/>
                <w:lang w:val="en-US"/>
              </w:rPr>
            </w:pPr>
            <w:r w:rsidRPr="00EC3E91">
              <w:rPr>
                <w:sz w:val="20"/>
                <w:szCs w:val="20"/>
                <w:lang w:val="en-US"/>
              </w:rPr>
              <w:t>distribute educational materials,</w:t>
            </w:r>
          </w:p>
        </w:tc>
      </w:tr>
      <w:tr w:rsidR="00F422E5" w:rsidRPr="00E119DD" w14:paraId="7ACDF9EE" w14:textId="77777777" w:rsidTr="00F422E5">
        <w:trPr>
          <w:trHeight w:val="2235"/>
        </w:trPr>
        <w:tc>
          <w:tcPr>
            <w:tcW w:w="993" w:type="dxa"/>
            <w:tcBorders>
              <w:top w:val="single" w:sz="4" w:space="0" w:color="auto"/>
              <w:left w:val="nil"/>
              <w:bottom w:val="single" w:sz="4" w:space="0" w:color="auto"/>
              <w:right w:val="nil"/>
            </w:tcBorders>
          </w:tcPr>
          <w:p w14:paraId="3E6EDB44" w14:textId="57C7F7D4" w:rsidR="00F422E5" w:rsidRPr="00EC3E91" w:rsidRDefault="00D6579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{"citationItems":[{"id":"ITEM-1","itemData":{"DOI":"10.1016/J.JAMDA.2018.05.002","ISSN":"1525-8610","PMID":"29941156","abstract":"Objectives: Despite limited efficacy and significant safety concerns, antipsychotic medications are frequently used to treat behavioral and psychological symptoms of dementia (BPSD) in long-term residential care. This study evaluates the sustained reduction of antipsychotic use for BPSD through a deprescribing intervention and education of health care professionals. Design: Repeated-measures, longitudinal, single-arm study. Setting: Long-term residential care of older adults. Participants: Nursing staff from 23 nursing homes recruited 139 residents taking regular antipsychotic medication for ≥3 months, without primary psychotic illness, such as schizophrenia or bipolar disorder, or severe BPSD. Intervention: An antipsychotic deprescribing protocol was established. Education of general practitioners, pharmacists, and residential care nurses focused on nonpharmacological prevention and management of BPSD. Measurements: The primary outcome was antipsychotic use over 12-month follow-up; secondary outcomes were BPSD (Neuropsychiatric Inventory, Cohen-Mansfield Agitation Inventory, and social withdrawal) and adverse outcomes (falls, hospitalizations, and cognitive decline). Results: The number of older adults on regular antipsychotics over 12 months reduced by 81.7% (95% confidence interval: 72.4-89.0). Withdrawal was not accompanied by drug substitution or a significant increase in pro-re-nata antipsychotic or benzodiazepine administration. There was no change in BPSD or in adverse outcomes. Conclusion: In a selected sample of older adults living in long-term residential care, sustained reduction in regular antipsychotic use is feasible without an increase of BPSD.","author":[{"dropping-particle":"","family":"Brodaty","given":"Henry","non-dropping-particle":"","parse-names":false,"suffix":""},{"dropping-particle":"","family":"Aerts","given":"Liesbeth","non-dropping-particle":"","parse-names":false,"suffix":""},{"dropping-particle":"","family":"Harrison","given":"Fleur","non-dropping-particle":"","parse-names":false,"suffix":""},{"dropping-particle":"","family":"Jessop","given":"Tiffany","non-dropping-particle":"","parse-names":false,"suffix":""},{"dropping-particle":"","family":"Cations","given":"Monica","non-dropping-particle":"","parse-names":false,"suffix":""},{"dropping-particle":"","family":"Chenoweth","given":"Lynn","non-dropping-particle":"","parse-names":false,"suffix":""},{"dropping-particle":"","family":"Shell","given":"Allan","non-dropping-particle":"","parse-names":false,"suffix":""},{"dropping-particle":"","family":"Popovic","given":"Gordana C.","non-dropping-particle":"","parse-names":false,"suffix":""},{"dropping-particle":"","family":"Heffernan","given":"Megan","non-dropping-particle":"","parse-names":false,"suffix":""},{"dropping-particle":"","family":"Hilmer","given":"Sarah","non-dropping-particle":"","parse-names":false,"suffix":""},{"dropping-particle":"","family":"Sachdev","given":"Perminder S.","non-dropping-particle":"","parse-names":false,"suffix":""},{"dropping-particle":"","family":"Draper","given":"Brian","non-dropping-particle":"","parse-names":false,"suffix":""}],"container-title":"Journal of the American Medical Directors Association","id":"ITEM-1","issue":"7","issued":{"date-parts":[["2018","7","1"]]},"page":"592-600.e7","publisher":"Elsevier","title":"Antipsychotic Deprescription for Older Adults in Long-term Care: The HALT Study","type":"article-journal","volume":"19"},"uris":["http://www.mendeley.com/documents/?uuid=76ed11ae-93bc-3637-9e7b-5e5b34229531"]}],"mendeley":{"formattedCitation":"(176)","plainTextFormattedCitation":"(176)","previouslyFormattedCitation":"(176)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DDEA442"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215048AD"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2000E061"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CACA04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58EE3F1" w14:textId="345037F7" w:rsidR="00F422E5" w:rsidRPr="00EC3E91" w:rsidRDefault="00496DA2"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35CB8E4F" w14:textId="77777777" w:rsidR="00F422E5" w:rsidRPr="00EC3E91" w:rsidRDefault="00F422E5" w:rsidP="00C02742">
            <w:pPr>
              <w:rPr>
                <w:sz w:val="20"/>
                <w:szCs w:val="20"/>
                <w:lang w:val="en-US"/>
              </w:rPr>
            </w:pPr>
            <w:r w:rsidRPr="00EC3E91">
              <w:rPr>
                <w:sz w:val="20"/>
                <w:szCs w:val="20"/>
                <w:lang w:val="en-US"/>
              </w:rPr>
              <w:t>Inappropriate use of antipsychotic medications</w:t>
            </w:r>
          </w:p>
        </w:tc>
        <w:tc>
          <w:tcPr>
            <w:tcW w:w="3970" w:type="dxa"/>
            <w:tcBorders>
              <w:top w:val="single" w:sz="4" w:space="0" w:color="auto"/>
              <w:left w:val="nil"/>
              <w:bottom w:val="single" w:sz="4" w:space="0" w:color="auto"/>
              <w:right w:val="nil"/>
            </w:tcBorders>
            <w:hideMark/>
          </w:tcPr>
          <w:p w14:paraId="5D1F4CE8" w14:textId="53DDC7BD" w:rsidR="00F422E5" w:rsidRPr="00EC3E91" w:rsidRDefault="00F422E5" w:rsidP="00C02742">
            <w:pPr>
              <w:rPr>
                <w:sz w:val="20"/>
                <w:szCs w:val="20"/>
                <w:lang w:val="en-US"/>
              </w:rPr>
            </w:pPr>
            <w:r w:rsidRPr="00EC3E91">
              <w:rPr>
                <w:sz w:val="20"/>
                <w:szCs w:val="20"/>
                <w:lang w:val="en-US"/>
              </w:rPr>
              <w:t>Royal Australian and New Zealand College of Psychiatrists The Use of Antipsychotics in Residential Aged Care. Clinical Recommendations</w:t>
            </w:r>
            <w:r w:rsidRPr="00EC3E91">
              <w:rPr>
                <w:sz w:val="20"/>
                <w:szCs w:val="20"/>
                <w:lang w:val="en-US"/>
              </w:rPr>
              <w:br/>
              <w:t>(2011)</w:t>
            </w:r>
            <w:r w:rsidRPr="00EC3E91">
              <w:rPr>
                <w:sz w:val="20"/>
                <w:szCs w:val="20"/>
                <w:lang w:val="en-US"/>
              </w:rPr>
              <w:br/>
            </w:r>
            <w:r w:rsidRPr="00EC3E91">
              <w:rPr>
                <w:sz w:val="20"/>
                <w:szCs w:val="20"/>
                <w:lang w:val="en-US"/>
              </w:rPr>
              <w:br/>
              <w:t xml:space="preserve"> The Royal Australian &amp; New Zealand College of </w:t>
            </w:r>
            <w:r w:rsidR="004D202D" w:rsidRPr="00EC3E91">
              <w:rPr>
                <w:sz w:val="20"/>
                <w:szCs w:val="20"/>
                <w:lang w:val="en-US"/>
              </w:rPr>
              <w:t>Psychiatrists</w:t>
            </w:r>
            <w:r w:rsidRPr="00EC3E91">
              <w:rPr>
                <w:sz w:val="20"/>
                <w:szCs w:val="20"/>
                <w:lang w:val="en-US"/>
              </w:rPr>
              <w:t xml:space="preserve"> Assessment and Management of People with Behavioural and Psychological Symptoms of Dementia (BPSD)—A Handbook for NSW Health Clinicians (2013)</w:t>
            </w:r>
          </w:p>
        </w:tc>
        <w:tc>
          <w:tcPr>
            <w:tcW w:w="2551" w:type="dxa"/>
            <w:tcBorders>
              <w:top w:val="single" w:sz="4" w:space="0" w:color="auto"/>
              <w:left w:val="nil"/>
              <w:bottom w:val="single" w:sz="4" w:space="0" w:color="auto"/>
              <w:right w:val="nil"/>
            </w:tcBorders>
            <w:hideMark/>
          </w:tcPr>
          <w:p w14:paraId="14D642D1" w14:textId="1D69F6A7" w:rsidR="00F422E5" w:rsidRPr="00EC3E91" w:rsidRDefault="00F422E5" w:rsidP="00C02742">
            <w:pPr>
              <w:rPr>
                <w:sz w:val="20"/>
                <w:szCs w:val="20"/>
                <w:lang w:val="en-US"/>
              </w:rPr>
            </w:pPr>
            <w:r w:rsidRPr="00EC3E91">
              <w:rPr>
                <w:sz w:val="20"/>
                <w:szCs w:val="20"/>
                <w:lang w:val="en-US"/>
              </w:rPr>
              <w:t> </w:t>
            </w:r>
            <w:r w:rsidR="0026108D" w:rsidRPr="0026108D">
              <w:rPr>
                <w:lang w:val="en-US"/>
              </w:rPr>
              <w:t xml:space="preserve"> </w:t>
            </w:r>
            <w:r w:rsidR="0026108D" w:rsidRPr="0026108D">
              <w:rPr>
                <w:sz w:val="20"/>
                <w:szCs w:val="20"/>
                <w:lang w:val="en-US"/>
              </w:rPr>
              <w:t>identify and prepare champions, make training dynamic, conduct educational outreach, distribute educational materials.</w:t>
            </w:r>
          </w:p>
        </w:tc>
      </w:tr>
      <w:tr w:rsidR="00F422E5" w:rsidRPr="00EC3E91" w14:paraId="78BCA5A2" w14:textId="77777777" w:rsidTr="00F422E5">
        <w:trPr>
          <w:trHeight w:val="2235"/>
        </w:trPr>
        <w:tc>
          <w:tcPr>
            <w:tcW w:w="993" w:type="dxa"/>
            <w:tcBorders>
              <w:top w:val="single" w:sz="4" w:space="0" w:color="auto"/>
              <w:left w:val="nil"/>
              <w:bottom w:val="single" w:sz="4" w:space="0" w:color="auto"/>
              <w:right w:val="nil"/>
            </w:tcBorders>
          </w:tcPr>
          <w:p w14:paraId="4AFA0D88" w14:textId="3DEC36F6" w:rsidR="00F422E5" w:rsidRPr="00EC3E91" w:rsidRDefault="00970C71"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{"citationItems":[{"id":"ITEM-1","itemData":{"ISSN":"2380-9426","abstract":"PROBLEM: Approximately 50% of antibiotics prescribed are not necessary; nevertheless, in the United States among the many outpatient prescriptions, there are few more widely prescribed than antibiotics. The overuse of antibiotics to treat viral infections has been largely responsible for the emergence of antibiotic resistance. METHODS: A quasi-experimental study was conducted among a sample of eight urgent care providers who received the 1-hour Reducing Outpatient Antibiotic Resistance (ROAR) educational intervention on antibiotic overuse and appropriate prescribing. Outcomes measured included provider antibiotic prescribing rates for viral illnesses before and after intervention, prescribing practices among the providers, and provider awareness and beliefs regarding antibiotic prescribing and resistance. RESULTS: The antibiotic prescribing rate decreased from 30% to 20% after intervention, p = .078. Pre-intervention patients had a 3.3 times (p = .001) and post-intervention patients had a 4.2 times (p &lt;= .0005) greater likelihood of being prescribed an antibiotic if they were seen by a physician than if they were seen by a nurse practitioner. Within their setting, 87% believed antibiotics are overused, and 99% believed antibiotic resistance is a problem. DISCUSSION: Additional research utilizing the ROAR intervention is necessary to evaluate its effect on antibiotic prescribing in the urgent care setting.","author":[{"dropping-particle":"","family":"Brown","given":"C A","non-dropping-particle":"","parse-names":false,"suffix":""}],"container-title":"Journal of Doctoral Nursing Practice","id":"ITEM-1","issue":"1","issued":{"date-parts":[["2018"]]},"language":"English","page":"3-15","publisher-place":"Brown, Cynthia Alicia. School of Nursing and Health Studies, University of Missouri-Kansas City, Kansas City, Missouri cbrownfnp@gmail.com.","title":"Reducing Outpatient Antibiotic Prescribing for Acute Respiratory Infections: A Quasi-Experimental Study","type":"article-journal","volume":"11"},"uris":["http://www.mendeley.com/documents/?uuid=ca13b97b-6798-3831-924a-ccf47f5d10c1"]}],"mendeley":{"formattedCitation":"(177)","plainTextFormattedCitation":"(177)","previouslyFormattedCitation":"(177)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5E5EDCC"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0E0B1AF"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70D42BF"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72C6476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BADB566"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1214DD74"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458064FC" w14:textId="77777777" w:rsidR="00F422E5" w:rsidRPr="00EC3E91" w:rsidRDefault="00F422E5" w:rsidP="00C02742">
            <w:pPr>
              <w:rPr>
                <w:sz w:val="20"/>
                <w:szCs w:val="20"/>
                <w:lang w:val="en-US"/>
              </w:rPr>
            </w:pPr>
            <w:r w:rsidRPr="00EC3E91">
              <w:rPr>
                <w:sz w:val="20"/>
                <w:szCs w:val="20"/>
                <w:lang w:val="en-US"/>
              </w:rPr>
              <w:t>Guidelines from California Medical Association’s Alliance Working for Antibiotic Resistance Education program</w:t>
            </w:r>
          </w:p>
        </w:tc>
        <w:tc>
          <w:tcPr>
            <w:tcW w:w="2551" w:type="dxa"/>
            <w:tcBorders>
              <w:top w:val="single" w:sz="4" w:space="0" w:color="auto"/>
              <w:left w:val="nil"/>
              <w:bottom w:val="single" w:sz="4" w:space="0" w:color="auto"/>
              <w:right w:val="nil"/>
            </w:tcBorders>
            <w:hideMark/>
          </w:tcPr>
          <w:p w14:paraId="69AEFA13" w14:textId="77777777" w:rsidR="00F422E5" w:rsidRPr="00EC3E91" w:rsidRDefault="00F422E5" w:rsidP="00C02742">
            <w:pPr>
              <w:rPr>
                <w:sz w:val="20"/>
                <w:szCs w:val="20"/>
                <w:lang w:val="en-US"/>
              </w:rPr>
            </w:pPr>
            <w:r w:rsidRPr="00EC3E91">
              <w:rPr>
                <w:sz w:val="20"/>
                <w:szCs w:val="20"/>
                <w:lang w:val="en-US"/>
              </w:rPr>
              <w:t>conduct educational meeting</w:t>
            </w:r>
          </w:p>
        </w:tc>
      </w:tr>
      <w:tr w:rsidR="00F422E5" w:rsidRPr="00E119DD" w14:paraId="13404B30" w14:textId="77777777" w:rsidTr="00F422E5">
        <w:trPr>
          <w:trHeight w:val="2235"/>
        </w:trPr>
        <w:tc>
          <w:tcPr>
            <w:tcW w:w="993" w:type="dxa"/>
            <w:tcBorders>
              <w:top w:val="single" w:sz="4" w:space="0" w:color="auto"/>
              <w:left w:val="nil"/>
              <w:bottom w:val="single" w:sz="4" w:space="0" w:color="auto"/>
              <w:right w:val="nil"/>
            </w:tcBorders>
          </w:tcPr>
          <w:p w14:paraId="782B25EB" w14:textId="6F9DD6E9" w:rsidR="00F422E5" w:rsidRPr="00EC3E91" w:rsidRDefault="00FE7770"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{"citationItems":[{"id":"ITEM-1","itemData":{"DOI":"10.1136/bmjqs-2019-009897","ISSN":"20445415","PMID":"31641029","abstract":"Background Proton pump inhibitor (PPI) use is widespread. There have been increasing concerns about overuse of high-dose PPIs for durations longer than clinically necessary. Objective To evaluate the impact of national education initiatives on reducing PPI use in Australia. Design Population-based, controlled interrupted time series analysis of PPI dispensing claims data for Australian adults from July 2012 to June 2018; we used statin dispensing as a control. Interventions A year-long educational initiative led by NPS MedicineWise (previously the National Prescribing Service) from April 2015. Simultaneously, Choosing Wisely released recommendations in April 2015 and May 2016. Both promoted review of prolonged PPI use and encouraged stepping down or ceasing treatment, where appropriate. Measurements We examined monthly changes in PPI (and statin) dispensing (stratified by high, standard and low tablet strength), rates of switching from higher to lower strength PPIs and rates of PPI (and statin) discontinuation. Results We observed 12 040 021 PPI dispensings to 579 594 people. We observed a sustained -1.7% (95% CI: -2.7 to -0.7%) decline in monthly dispensing of standard strength PPIs following the initiatives until the end of the study period. There were no significant changes in high or low strength PPI (or statin) dispensings, switching to lower strength PPIs, or PPI (and statin) treatment discontinuation. Conclusion Our findings suggest that these educational initiatives alone were insufficient in curbing overuse of PPIs on a national level. Concerted efforts with policy levers such as imposing tighter restrictions on subsidised use of PPIs may be more effective. Noting low strength esomeprazole is not publicly subsidised in Australia, availability of these preparations may also facilitate more appropriate practice","author":[{"dropping-particle":"","family":"Bruno","given":"Claudia","non-dropping-particle":"","parse-names":false,"suffix":""},{"dropping-particle":"","family":"Pearson","given":"Sallie Anne","non-dropping-particle":"","parse-names":false,"suffix":""},{"dropping-particle":"","family":"Daniels","given":"Benjamin","non-dropping-particle":"","parse-names":false,"suffix":""},{"dropping-particle":"","family":"Buckley","given":"Nicholas A.","non-dropping-particle":"","parse-names":false,"suffix":""},{"dropping-particle":"","family":"Schaffer","given":"Andrea","non-dropping-particle":"","parse-names":false,"suffix":""},{"dropping-particle":"","family":"Zoega","given":"Helga","non-dropping-particle":"","parse-names":false,"suffix":""}],"container-title":"BMJ Quality and Safety","id":"ITEM-1","issue":"5","issued":{"date-parts":[["2020","5","1"]]},"page":"365-373","publisher":"BMJ Publishing Group","title":"Passing the acid test? Evaluating the impact of national education initiatives to reduce proton pump inhibitor use in Australia","type":"article-journal","volume":"29"},"uris":["http://www.mendeley.com/documents/?uuid=e3de7010-8bff-34ac-a5af-a2d003b2e037"]}],"mendeley":{"formattedCitation":"(178)","plainTextFormattedCitation":"(178)","previouslyFormattedCitation":"(178)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A5AA222"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720AAC45"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E7FBC91"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2571D6E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B4F0A2E" w14:textId="77777777" w:rsidR="00F422E5" w:rsidRPr="00EC3E91" w:rsidRDefault="00F422E5" w:rsidP="00C02742">
            <w:pPr>
              <w:rPr>
                <w:sz w:val="20"/>
                <w:szCs w:val="20"/>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42465682" w14:textId="77777777" w:rsidR="00F422E5" w:rsidRPr="00EC3E91" w:rsidRDefault="00F422E5" w:rsidP="00C02742">
            <w:pPr>
              <w:rPr>
                <w:sz w:val="20"/>
                <w:szCs w:val="20"/>
                <w:lang w:val="en-US"/>
              </w:rPr>
            </w:pPr>
            <w:r w:rsidRPr="00EC3E91">
              <w:rPr>
                <w:sz w:val="20"/>
                <w:szCs w:val="20"/>
                <w:lang w:val="en-US"/>
              </w:rPr>
              <w:t>Inappropriate PPI prescriptions</w:t>
            </w:r>
          </w:p>
        </w:tc>
        <w:tc>
          <w:tcPr>
            <w:tcW w:w="3970" w:type="dxa"/>
            <w:tcBorders>
              <w:top w:val="single" w:sz="4" w:space="0" w:color="auto"/>
              <w:left w:val="nil"/>
              <w:bottom w:val="single" w:sz="4" w:space="0" w:color="auto"/>
              <w:right w:val="nil"/>
            </w:tcBorders>
            <w:hideMark/>
          </w:tcPr>
          <w:p w14:paraId="1F71A43A" w14:textId="77777777" w:rsidR="00F422E5" w:rsidRPr="00EC3E91" w:rsidRDefault="00F422E5" w:rsidP="00C02742">
            <w:pPr>
              <w:rPr>
                <w:sz w:val="20"/>
                <w:szCs w:val="20"/>
                <w:lang w:val="en-US"/>
              </w:rPr>
            </w:pPr>
            <w:r w:rsidRPr="00EC3E91">
              <w:rPr>
                <w:sz w:val="20"/>
                <w:szCs w:val="20"/>
                <w:lang w:val="en-US"/>
              </w:rPr>
              <w:t>NICE guideline; Australian Therapeutic Guidelines</w:t>
            </w:r>
          </w:p>
        </w:tc>
        <w:tc>
          <w:tcPr>
            <w:tcW w:w="2551" w:type="dxa"/>
            <w:tcBorders>
              <w:top w:val="single" w:sz="4" w:space="0" w:color="auto"/>
              <w:left w:val="nil"/>
              <w:bottom w:val="single" w:sz="4" w:space="0" w:color="auto"/>
              <w:right w:val="nil"/>
            </w:tcBorders>
            <w:hideMark/>
          </w:tcPr>
          <w:p w14:paraId="65B6073B" w14:textId="77777777" w:rsidR="00F422E5" w:rsidRPr="00EC3E91" w:rsidRDefault="00F422E5" w:rsidP="00C02742">
            <w:pPr>
              <w:rPr>
                <w:sz w:val="20"/>
                <w:szCs w:val="20"/>
                <w:lang w:val="en-US"/>
              </w:rPr>
            </w:pPr>
            <w:r w:rsidRPr="00EC3E91">
              <w:rPr>
                <w:sz w:val="20"/>
                <w:szCs w:val="20"/>
                <w:lang w:val="en-US"/>
              </w:rPr>
              <w:t xml:space="preserve">audit and provide feedback, conduct educational meeting, develop educational materials, </w:t>
            </w:r>
          </w:p>
        </w:tc>
      </w:tr>
      <w:tr w:rsidR="00F422E5" w:rsidRPr="00E119DD" w14:paraId="396E12B9" w14:textId="77777777" w:rsidTr="00F422E5">
        <w:trPr>
          <w:trHeight w:val="2235"/>
        </w:trPr>
        <w:tc>
          <w:tcPr>
            <w:tcW w:w="993" w:type="dxa"/>
            <w:tcBorders>
              <w:top w:val="single" w:sz="4" w:space="0" w:color="auto"/>
              <w:left w:val="nil"/>
              <w:bottom w:val="single" w:sz="4" w:space="0" w:color="auto"/>
              <w:right w:val="nil"/>
            </w:tcBorders>
          </w:tcPr>
          <w:p w14:paraId="2491215E" w14:textId="4E0C4E66" w:rsidR="00F422E5" w:rsidRPr="00EC3E91" w:rsidRDefault="00151B9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{"citationItems":[{"id":"ITEM-1","itemData":{"DOI":"10.1177/1060028020935575","ISSN":"15426270","PMID":"32578446","abstract":"Background: Inappropriate albumin use in clinical practice remains problematic. Health-systems face continued challenges in promoting cost-appropriate use. Objective: To evaluate the clinical and economic impact of a clinical pharmacist–led intervention strategy targeting inappropriate albumin use in general ward patients. Methods: A retrospective cohort study evaluated all adult (≥18 years) general ward patients administered ≥1 dose of albumin at a university medical center over a 2-year period. The intervention consisted of a clinical pharmacist–led strategy intervening on all albumin orders not in accordance with institutional guidelines. The primary end point was to compare inappropriate albumin utilization before and after implementation. Secondary end points compared the rates of inappropriate albumin use adjusted for hospital admission and patient-days as well as associated costs by appropriateness between study periods. Results: A total of 4420 patients were screened, with 1971 (44.6%) patients meeting inclusion criteria. The clinical pharmacist strategy significantly reduced inappropriate albumin (grams) utilization by 86.0% (P &lt; 0.001). A 7-fold reduction of inappropriate albumin administered adjusted for the number of patient admissions was found from the preimplementation period following clinical pharmacist intervention strategy implementation (415.3 ± 83.2 vs 57.5 ± 34.2 g per 100 general ward hospital admissions, respectively; P &lt; 0.001). Also, the adjusted inappropriate albumin rate was reduced from 62.2 ± 12.3 to 8.6 ± 5.2 g per 100 patient-days in the preimplementation and postimplementation periods, respectively (P &lt; 0.001). Annual cost savings were $421 455 overall, with $341 930 resulting from mitigation of inappropriate use. Conclusion and Relevance: Clinical pharmacist–led interventions significantly reduced inappropriate albumin use and costs in hospitalized patients.","author":[{"dropping-particle":"","family":"Buckley","given":"Mitchell S.","non-dropping-particle":"","parse-names":false,"suffix":""},{"dropping-particle":"","family":"Agarwal","given":"Sumit K.","non-dropping-particle":"","parse-names":false,"suffix":""},{"dropping-particle":"","family":"Lansburg","given":"Jake M.","non-dropping-particle":"","parse-names":false,"suffix":""},{"dropping-particle":"","family":"Kopp","given":"Brian J.","non-dropping-particle":"","parse-names":false,"suffix":""},{"dropping-particle":"","family":"Erstad","given":"Brian L.","non-dropping-particle":"","parse-names":false,"suffix":""}],"container-title":"Annals of Pharmacotherapy","id":"ITEM-1","issue":"1","issued":{"date-parts":[["2021","1","1"]]},"page":"44-51","publisher":"SAGE Publications Inc.","title":"Clinical Pharmacist–Led Impact on Inappropriate Albumin Utilization and Associated Costs in General Ward Patients","type":"article-journal","volume":"55"},"uris":["http://www.mendeley.com/documents/?uuid=056c7a88-c8a7-3d0e-b740-d6e3118550dc"]}],"mendeley":{"formattedCitation":"(179)","plainTextFormattedCitation":"(179)","previouslyFormattedCitation":"(179)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(179)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EB9DE13"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B89715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2CD185B"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12C0C23"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71DA7394"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6490DEF0" w14:textId="77777777" w:rsidR="00F422E5" w:rsidRPr="00EC3E91" w:rsidRDefault="00F422E5" w:rsidP="00C02742">
            <w:pPr>
              <w:rPr>
                <w:sz w:val="20"/>
                <w:szCs w:val="20"/>
                <w:lang w:val="en-US"/>
              </w:rPr>
            </w:pPr>
            <w:r w:rsidRPr="00EC3E91">
              <w:rPr>
                <w:sz w:val="20"/>
                <w:szCs w:val="20"/>
                <w:lang w:val="en-US"/>
              </w:rPr>
              <w:t>Inappropriate albumin use in non-critically ill patients</w:t>
            </w:r>
          </w:p>
        </w:tc>
        <w:tc>
          <w:tcPr>
            <w:tcW w:w="3970" w:type="dxa"/>
            <w:tcBorders>
              <w:top w:val="single" w:sz="4" w:space="0" w:color="auto"/>
              <w:left w:val="nil"/>
              <w:bottom w:val="single" w:sz="4" w:space="0" w:color="auto"/>
              <w:right w:val="nil"/>
            </w:tcBorders>
            <w:hideMark/>
          </w:tcPr>
          <w:p w14:paraId="24C585DD" w14:textId="77777777" w:rsidR="00F422E5" w:rsidRPr="00EC3E91" w:rsidRDefault="00F422E5" w:rsidP="00C02742">
            <w:pPr>
              <w:rPr>
                <w:sz w:val="20"/>
                <w:szCs w:val="20"/>
                <w:lang w:val="en-US"/>
              </w:rPr>
            </w:pPr>
            <w:r w:rsidRPr="00EC3E91">
              <w:rPr>
                <w:sz w:val="20"/>
                <w:szCs w:val="20"/>
                <w:lang w:val="en-US"/>
              </w:rPr>
              <w:t xml:space="preserve">American Association for the Study of Liver Diseases. Introduction to the revised American Association for the Study of Liver Diseases Practice Guideline management of adult patients with ascites due to cirrhosis 2012. </w:t>
            </w:r>
            <w:r w:rsidRPr="00EC3E91">
              <w:rPr>
                <w:sz w:val="20"/>
                <w:szCs w:val="20"/>
                <w:lang w:val="en-US"/>
              </w:rPr>
              <w:br/>
            </w:r>
            <w:r w:rsidRPr="00EC3E91">
              <w:rPr>
                <w:sz w:val="20"/>
                <w:szCs w:val="20"/>
                <w:lang w:val="en-US"/>
              </w:rPr>
              <w:br/>
              <w:t xml:space="preserve">Guidelines on the use of therapeutic apheresis in clinical practice-evidence-based approach from the Writing Committee of the American Society for Apheresis: the seventh special issue. </w:t>
            </w:r>
            <w:r w:rsidRPr="00EC3E91">
              <w:rPr>
                <w:sz w:val="20"/>
                <w:szCs w:val="20"/>
                <w:lang w:val="en-US"/>
              </w:rPr>
              <w:br/>
            </w:r>
            <w:r w:rsidRPr="00EC3E91">
              <w:rPr>
                <w:sz w:val="20"/>
                <w:szCs w:val="20"/>
                <w:lang w:val="en-US"/>
              </w:rPr>
              <w:br/>
              <w:t xml:space="preserve">Surviving sepsis campaign: international guidelines for management of sepsis and septic shock: 2016. </w:t>
            </w:r>
          </w:p>
        </w:tc>
        <w:tc>
          <w:tcPr>
            <w:tcW w:w="2551" w:type="dxa"/>
            <w:tcBorders>
              <w:top w:val="single" w:sz="4" w:space="0" w:color="auto"/>
              <w:left w:val="nil"/>
              <w:bottom w:val="single" w:sz="4" w:space="0" w:color="auto"/>
              <w:right w:val="nil"/>
            </w:tcBorders>
            <w:hideMark/>
          </w:tcPr>
          <w:p w14:paraId="48AD3F9C" w14:textId="5BB71E53" w:rsidR="00F422E5" w:rsidRPr="00EC3E91" w:rsidRDefault="00F422E5" w:rsidP="00C02742">
            <w:pPr>
              <w:rPr>
                <w:sz w:val="20"/>
                <w:szCs w:val="20"/>
                <w:lang w:val="en-US"/>
              </w:rPr>
            </w:pPr>
            <w:r w:rsidRPr="00EC3E91">
              <w:rPr>
                <w:sz w:val="20"/>
                <w:szCs w:val="20"/>
                <w:lang w:val="en-US"/>
              </w:rPr>
              <w:t xml:space="preserve">develop and organize </w:t>
            </w:r>
            <w:r w:rsidR="004D202D" w:rsidRPr="00EC3E91">
              <w:rPr>
                <w:sz w:val="20"/>
                <w:szCs w:val="20"/>
                <w:lang w:val="en-US"/>
              </w:rPr>
              <w:t>quality</w:t>
            </w:r>
            <w:r w:rsidRPr="00EC3E91">
              <w:rPr>
                <w:sz w:val="20"/>
                <w:szCs w:val="20"/>
                <w:lang w:val="en-US"/>
              </w:rPr>
              <w:t xml:space="preserve"> monitoring system, distribute educational materials, conduct </w:t>
            </w:r>
            <w:r w:rsidR="004D202D" w:rsidRPr="00EC3E91">
              <w:rPr>
                <w:sz w:val="20"/>
                <w:szCs w:val="20"/>
                <w:lang w:val="en-US"/>
              </w:rPr>
              <w:t>educational</w:t>
            </w:r>
            <w:r w:rsidRPr="00EC3E91">
              <w:rPr>
                <w:sz w:val="20"/>
                <w:szCs w:val="20"/>
                <w:lang w:val="en-US"/>
              </w:rPr>
              <w:t xml:space="preserve"> meeting, [accountability tool]</w:t>
            </w:r>
          </w:p>
        </w:tc>
      </w:tr>
      <w:tr w:rsidR="00F422E5" w:rsidRPr="00E119DD" w14:paraId="1202FDE3" w14:textId="77777777" w:rsidTr="00F422E5">
        <w:trPr>
          <w:trHeight w:val="2235"/>
        </w:trPr>
        <w:tc>
          <w:tcPr>
            <w:tcW w:w="993" w:type="dxa"/>
            <w:tcBorders>
              <w:top w:val="single" w:sz="4" w:space="0" w:color="auto"/>
              <w:left w:val="nil"/>
              <w:bottom w:val="single" w:sz="4" w:space="0" w:color="auto"/>
              <w:right w:val="nil"/>
            </w:tcBorders>
          </w:tcPr>
          <w:p w14:paraId="4ED10EE2" w14:textId="5CB5D59F" w:rsidR="00F422E5" w:rsidRPr="00EC3E91" w:rsidRDefault="00363934"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{"citationItems":[{"id":"ITEM-1","itemData":{"DOI":"10.1177/1060028019877471","ISSN":"15426270","PMID":"31544470","abstract":"Background:Optimal albumin use in the intensive care unit (ICU) remains challenging with inappropriate use approaching 50%. No published reports have described clinical pharmacist impact aimed at mitigating inappropriate albumin use in the ICU. Objective: To evaluate the clinical and economic impact of a clinical pharmacist–led intervention strategy targeting inappropriate albumin in the ICU. Methods: A retrospective cohort study evaluated all adult (≥18 years) ICU patients administered albumin at an academic medical center over a 2-year period. Institutional guidelines were developed with clinical pharmacists targeting inappropriate albumin use. The primary end point was to compare inappropriate use of albumin administered before and after pharmacist intervention implementation. Secondary analyses compared the overall albumin use between study periods. In-hospital mortality, length of stay, and albumin-related costs between study periods were also compared. Results: A total of 4419 patients were identified, with 2448 (55.4%) critically ill patients included. The pharmacist-led strategy resulted in a 50.9% reduction of inappropriate albumin use (P &lt; 0.001). The rate of inappropriate albumin use was 44.3 ± 10.5 and 5.5 ± 2.9 g per patient-day in the preimplementation and postimplementation periods, respectively (P &lt; 0.001). Costs associated with overall and inappropriate albumin use in the ICU decreased by 34.8% and 87.1%, respectively. Total annual cost-savings was $355 393 in the ICUs. No differences in clinical outcomes were found. Conclusion and Relevance: Clinical pharmacist–led interventions reduced overall and inappropriate albumin use and costs without negatively affecting clinical outcomes.","author":[{"dropping-particle":"","family":"Buckley","given":"Mitchell S.","non-dropping-particle":"","parse-names":false,"suffix":""},{"dropping-particle":"","family":"Knutson","given":"Kristen D.","non-dropping-particle":"","parse-names":false,"suffix":""},{"dropping-particle":"","family":"Agarwal","given":"Sumit K.","non-dropping-particle":"","parse-names":false,"suffix":""},{"dropping-particle":"","family":"Lansburg","given":"Jake M.","non-dropping-particle":"","parse-names":false,"suffix":""},{"dropping-particle":"","family":"Wicks","given":"Laura M.","non-dropping-particle":"","parse-names":false,"suffix":""},{"dropping-particle":"","family":"Saggar","given":"Rajeev C.","non-dropping-particle":"","parse-names":false,"suffix":""},{"dropping-particle":"","family":"Richards","given":"Emily C.","non-dropping-particle":"","parse-names":false,"suffix":""},{"dropping-particle":"","family":"Kopp","given":"Brian J.","non-dropping-particle":"","parse-names":false,"suffix":""},{"dropping-particle":"","family":"Erstad","given":"Brian L.","non-dropping-particle":"","parse-names":false,"suffix":""}],"container-title":"Annals of Pharmacotherapy","id":"ITEM-1","issue":"2","issued":{"date-parts":[["2020","2","1"]]},"page":"105-112","publisher":"SAGE Publications Inc.","title":"Clinical Pharmacist–Led Impact on Inappropriate Albumin Use and Costs in the Critically Ill","type":"article-journal","volume":"54"},"uris":["http://www.mendeley.com/documents/?uuid=6f6322f2-b303-3b17-b316-8a63072d2c71"]}],"mendeley":{"formattedCitation":"(180)","plainTextFormattedCitation":"(180)","previouslyFormattedCitation":"(180)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534DF79"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86E09F7"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080F683"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E7DD8C0"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3CF143CC"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0EC2C14E" w14:textId="77777777" w:rsidR="00F422E5" w:rsidRPr="00EC3E91" w:rsidRDefault="00F422E5" w:rsidP="00C02742">
            <w:pPr>
              <w:rPr>
                <w:sz w:val="20"/>
                <w:szCs w:val="20"/>
                <w:lang w:val="en-US"/>
              </w:rPr>
            </w:pPr>
            <w:r w:rsidRPr="00EC3E91">
              <w:rPr>
                <w:sz w:val="20"/>
                <w:szCs w:val="20"/>
                <w:lang w:val="en-US"/>
              </w:rPr>
              <w:t>Inappropriate use of albumin</w:t>
            </w:r>
          </w:p>
        </w:tc>
        <w:tc>
          <w:tcPr>
            <w:tcW w:w="3970" w:type="dxa"/>
            <w:tcBorders>
              <w:top w:val="single" w:sz="4" w:space="0" w:color="auto"/>
              <w:left w:val="nil"/>
              <w:bottom w:val="single" w:sz="4" w:space="0" w:color="auto"/>
              <w:right w:val="nil"/>
            </w:tcBorders>
            <w:hideMark/>
          </w:tcPr>
          <w:p w14:paraId="607E78CB" w14:textId="77777777" w:rsidR="00F422E5" w:rsidRPr="00EC3E91" w:rsidRDefault="00F422E5" w:rsidP="00C02742">
            <w:pPr>
              <w:rPr>
                <w:sz w:val="20"/>
                <w:szCs w:val="20"/>
                <w:lang w:val="en-US"/>
              </w:rPr>
            </w:pPr>
            <w:r w:rsidRPr="00EC3E91">
              <w:rPr>
                <w:sz w:val="20"/>
                <w:szCs w:val="20"/>
                <w:lang w:val="en-US"/>
              </w:rPr>
              <w:t>American Association Liver Diseases Practice Guideline 2012</w:t>
            </w:r>
            <w:r w:rsidRPr="00EC3E91">
              <w:rPr>
                <w:sz w:val="20"/>
                <w:szCs w:val="20"/>
                <w:lang w:val="en-US"/>
              </w:rPr>
              <w:br/>
            </w:r>
            <w:r w:rsidRPr="00EC3E91">
              <w:rPr>
                <w:sz w:val="20"/>
                <w:szCs w:val="20"/>
                <w:lang w:val="en-US"/>
              </w:rPr>
              <w:br/>
              <w:t xml:space="preserve">Guidelines on the use of therapeutic apheresis in clinical practice-evidence-based approach from the Writing Committee of the American Society for Apheresis </w:t>
            </w:r>
            <w:r w:rsidRPr="00EC3E91">
              <w:rPr>
                <w:sz w:val="20"/>
                <w:szCs w:val="20"/>
                <w:lang w:val="en-US"/>
              </w:rPr>
              <w:br/>
            </w:r>
            <w:r w:rsidRPr="00EC3E91">
              <w:rPr>
                <w:sz w:val="20"/>
                <w:szCs w:val="20"/>
                <w:lang w:val="en-US"/>
              </w:rPr>
              <w:br/>
              <w:t xml:space="preserve">Surviving sepsis campaign: international guidelines for management of sepsis and septic shock: 2016. </w:t>
            </w:r>
          </w:p>
        </w:tc>
        <w:tc>
          <w:tcPr>
            <w:tcW w:w="2551" w:type="dxa"/>
            <w:tcBorders>
              <w:top w:val="single" w:sz="4" w:space="0" w:color="auto"/>
              <w:left w:val="nil"/>
              <w:bottom w:val="single" w:sz="4" w:space="0" w:color="auto"/>
              <w:right w:val="nil"/>
            </w:tcBorders>
            <w:hideMark/>
          </w:tcPr>
          <w:p w14:paraId="6EECEB12" w14:textId="77777777" w:rsidR="00F422E5" w:rsidRPr="00EC3E91" w:rsidRDefault="00F422E5" w:rsidP="00C02742">
            <w:pPr>
              <w:rPr>
                <w:sz w:val="20"/>
                <w:szCs w:val="20"/>
                <w:lang w:val="en-US"/>
              </w:rPr>
            </w:pPr>
            <w:r w:rsidRPr="00EC3E91">
              <w:rPr>
                <w:sz w:val="20"/>
                <w:szCs w:val="20"/>
                <w:lang w:val="en-US"/>
              </w:rPr>
              <w:t xml:space="preserve">distribute educational materials, [accountability tool], develop and organize quality monitoring system, audit and provide feedback, </w:t>
            </w:r>
          </w:p>
        </w:tc>
      </w:tr>
      <w:tr w:rsidR="00F422E5" w:rsidRPr="00E119DD" w14:paraId="381D6217" w14:textId="77777777" w:rsidTr="00F422E5">
        <w:trPr>
          <w:trHeight w:val="2235"/>
        </w:trPr>
        <w:tc>
          <w:tcPr>
            <w:tcW w:w="993" w:type="dxa"/>
            <w:tcBorders>
              <w:top w:val="single" w:sz="4" w:space="0" w:color="auto"/>
              <w:left w:val="nil"/>
              <w:bottom w:val="single" w:sz="4" w:space="0" w:color="auto"/>
              <w:right w:val="nil"/>
            </w:tcBorders>
          </w:tcPr>
          <w:p w14:paraId="17D2BA1F" w14:textId="063D374A" w:rsidR="00F422E5" w:rsidRPr="00EC3E91" w:rsidRDefault="004361B2"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{"citationItems":[{"id":"ITEM-1","itemData":{"DOI":"10.1093/cid/ciz1180","abstract":"Background. Most antibiotic prescribing is in outpatient settings. However, antibiotic stewardship has focused overwhelmingly on hospitalized patients. In a few studies, behavioral interventions decreased unnecessary outpatient prescribing against acute respiratory infections, but data are conflicting on sustained benefits after intervention discontinuation. Methods. We conducted a prospective, observational study in 7 primary care clinics, in which an intervention comprised of cli-nician education, peer comparisons, and computer decision support order sets was directed against all antibiotic prescribing. After 6 months, peer comparisons were discontinued. Antibiotic prescribing was compared in the baseline periods. Results. Mean antibiotic prescriptions significantly decreased from 76.9 (baseline) to 49.5 (intervention) and 56.3 (postintervention) per 1000 visits (35.6% and 26.8% reductions, respectively; P values &lt; .001). The rate of unnecessary antibiotic prescribing (ie, antibiotic not indicated) decreased from 58.8% (baseline) to 37.8% (intervention) and 44.3% (postintervention) (35.7% and 24.7% decreases, respectively; P = .001 and P = .01). Overall, 19.9% (27/136), 36.6% (66/180), and 34.9% (67/192) of antibiotics were prescribed optimally (ie, antibiotics were indicated, and a guideline-concordant agent was prescribed for guideline-concordant duration) during the baseline, intervention, and postintervention periods, respectively (baseline vs intervention and postintervention, P = .001 and P = .003, respectively). Differences between intervention and postintervention periods in overall, unnecessary, or optimal antibiotic prescribing were not significant. Conclusions. A multifaceted outpatient stewardship intervention achieved reductions in overall, unnecessary, and suboptimal antibiotic prescription rates, which were sustained for a year after components of the intervention were discontinued. There is opportunity for further improvement, as inappropriate and suboptimal prescribing remained common.","author":[{"dropping-particle":"","family":"Buehrle","given":"D J","non-dropping-particle":"","parse-names":false,"suffix":""},{"dropping-particle":"","family":"Buehrle","given":"Deanna J","non-dropping-particle":"","parse-names":false,"suffix":""},{"dropping-particle":"","family":"Shively","given":"Nathan R","non-dropping-particle":"","parse-names":false,"suffix":""},{"dropping-particle":"","family":"Wagener","given":"Marilyn M","non-dropping-particle":"","parse-names":false,"suffix":""},{"dropping-particle":"","family":"Clancy","given":"Cornelius J","non-dropping-particle":"","parse-names":false,"suffix":""},{"dropping-particle":"","family":"Decker","given":"Brooke K","non-dropping-particle":"","parse-names":false,"suffix":""}],"id":"ITEM-1","issued":{"date-parts":[["0"]]},"title":"Clinical Infectious Diseases Clinical Infectious Diseases ® 2019;XX(XX):1-7 Sustained Reductions in Overall and Unnecessary Antibiotic Prescribing at Primary Care Clinics in a Veterans Affairs Healthcare System Following a Multifaceted Stewardship Intervention","type":"article-journal"},"uris":["http://www.mendeley.com/documents/?uuid=d1f096a3-ff7b-3a9f-a687-9e14150a71d5"]}],"mendeley":{"formattedCitation":"(181)","plainTextFormattedCitation":"(181)","previouslyFormattedCitation":"(181)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A3AE3C6"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040D25D"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21D2EC70"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3C5566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491C0AF"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5699C3AD"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63F4B656" w14:textId="77777777" w:rsidR="00F422E5" w:rsidRPr="00EC3E91" w:rsidRDefault="00F422E5" w:rsidP="00C02742">
            <w:pPr>
              <w:rPr>
                <w:sz w:val="20"/>
                <w:szCs w:val="20"/>
                <w:lang w:val="en-US"/>
              </w:rPr>
            </w:pPr>
            <w:r w:rsidRPr="00EC3E91">
              <w:rPr>
                <w:sz w:val="20"/>
                <w:szCs w:val="20"/>
                <w:lang w:val="en-US"/>
              </w:rPr>
              <w:t xml:space="preserve">Infectious Diseases Society of America, 2012. </w:t>
            </w:r>
            <w:r w:rsidRPr="00EC3E91">
              <w:rPr>
                <w:sz w:val="20"/>
                <w:szCs w:val="20"/>
                <w:lang w:val="en-US"/>
              </w:rPr>
              <w:br/>
            </w:r>
            <w:r w:rsidRPr="00EC3E91">
              <w:rPr>
                <w:sz w:val="20"/>
                <w:szCs w:val="20"/>
                <w:lang w:val="en-US"/>
              </w:rPr>
              <w:br/>
              <w:t>IDSA clinical practice guideline for acute bacterial rhinosinusitis in children and adults</w:t>
            </w:r>
            <w:r w:rsidRPr="00EC3E91">
              <w:rPr>
                <w:sz w:val="20"/>
                <w:szCs w:val="20"/>
                <w:lang w:val="en-US"/>
              </w:rPr>
              <w:br/>
            </w:r>
            <w:r w:rsidRPr="00EC3E91">
              <w:rPr>
                <w:sz w:val="20"/>
                <w:szCs w:val="20"/>
                <w:lang w:val="en-US"/>
              </w:rPr>
              <w:br/>
              <w:t>Practice guidelines for the diagnosis and management of skin and soft tissue infections: 2014 update by the Infectious Diseases Society of America</w:t>
            </w:r>
            <w:r w:rsidRPr="00EC3E91">
              <w:rPr>
                <w:sz w:val="20"/>
                <w:szCs w:val="20"/>
                <w:lang w:val="en-US"/>
              </w:rPr>
              <w:br/>
            </w:r>
            <w:r w:rsidRPr="00EC3E91">
              <w:rPr>
                <w:sz w:val="20"/>
                <w:szCs w:val="20"/>
                <w:lang w:val="en-US"/>
              </w:rPr>
              <w:br/>
              <w:t>Infectious Diseases Society of America guidelines for the diagnosis and treatment of asymptomatic bacteriuria in adults</w:t>
            </w:r>
            <w:r w:rsidRPr="00EC3E91">
              <w:rPr>
                <w:sz w:val="20"/>
                <w:szCs w:val="20"/>
                <w:lang w:val="en-US"/>
              </w:rPr>
              <w:br/>
            </w:r>
            <w:r w:rsidRPr="00EC3E91">
              <w:rPr>
                <w:sz w:val="20"/>
                <w:szCs w:val="20"/>
                <w:lang w:val="en-US"/>
              </w:rPr>
              <w:br/>
              <w:t>International clinical practice guidelines for the treatment of acute uncomplicated cystitis and pyelonephritis in women: a 2010 update</w:t>
            </w:r>
          </w:p>
        </w:tc>
        <w:tc>
          <w:tcPr>
            <w:tcW w:w="2551" w:type="dxa"/>
            <w:tcBorders>
              <w:top w:val="single" w:sz="4" w:space="0" w:color="auto"/>
              <w:left w:val="nil"/>
              <w:bottom w:val="single" w:sz="4" w:space="0" w:color="auto"/>
              <w:right w:val="nil"/>
            </w:tcBorders>
            <w:hideMark/>
          </w:tcPr>
          <w:p w14:paraId="3E03F010" w14:textId="77777777" w:rsidR="00F422E5" w:rsidRPr="00EC3E91" w:rsidRDefault="00F422E5" w:rsidP="00C02742">
            <w:pPr>
              <w:rPr>
                <w:sz w:val="20"/>
                <w:szCs w:val="20"/>
                <w:lang w:val="en-US"/>
              </w:rPr>
            </w:pPr>
            <w:r w:rsidRPr="00EC3E91">
              <w:rPr>
                <w:sz w:val="20"/>
                <w:szCs w:val="20"/>
                <w:lang w:val="en-US"/>
              </w:rPr>
              <w:t xml:space="preserve">conduct educational meeting, remind clinicians, </w:t>
            </w:r>
          </w:p>
        </w:tc>
      </w:tr>
      <w:tr w:rsidR="00F422E5" w:rsidRPr="00E119DD" w14:paraId="57583308" w14:textId="77777777" w:rsidTr="00F422E5">
        <w:trPr>
          <w:trHeight w:val="2235"/>
        </w:trPr>
        <w:tc>
          <w:tcPr>
            <w:tcW w:w="993" w:type="dxa"/>
            <w:tcBorders>
              <w:top w:val="single" w:sz="4" w:space="0" w:color="auto"/>
              <w:left w:val="nil"/>
              <w:bottom w:val="single" w:sz="4" w:space="0" w:color="auto"/>
              <w:right w:val="nil"/>
            </w:tcBorders>
          </w:tcPr>
          <w:p w14:paraId="5A48E2BF" w14:textId="614EF5F9" w:rsidR="00F422E5" w:rsidRPr="00EC3E91" w:rsidRDefault="007E7296"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{"citationItems":[{"id":"ITEM-1","itemData":{"DOI":"10.1186/s40814-017-0166-3","ISSN":"2055-5784","abstract":"A general practitioner (GP)-targeted intervention aimed at improving the prescribing of appropriate polypharmacy for older people was previously developed using a systematic, theory-based approach based on the UK Medical Research Council's complex intervention framework. The primary intervention component comprised a video demonstration of a GP prescribing appropriate polypharmacy during a consultation with an older patient. The video was delivered to GPs online and included feedback emphasising the positive outcomes of performing the behaviour. As a complementary intervention component, patients were invited to scheduled medication review consultations with GPs. This study aimed to test the feasibility of the intervention and study procedures (recruitment, data collection).\nGPs from two general practices were given access to the video, and reception staff scheduled consultations with older patients receiving polypharmacy (≥4 medicines). Primary feasibility study outcomes were the usability and acceptability of the intervention to GPs. Feedback was collected from GP and patient participants using structured questionnaires. Clinical data were also extracted from recruited patients' medical records (baseline and 1 month post-consultation). The feasibility of applying validated assessment of prescribing appropriateness (STOPP/START criteria, Medication Appropriateness Index) and medication regimen complexity (Medication Regimen Complexity Index) to these data was investigated. Data analysis was descriptive, providing an overview of participants' feedback and clinical assessment findings.\nFour GPs and ten patients were recruited across two practices. The intervention was considered usable and acceptable by GPs. Some reservations were expressed by GPs as to whether the video truly reflected resource and time pressures encountered in the general practice working environment. Patient feedback on the scheduled consultations was positive. Patients welcomed the opportunity to have their medications reviewed. Due to the short time to follow-up and a lack of detailed clinical information in patient records, it was not feasible to detect any prescribing changes or to apply the assessment tools to patients' clinical data.\nThe findings will help to further refine the intervention and study procedures (including time to follow-up) which will be tested in a randomised pilot study that will inform the design of a definitive trial to evaluate the intervention's effectiven…","author":[{"dropping-particle":"","family":"Cadogan","given":"Cathal A","non-dropping-particle":"","parse-names":false,"suffix":""},{"dropping-particle":"","family":"Ryan","given":"Cristín","non-dropping-particle":"","parse-names":false,"suffix":""},{"dropping-particle":"","family":"Gormley","given":"Gerard J","non-dropping-particle":"","parse-names":false,"suffix":""},{"dropping-particle":"","family":"Francis","given":"Jill J","non-dropping-particle":"","parse-names":false,"suffix":""},{"dropping-particle":"","family":"Passmore","given":"Peter","non-dropping-particle":"","parse-names":false,"suffix":""},{"dropping-particle":"","family":"Kerse","given":"Ngaire","non-dropping-particle":"","parse-names":false,"suffix":""},{"dropping-particle":"","family":"Hughes","given":"Carmel M","non-dropping-particle":"","parse-names":false,"suffix":""}],"container-title":"Pilot and feasibility studies","id":"ITEM-1","issue":"1","issued":{"date-parts":[["2018"]]},"page":"23","publisher":"BioMed Central Ltd","publisher-place":"England","title":"A feasibility study of a theory-based intervention to improve appropriate polypharmacy for older people in primary care","type":"article-journal","volume":"4"},"uris":["http://www.mendeley.com/documents/?uuid=00d222bd-6d04-4467-ad79-bce327daf395"]}],"mendeley":{"formattedCitation":"(182)","plainTextFormattedCitation":"(182)","previouslyFormattedCitation":"(182)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92FA3C9" w14:textId="77777777" w:rsidR="00F422E5" w:rsidRPr="00EC3E91" w:rsidRDefault="00F422E5" w:rsidP="00C02742">
            <w:pPr>
              <w:rPr>
                <w:sz w:val="20"/>
                <w:szCs w:val="20"/>
                <w:lang w:val="en-US"/>
              </w:rPr>
            </w:pPr>
            <w:r w:rsidRPr="00EC3E91">
              <w:rPr>
                <w:sz w:val="20"/>
                <w:szCs w:val="20"/>
                <w:lang w:val="en-US"/>
              </w:rPr>
              <w:t>United Kingdom</w:t>
            </w:r>
          </w:p>
        </w:tc>
        <w:tc>
          <w:tcPr>
            <w:tcW w:w="993" w:type="dxa"/>
            <w:tcBorders>
              <w:top w:val="single" w:sz="4" w:space="0" w:color="auto"/>
              <w:left w:val="nil"/>
              <w:bottom w:val="single" w:sz="4" w:space="0" w:color="auto"/>
              <w:right w:val="nil"/>
            </w:tcBorders>
            <w:hideMark/>
          </w:tcPr>
          <w:p w14:paraId="73AB2D29"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8F06141" w14:textId="77777777" w:rsidR="00F422E5" w:rsidRPr="00EC3E91" w:rsidRDefault="00F422E5" w:rsidP="00C02742">
            <w:pPr>
              <w:rPr>
                <w:sz w:val="20"/>
                <w:szCs w:val="20"/>
                <w:lang w:val="en-US"/>
              </w:rPr>
            </w:pPr>
            <w:r w:rsidRPr="00EC3E91">
              <w:rPr>
                <w:sz w:val="20"/>
                <w:szCs w:val="20"/>
                <w:lang w:val="en-US"/>
              </w:rPr>
              <w:t>Mixed Cross-sectional</w:t>
            </w:r>
          </w:p>
        </w:tc>
        <w:tc>
          <w:tcPr>
            <w:tcW w:w="851" w:type="dxa"/>
            <w:tcBorders>
              <w:top w:val="single" w:sz="4" w:space="0" w:color="auto"/>
              <w:left w:val="nil"/>
              <w:bottom w:val="single" w:sz="4" w:space="0" w:color="auto"/>
              <w:right w:val="nil"/>
            </w:tcBorders>
            <w:hideMark/>
          </w:tcPr>
          <w:p w14:paraId="08CFA8B3" w14:textId="4D74EECB" w:rsidR="00F422E5" w:rsidRPr="00EC3E91" w:rsidRDefault="004D202D"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21878357"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6C66FCD"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5BC0B73" w14:textId="77777777" w:rsidR="00F422E5" w:rsidRPr="00EC3E91" w:rsidRDefault="00F422E5" w:rsidP="00C02742">
            <w:pPr>
              <w:rPr>
                <w:sz w:val="20"/>
                <w:szCs w:val="20"/>
                <w:lang w:val="en-US"/>
              </w:rPr>
            </w:pPr>
            <w:r w:rsidRPr="00EC3E91">
              <w:rPr>
                <w:sz w:val="20"/>
                <w:szCs w:val="20"/>
                <w:lang w:val="en-US"/>
              </w:rPr>
              <w:t>NICE clinical guidelines</w:t>
            </w:r>
            <w:r w:rsidRPr="00EC3E91">
              <w:rPr>
                <w:sz w:val="20"/>
                <w:szCs w:val="20"/>
                <w:lang w:val="en-US"/>
              </w:rPr>
              <w:br/>
            </w:r>
            <w:r w:rsidRPr="00EC3E91">
              <w:rPr>
                <w:sz w:val="20"/>
                <w:szCs w:val="20"/>
                <w:lang w:val="en-US"/>
              </w:rPr>
              <w:b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7A101DE7" w14:textId="6565DCEB" w:rsidR="00F422E5" w:rsidRPr="00EC3E91" w:rsidRDefault="00F422E5" w:rsidP="00C02742">
            <w:pPr>
              <w:rPr>
                <w:sz w:val="20"/>
                <w:szCs w:val="20"/>
                <w:lang w:val="en-US"/>
              </w:rPr>
            </w:pPr>
            <w:r w:rsidRPr="00EC3E91">
              <w:rPr>
                <w:sz w:val="20"/>
                <w:szCs w:val="20"/>
                <w:lang w:val="en-US"/>
              </w:rPr>
              <w:t xml:space="preserve">develop educational materials, develop and organize </w:t>
            </w:r>
            <w:r w:rsidR="004D202D" w:rsidRPr="00EC3E91">
              <w:rPr>
                <w:sz w:val="20"/>
                <w:szCs w:val="20"/>
                <w:lang w:val="en-US"/>
              </w:rPr>
              <w:t>quality</w:t>
            </w:r>
            <w:r w:rsidRPr="00EC3E91">
              <w:rPr>
                <w:sz w:val="20"/>
                <w:szCs w:val="20"/>
                <w:lang w:val="en-US"/>
              </w:rPr>
              <w:t xml:space="preserve"> monitoring systems </w:t>
            </w:r>
          </w:p>
        </w:tc>
      </w:tr>
      <w:tr w:rsidR="00F422E5" w:rsidRPr="00E119DD" w14:paraId="7710FE52" w14:textId="77777777" w:rsidTr="00F422E5">
        <w:trPr>
          <w:trHeight w:val="2235"/>
        </w:trPr>
        <w:tc>
          <w:tcPr>
            <w:tcW w:w="993" w:type="dxa"/>
            <w:tcBorders>
              <w:top w:val="single" w:sz="4" w:space="0" w:color="auto"/>
              <w:left w:val="nil"/>
              <w:bottom w:val="single" w:sz="4" w:space="0" w:color="auto"/>
              <w:right w:val="nil"/>
            </w:tcBorders>
          </w:tcPr>
          <w:p w14:paraId="6DAAAD85" w14:textId="69C54EDB" w:rsidR="00F422E5" w:rsidRPr="00EC3E91" w:rsidRDefault="00C529C4" w:rsidP="00C02742">
            <w:pPr>
              <w:rPr>
                <w:sz w:val="20"/>
                <w:szCs w:val="20"/>
                <w:lang w:val="en-US"/>
              </w:rPr>
            </w:pPr>
            <w:r w:rsidRPr="00EC3E91">
              <w:rPr>
                <w:sz w:val="20"/>
                <w:szCs w:val="20"/>
                <w:lang w:val="en-US"/>
              </w:rPr>
              <w:fldChar w:fldCharType="begin" w:fldLock="1"/>
            </w:r>
            <w:r w:rsidR="00E119DD">
              <w:rPr>
                <w:sz w:val="20"/>
                <w:szCs w:val="20"/>
                <w:lang w:val="en-US"/>
              </w:rPr>
              <w:instrText>ADDIN CSL_CITATION {"citationItems":[{"id":"ITEM-1","itemData":{"ISSN":"1432-1041 0031-6970","abstract":"Background: Proton-pump inhibitors (PPIs) are among the most frequently prescribed drugs, but they are being overprescribed. Objective: To evaluate the applicability of a deprescription algorithm in hospitalized patients with chronic PPI use. Methods: A prospective study including consecutive gastroenterology department hospitalized patients with chronic PPI use. The prescription was reassessed and a deprescribing algorithm was applied. Follow-up was carried out at 4, 12, and 24 weeks. Results: A total of 513 (44.22%) of 1160 had chronic PPI use; 371 met inclusion criteria and were evaluated: 285 (76.82%) with appropriate prescription and 86 (23.18%) with inappropriate, mainly (52.30%) due to polypharmacy. Seventy-five patients accepted the deprescribing process. Sixty-one (81.33%) maintained deprescription at week 4, 56 (74.66%) at week 12, and 54 (72.00%) at week 24. Eleven of 21 restarted the PPI because of symptoms. No differences were found between the successful deprescription group and the unsuccessful one, regarding sex (p = 0.877), age (p = 0.635), PPI indication (p = 0.663), or deprescription regimen (p = 0.805). No patient had any adverse event attributable to deprescription. Conclusion: There is a high inappropriate indication for PPIs in patients admitted to the gastroenterology department. The application of a patient-centered deprescribing algorithm is a safe and effective strategy to reduce their inappropriate consumption in the medium term.","author":[{"dropping-particle":"","family":"Calvo","given":"L L J","non-dropping-particle":"","parse-names":false,"suffix":""},{"dropping-particle":"","family":"García Cámara","given":"P","non-dropping-particle":"","parse-names":false,"suffix":""},{"dropping-particle":"","family":"Llorente Barrio","given":"M","non-dropping-particle":"","parse-names":false,"suffix":""},{"dropping-particle":"","family":"Sierra Gabarda","given":"O","non-dropping-particle":"","parse-names":false,"suffix":""},{"dropping-particle":"","family":"Monzón Baez","given":"R","non-dropping-particle":"","parse-names":false,"suffix":""},{"dropping-particle":"","family":"Arbonés Mainar","given":"J M","non-dropping-particle":"","parse-names":false,"suffix":""},{"dropping-particle":"","family":"Alcedo González","given":"J","non-dropping-particle":"","parse-names":false,"suffix":""},{"dropping-particle":"","family":"Bernal Monterde","given":"V","non-dropping-particle":"","parse-names":false,"suffix":""}],"container-title":"European Journal of Clinical Pharmacology","id":"ITEM-1","issued":{"date-parts":[["2021"]]},"language":"English","publisher-place":"V. Bernal Monterde, Gastroenterology Department, Miguel Servet University Hospital, Zaragoza, Spain","title":"Successful deprescribing of proton pump inhibitors with a patient-centered process: the DESPIBP Project","type":"article-journal"},"uris":["http://www.mendeley.com/documents/?uuid=9bf5b899-e278-380e-9565-db7ba7a84f01"]}],"mendeley":{"formattedCitation":"(183)","plainTextFormattedCitation":"(183)","previouslyFormattedCitation":"(183)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7CFAB92"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04F5DB6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6EDDBD2"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4E17015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39B890C"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60E589C4" w14:textId="77777777" w:rsidR="00F422E5" w:rsidRPr="00EC3E91" w:rsidRDefault="00F422E5" w:rsidP="00C02742">
            <w:pPr>
              <w:rPr>
                <w:sz w:val="20"/>
                <w:szCs w:val="20"/>
                <w:lang w:val="en-US"/>
              </w:rPr>
            </w:pPr>
            <w:r w:rsidRPr="00EC3E91">
              <w:rPr>
                <w:sz w:val="20"/>
                <w:szCs w:val="20"/>
                <w:lang w:val="en-US"/>
              </w:rPr>
              <w:t>chronic PPI use in hospitalized patients</w:t>
            </w:r>
          </w:p>
        </w:tc>
        <w:tc>
          <w:tcPr>
            <w:tcW w:w="3970" w:type="dxa"/>
            <w:tcBorders>
              <w:top w:val="single" w:sz="4" w:space="0" w:color="auto"/>
              <w:left w:val="nil"/>
              <w:bottom w:val="single" w:sz="4" w:space="0" w:color="auto"/>
              <w:right w:val="nil"/>
            </w:tcBorders>
            <w:hideMark/>
          </w:tcPr>
          <w:p w14:paraId="60E3206F" w14:textId="77777777" w:rsidR="00F422E5" w:rsidRPr="00EC3E91" w:rsidRDefault="00F422E5" w:rsidP="00C02742">
            <w:pPr>
              <w:rPr>
                <w:sz w:val="20"/>
                <w:szCs w:val="20"/>
                <w:lang w:val="en-US"/>
              </w:rPr>
            </w:pPr>
            <w:r w:rsidRPr="00EC3E91">
              <w:rPr>
                <w:sz w:val="20"/>
                <w:szCs w:val="20"/>
                <w:lang w:val="en-US"/>
              </w:rPr>
              <w:t>Farrell B, Pottie K, Thompson W et al (2017) Deprescribing proton pump inhibitors: evidence-based clinical practice guideline. Can Fam Physician 63(5):354–364</w:t>
            </w:r>
            <w:r w:rsidRPr="00EC3E91">
              <w:rPr>
                <w:sz w:val="20"/>
                <w:szCs w:val="20"/>
                <w:lang w:val="en-US"/>
              </w:rPr>
              <w:br/>
            </w:r>
            <w:r w:rsidRPr="00EC3E91">
              <w:rPr>
                <w:sz w:val="20"/>
                <w:szCs w:val="20"/>
                <w:lang w:val="en-US"/>
              </w:rPr>
              <w:br/>
              <w:t>Bytzer P (2018) Deprescribing proton pump inhibitors: why, when and how. Med J Aust 209(10):436–438</w:t>
            </w:r>
            <w:r w:rsidRPr="00EC3E91">
              <w:rPr>
                <w:sz w:val="20"/>
                <w:szCs w:val="20"/>
                <w:lang w:val="en-US"/>
              </w:rPr>
              <w:br/>
            </w:r>
            <w:r w:rsidRPr="00EC3E91">
              <w:rPr>
                <w:sz w:val="20"/>
                <w:szCs w:val="20"/>
                <w:lang w:val="en-US"/>
              </w:rPr>
              <w:br/>
              <w:t xml:space="preserve"> Boghossian TA, Rashid FJ, Thompson W et al </w:t>
            </w:r>
            <w:r w:rsidRPr="00EC3E91">
              <w:rPr>
                <w:sz w:val="20"/>
                <w:szCs w:val="20"/>
                <w:lang w:val="en-US"/>
              </w:rPr>
              <w:lastRenderedPageBreak/>
              <w:t xml:space="preserve">(2017) Deprescribing versus continuation of chronic proton pump inhibitor use in adults. Cochrane Database Syst Rev. </w:t>
            </w:r>
          </w:p>
        </w:tc>
        <w:tc>
          <w:tcPr>
            <w:tcW w:w="2551" w:type="dxa"/>
            <w:tcBorders>
              <w:top w:val="single" w:sz="4" w:space="0" w:color="auto"/>
              <w:left w:val="nil"/>
              <w:bottom w:val="single" w:sz="4" w:space="0" w:color="auto"/>
              <w:right w:val="nil"/>
            </w:tcBorders>
            <w:hideMark/>
          </w:tcPr>
          <w:p w14:paraId="04602250" w14:textId="77777777" w:rsidR="00F422E5" w:rsidRPr="00EC3E91" w:rsidRDefault="00F422E5" w:rsidP="00C02742">
            <w:pPr>
              <w:rPr>
                <w:sz w:val="20"/>
                <w:szCs w:val="20"/>
                <w:lang w:val="en-US"/>
              </w:rPr>
            </w:pPr>
            <w:r w:rsidRPr="00EC3E91">
              <w:rPr>
                <w:sz w:val="20"/>
                <w:szCs w:val="20"/>
                <w:lang w:val="en-US"/>
              </w:rPr>
              <w:lastRenderedPageBreak/>
              <w:t>develop educational materials</w:t>
            </w:r>
          </w:p>
        </w:tc>
      </w:tr>
      <w:tr w:rsidR="00F422E5" w:rsidRPr="00E119DD" w14:paraId="6A3CD53C" w14:textId="77777777" w:rsidTr="00F422E5">
        <w:trPr>
          <w:trHeight w:val="2235"/>
        </w:trPr>
        <w:tc>
          <w:tcPr>
            <w:tcW w:w="993" w:type="dxa"/>
            <w:tcBorders>
              <w:top w:val="single" w:sz="4" w:space="0" w:color="auto"/>
              <w:left w:val="nil"/>
              <w:bottom w:val="single" w:sz="4" w:space="0" w:color="auto"/>
              <w:right w:val="nil"/>
            </w:tcBorders>
          </w:tcPr>
          <w:p w14:paraId="61F996E2" w14:textId="1160B5B8" w:rsidR="00F422E5" w:rsidRPr="00EC3E91" w:rsidRDefault="002E495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{"citationItems":[{"id":"ITEM-1","itemData":{"DOI":"10.1111/jgs.17121","ISSN":"15325415","PMID":"33772749","abstract":"Objective: To test the impact of a multicomponent behavioral intervention to reduce the use of high-risk anticholinergic medications in primary care older adults. Design: Cluster-randomized controlled trial. Setting and Participants: Ten primary care clinics within Eskenazi Health in Indianapolis. Intervention: The multicomponent intervention included provider- and patient-focused components. The provider-focused component was computerized decision support alerting of the presence of a high-risk anticholinergic and offering dose- and indication-specific alternatives. The patient-focused component was a story-based video providing education and modeling an interaction with a healthcare provider resulting in a medication change. Alerts within the medical record triggered staff to play the video for a patient. Our design intended for parallel, independent priming of both providers and patients immediately before an outpatient face-to-face interaction. Measurement: Medication orders were extracted from the electronic medical record system to evaluate the prescribing behavior and population prevalence of anticholinergic users. The intervention was introduced April 1, 2019, through March 31, 2020, and a preintervention observational period of April 1, 2018, through March 31, 2019, facilitated difference in difference comparisons. Results: A total of 552 older adults had visits at primary care sites during the study period, with mean age of 72.1 (SD 6.4) years and 45.3% African American. Of the 259 provider-focused alerts, only three (1.2%) led to a medication change. Of the 276 staff alerts, 4.7% were confirmed to activate the patient-focused intervention. The intervention resulted in no significant differences in either the number of discontinue orders for anticholinergics (intervention: two additional orders; control: five fewer orders, p = 0.7334) or proportion of the population using anticholinergics following the intervention (preintervention: 6.2% and postintervention: 5.1%, p = 0.6326). Conclusion: This multicomponent intervention did not reduce the use of high-risk anticholinergics in older adults receiving primary care. Improving nudges or a policy-focused component may be necessary to reduce use of high-risk medications.","author":[{"dropping-particle":"","family":"Campbell","given":"Noll L.","non-dropping-particle":"","parse-names":false,"suffix":""},{"dropping-particle":"","family":"Holden","given":"Richard J.","non-dropping-particle":"","parse-names":false,"suffix":""},{"dropping-particle":"","family":"Tang","given":"Qing","non-dropping-particle":"","parse-names":false,"suffix":""},{"dropping-particle":"","family":"Boustani","given":"Malaz A.","non-dropping-particle":"","parse-names":false,"suffix":""},{"dropping-particle":"","family":"Teal","given":"Evgenia","non-dropping-particle":"","parse-names":false,"suffix":""},{"dropping-particle":"","family":"Hillstrom","given":"Jennifer","non-dropping-particle":"","parse-names":false,"suffix":""},{"dropping-particle":"","family":"Tu","given":"Wanzhu","non-dropping-particle":"","parse-names":false,"suffix":""},{"dropping-particle":"","family":"Clark","given":"Daniel O.","non-dropping-particle":"","parse-names":false,"suffix":""},{"dropping-particle":"","family":"Callahan","given":"Christopher M.","non-dropping-particle":"","parse-names":false,"suffix":""}],"container-title":"Journal of the American Geriatrics Society","id":"ITEM-1","issue":"6","issued":{"date-parts":[["2021","6","1"]]},"page":"1490-1499","publisher":"John Wiley and Sons Inc","title":"Multicomponent behavioral intervention to reduce exposure to anticholinergics in primary care older adults","type":"article-journal","volume":"69"},"uris":["http://www.mendeley.com/documents/?uuid=0ba3104b-1199-375e-82bc-93bd01e2a10a"]}],"mendeley":{"formattedCitation":"(184)","plainTextFormattedCitation":"(184)","previouslyFormattedCitation":"(184)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F1E491F"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7E80F1E"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C98B81B"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39DBC53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F29ADEA"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D01C92B"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88F4453" w14:textId="77777777" w:rsidR="00F422E5" w:rsidRPr="00EC3E91" w:rsidRDefault="00F422E5" w:rsidP="00C02742">
            <w:pPr>
              <w:rPr>
                <w:sz w:val="20"/>
                <w:szCs w:val="20"/>
                <w:lang w:val="en-US"/>
              </w:rPr>
            </w:pPr>
            <w:r w:rsidRPr="00EC3E91">
              <w:rPr>
                <w:sz w:val="20"/>
                <w:szCs w:val="20"/>
                <w:lang w:val="en-US"/>
              </w:rPr>
              <w:t xml:space="preserve"> Beers Criteria</w:t>
            </w:r>
            <w:r w:rsidRPr="00EC3E91">
              <w:rPr>
                <w:sz w:val="20"/>
                <w:szCs w:val="20"/>
                <w:lang w:val="en-US"/>
              </w:rPr>
              <w:br/>
            </w:r>
            <w:r w:rsidRPr="00EC3E91">
              <w:rPr>
                <w:sz w:val="20"/>
                <w:szCs w:val="20"/>
                <w:lang w:val="en-US"/>
              </w:rPr>
              <w:br/>
              <w:t>Recommendations from the American Geriatrics Society (AGS), Centers for Medicare and Medicaid Services, and the National Committee for Quality Assurance</w:t>
            </w:r>
          </w:p>
        </w:tc>
        <w:tc>
          <w:tcPr>
            <w:tcW w:w="2551" w:type="dxa"/>
            <w:tcBorders>
              <w:top w:val="single" w:sz="4" w:space="0" w:color="auto"/>
              <w:left w:val="nil"/>
              <w:bottom w:val="single" w:sz="4" w:space="0" w:color="auto"/>
              <w:right w:val="nil"/>
            </w:tcBorders>
            <w:hideMark/>
          </w:tcPr>
          <w:p w14:paraId="7B3CE57D"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change physical structure and equipment, develop educational materials </w:t>
            </w:r>
          </w:p>
        </w:tc>
      </w:tr>
      <w:tr w:rsidR="00F422E5" w:rsidRPr="00E119DD" w14:paraId="5819C125" w14:textId="77777777" w:rsidTr="00F422E5">
        <w:trPr>
          <w:trHeight w:val="2235"/>
        </w:trPr>
        <w:tc>
          <w:tcPr>
            <w:tcW w:w="993" w:type="dxa"/>
            <w:tcBorders>
              <w:top w:val="single" w:sz="4" w:space="0" w:color="auto"/>
              <w:left w:val="nil"/>
              <w:bottom w:val="single" w:sz="4" w:space="0" w:color="auto"/>
              <w:right w:val="nil"/>
            </w:tcBorders>
          </w:tcPr>
          <w:p w14:paraId="3ACD3D22" w14:textId="19256C86" w:rsidR="00F422E5" w:rsidRPr="00EC3E91" w:rsidRDefault="00743AA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{"citationItems":[{"id":"ITEM-1","itemData":{"DOI":"10.1111/jgs.15751","ISSN":"15325415","PMID":"30664239","abstract":"Objective: Benzodiazepines and anticholinergics are risk factors for delirium in the intensive care unit (ICU). We tested the impact of a deprescribing intervention on short-term delirium outcomes. Design: Multisite randomized clinical trial. Setting: ICUs of three large hospitals. Participants: Two hundred adults aged 18 years or older and admitted to an ICU with delirium, according to the Richmond Agitation-Sedation Scale and the Confusion Assessment Method for the ICU (CAM-ICU). Participants had a contraindication to haloperidol (seizure disorder or prolonged QT interval) or preference against haloperidol as a treatment for delirium, and were excluded for serious mental illness, stroke, pregnancy, or alcohol withdrawal. Participants were randomized to a deprescribing intervention or usual care. The intervention included electronic alerts combined with pharmacist support to deprescribe anticholinergics and benzodiazepines. Measurements: Primary outcomes were delirium duration measured by the CAM-ICU and severity measured by the Delirium Rating Scale Revised-98 (DRS-R-98) and the CAM-ICU-7; secondary outcomes included adverse events and mortality. Results: Participants had a mean age of 61.8 (SD = 14.3) years, 59% were female, and 52% were African American, with no significant differences in baseline characteristics between groups. No differences between groups were identified in the number exposed to anticholinergics (P =.219) or benzodiazepines (P =.566), the median total anticholinergic score (P =.282), or the median total benzodiazepine dose in lorazepam equivalents (P =.501). Neither median delirium/coma-free days (P =.361) nor median change in delirium severity scores (P =.582 for DRS-R-98; P =.333 for CAM-ICU-7) were different between groups. No differences in adverse events or mortality were identified. Conclusions: When added to state-of-the-art clinical services, this deprescribing intervention had no impact on medication use in ICU participants. Given the age of the population, results of clinical outcomes may not be easily extrapolated to older adults. Nonetheless, improved approaches for deprescribing or preventing anticholinergics and benzodiazepines should be developed to determine the impact on delirium outcomes. J Am Geriatr Soc 67:695–702, 2019.","author":[{"dropping-particle":"","family":"Campbell","given":"Noll L.","non-dropping-particle":"","parse-names":false,"suffix":""},{"dropping-particle":"","family":"Perkins","given":"Anthony J.","non-dropping-particle":"","parse-names":false,"suffix":""},{"dropping-particle":"","family":"Khan","given":"Babar A.","non-dropping-particle":"","parse-names":false,"suffix":""},{"dropping-particle":"","family":"Gao","given":"Sujuan","non-dropping-particle":"","parse-names":false,"suffix":""},{"dropping-particle":"","family":"Farber","given":"Mark O.","non-dropping-particle":"","parse-names":false,"suffix":""},{"dropping-particle":"","family":"Khan","given":"Sikandar","non-dropping-particle":"","parse-names":false,"suffix":""},{"dropping-particle":"","family":"Wang","given":"Sophia","non-dropping-particle":"","parse-names":false,"suffix":""},{"dropping-particle":"","family":"Boustani","given":"Malaz A.","non-dropping-particle":"","parse-names":false,"suffix":""}],"container-title":"Journal of the American Geriatrics Society","id":"ITEM-1","issue":"4","issued":{"date-parts":[["2019","4","1"]]},"page":"695-702","publisher":"Blackwell Publishing Inc.","title":"Deprescribing in the Pharmacologic Management of Delirium: A Randomized Trial in the Intensive Care Unit","type":"article-journal","volume":"67"},"uris":["http://www.mendeley.com/documents/?uuid=d8f6cfa5-fe68-3b6b-9d4d-f57f540cd73a"]}],"mendeley":{"formattedCitation":"(185)","plainTextFormattedCitation":"(185)","previouslyFormattedCitation":"(185)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EAF0F20"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4CE42D4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8AA7B06"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6F3E7AC8"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AF9302F"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4BA59B5"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C105E68" w14:textId="77777777" w:rsidR="00F422E5" w:rsidRPr="00EC3E91" w:rsidRDefault="00F422E5" w:rsidP="00C02742">
            <w:pPr>
              <w:rPr>
                <w:sz w:val="20"/>
                <w:szCs w:val="20"/>
                <w:lang w:val="en-US"/>
              </w:rPr>
            </w:pPr>
            <w:r w:rsidRPr="00EC3E91">
              <w:rPr>
                <w:sz w:val="20"/>
                <w:szCs w:val="20"/>
                <w:lang w:val="en-US"/>
              </w:rPr>
              <w:t>US Food and Drug Administration</w:t>
            </w:r>
          </w:p>
        </w:tc>
        <w:tc>
          <w:tcPr>
            <w:tcW w:w="2551" w:type="dxa"/>
            <w:tcBorders>
              <w:top w:val="single" w:sz="4" w:space="0" w:color="auto"/>
              <w:left w:val="nil"/>
              <w:bottom w:val="single" w:sz="4" w:space="0" w:color="auto"/>
              <w:right w:val="nil"/>
            </w:tcBorders>
            <w:hideMark/>
          </w:tcPr>
          <w:p w14:paraId="6B02739A" w14:textId="77777777" w:rsidR="00F422E5" w:rsidRPr="00EC3E91" w:rsidRDefault="00F422E5" w:rsidP="00C02742">
            <w:pPr>
              <w:rPr>
                <w:sz w:val="20"/>
                <w:szCs w:val="20"/>
                <w:lang w:val="en-US"/>
              </w:rPr>
            </w:pPr>
            <w:r w:rsidRPr="00EC3E91">
              <w:rPr>
                <w:sz w:val="20"/>
                <w:szCs w:val="20"/>
                <w:lang w:val="en-US"/>
              </w:rPr>
              <w:t xml:space="preserve">remind clinicians, develop and organize quality monitoring system, </w:t>
            </w:r>
          </w:p>
        </w:tc>
      </w:tr>
      <w:tr w:rsidR="00F422E5" w:rsidRPr="00E119DD" w14:paraId="3F951B25" w14:textId="77777777" w:rsidTr="00F422E5">
        <w:trPr>
          <w:trHeight w:val="2235"/>
        </w:trPr>
        <w:tc>
          <w:tcPr>
            <w:tcW w:w="993" w:type="dxa"/>
            <w:tcBorders>
              <w:top w:val="single" w:sz="4" w:space="0" w:color="auto"/>
              <w:left w:val="nil"/>
              <w:bottom w:val="single" w:sz="4" w:space="0" w:color="auto"/>
              <w:right w:val="nil"/>
            </w:tcBorders>
          </w:tcPr>
          <w:p w14:paraId="6F139F5A" w14:textId="2B640E14" w:rsidR="00F422E5" w:rsidRPr="00EC3E91" w:rsidRDefault="00316214"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{"citationItems":[{"id":"ITEM-1","itemData":{"DOI":"10.1016/j.gaceta.2017.09.002","ISSN":"0213-9111","abstract":"To assess the monetary savings resulting from a pharmacist intervention on the appropriateness of prescribed drugs in community-dwelling polymedicated (≥8 drugs) elderly people (≥70 years).\nAn evaluation of pharmaceutical expenditure reduction was performed within a randomised, multicentre clinical trial. The study intervention consisted of a pharmacist evaluation of all drugs prescribed to each patient using the “Good Palliative-Geriatric Practice” algorithm and the “Screening Tool of Older Persons Prescriptions/Screening Tool to Alert doctors to Right Treatment” criteria (STOPP/START). The control group followed the routine standard of care. A time horizon of one year was considered and cost elements included human resources and drug expenditure.\n490 patients (245 in each group) were analysed. Both groups experienced a decrease in drug expenditure 12 months after the study started, but this decrease was significantly higher in the intervention group than in the control group (−14.3% vs.−7.7%; p=0.041). Total annual drug expenditure decreased 233.75 €/patient (95% confidence interval [95%CI]: 169.83-297.67) in the intervention group and 169.40 €/patient (95%CI: 103.37-235.43) in the control group over a one-year period, indicating that 64.30 € would be the drug expenditure savings per patient a year attributable to the study intervention. The estimated return per Euro invested in the programme would be 2.38 € per patient a year on average.\nThe study intervention is a cost-effective alternative to standard care that could generate a positive return of investment.\nEvaluar los ahorros monetarios resultantes de la intervención de un farmacéutico orientada a mejorar la adecuación de los fármacos prescritos en ancianos (≥70 años) polimedicados (≥8 medicamentos) de la comunidad.\nSe evaluó la reducción del gasto farmacéutico en el marco de un ensayo clínico aleatorizado y multicéntrico. La intervención del estudio consistió en una evaluación de todos los fármacos prescritos a cada paciente utilizando el algoritmo Good Palliative-Geriatric Practice y los criterios Screening Tool of Older Persons Prescriptions/Screening Tool to Alert doctors to Right Treatment (STOPP/START). El grupo control siguió la práctica clínica habitual. Se consideró un horizonte temporal de un año y los elementos de costes incluyeron los recursos humanos y el gasto en medicamentos.\nSe analizaron 490 pacientes (245 por grupo). La disminución del gasto farmacéutico a los 12 meses fue signi…","author":[{"dropping-particle":"","family":"Campins","given":"Lluís","non-dropping-particle":"","parse-names":false,"suffix":""},{"dropping-particle":"","family":"Serra-Prat","given":"Mateu","non-dropping-particle":"","parse-names":false,"suffix":""},{"dropping-particle":"","family":"Palomera","given":"Elisabet","non-dropping-particle":"","parse-names":false,"suffix":""},{"dropping-particle":"","family":"Bolibar","given":"Ignasi","non-dropping-particle":"","parse-names":false,"suffix":""},{"dropping-particle":"","family":"Martínez","given":"Miquel Àngel","non-dropping-particle":"","parse-names":false,"suffix":""},{"dropping-particle":"","family":"Gallo","given":"Pedro","non-dropping-particle":"","parse-names":false,"suffix":""}],"container-title":"Gaceta sanitaria","id":"ITEM-1","issue":"2","issued":{"date-parts":[["2019"]]},"page":"106-111","publisher":"Elsevier España, S.L.U","title":"Reduction of pharmaceutical expenditure by a drug appropriateness intervention in polymedicated elderly subjects in Catalonia (Spain)","type":"article-journal","volume":"33"},"uris":["http://www.mendeley.com/documents/?uuid=527a5e42-59db-496d-bcd2-4faa3da275d7"]}],"mendeley":{"formattedCitation":"(186)","plainTextFormattedCitation":"(186)","previouslyFormattedCitation":"(186)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ED523A6"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31C57D22"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05E556D"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DFFE26E" w14:textId="77777777" w:rsidR="00F422E5" w:rsidRPr="00EC3E91" w:rsidRDefault="00F422E5" w:rsidP="00C02742">
            <w:pPr>
              <w:rPr>
                <w:sz w:val="20"/>
                <w:szCs w:val="20"/>
                <w:lang w:val="en-US"/>
              </w:rPr>
            </w:pPr>
            <w:r w:rsidRPr="00EC3E91">
              <w:rPr>
                <w:sz w:val="20"/>
                <w:szCs w:val="20"/>
                <w:lang w:val="en-US"/>
              </w:rPr>
              <w:t xml:space="preserve">Cost-effectiveness </w:t>
            </w:r>
          </w:p>
        </w:tc>
        <w:tc>
          <w:tcPr>
            <w:tcW w:w="1134" w:type="dxa"/>
            <w:tcBorders>
              <w:top w:val="single" w:sz="4" w:space="0" w:color="auto"/>
              <w:left w:val="nil"/>
              <w:bottom w:val="single" w:sz="4" w:space="0" w:color="auto"/>
              <w:right w:val="nil"/>
            </w:tcBorders>
            <w:hideMark/>
          </w:tcPr>
          <w:p w14:paraId="1C9E79C5"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6B23A56"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E749874"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5A09A894" w14:textId="2A62C38F" w:rsidR="00F422E5" w:rsidRPr="00EC3E91" w:rsidRDefault="00F422E5" w:rsidP="00C02742">
            <w:pPr>
              <w:rPr>
                <w:sz w:val="20"/>
                <w:szCs w:val="20"/>
                <w:lang w:val="en-US"/>
              </w:rPr>
            </w:pPr>
            <w:r w:rsidRPr="00EC3E91">
              <w:rPr>
                <w:sz w:val="20"/>
                <w:szCs w:val="20"/>
                <w:lang w:val="en-US"/>
              </w:rPr>
              <w:t xml:space="preserve">develop and organize </w:t>
            </w:r>
            <w:r w:rsidR="004D202D" w:rsidRPr="00EC3E91">
              <w:rPr>
                <w:sz w:val="20"/>
                <w:szCs w:val="20"/>
                <w:lang w:val="en-US"/>
              </w:rPr>
              <w:t>quality</w:t>
            </w:r>
            <w:r w:rsidRPr="00EC3E91">
              <w:rPr>
                <w:sz w:val="20"/>
                <w:szCs w:val="20"/>
                <w:lang w:val="en-US"/>
              </w:rPr>
              <w:t xml:space="preserve"> monitoring systems, remind clinicians </w:t>
            </w:r>
          </w:p>
        </w:tc>
      </w:tr>
      <w:tr w:rsidR="00F422E5" w:rsidRPr="00EC3E91" w14:paraId="14825D5C" w14:textId="77777777" w:rsidTr="00F422E5">
        <w:trPr>
          <w:trHeight w:val="2235"/>
        </w:trPr>
        <w:tc>
          <w:tcPr>
            <w:tcW w:w="993" w:type="dxa"/>
            <w:tcBorders>
              <w:top w:val="single" w:sz="4" w:space="0" w:color="auto"/>
              <w:left w:val="nil"/>
              <w:bottom w:val="single" w:sz="4" w:space="0" w:color="auto"/>
              <w:right w:val="nil"/>
            </w:tcBorders>
          </w:tcPr>
          <w:p w14:paraId="563F2B10" w14:textId="3E7BB2E9" w:rsidR="00F422E5" w:rsidRPr="00EC3E91" w:rsidRDefault="004A1C09"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{"citationItems":[{"id":"ITEM-1","itemData":{"DOI":"10.1007/s12262-020-02148-4","ISSN":"09739793","abstract":"The aim of this study was to describe the rate of patients with an inappropriate venous thromboembolism (VTE) prophylaxis in a Department of Surgery, study the risk factors associated with an inappropriate VTE prophylaxis, and analyze the effect of a simple educational program to improve these results. A quasi-experimental study was performed. VTE prophylaxis was studied in a Department of Surgery. The results of this analysis were presented to the Staff of the Department. Then, prophylaxis was again studied to analyze if this simple educational program improved these results. Inappropriate prophylaxis was seen in nearly 40% of the patients, mainly due to a lack of prescription. Inappropriate prophylaxis was associated with advanced age, ASA, surgical patient, no same-day surgery, no discharged patients, and high VTE risk. In the multivariate analysis, only no same-day surgery was related to inappropriate prophylaxis. The educational program achieved a non-significant reduction of inappropriate prophylaxis (31.7% vs. 40.5%, p = 0.070). A high percentage of patients in the Department of Surgery had an inappropriate VTE prophylaxis, mainly due to the lack of prescription. A simple educational program improved VTE prophylaxis prescription, although this improvement was not statistically significant.","author":[{"dropping-particle":"","family":"Cano-Valderrama","given":"Oscar","non-dropping-particle":"","parse-names":false,"suffix":""},{"dropping-particle":"","family":"Cuñarro-López","given":"Yolanda","non-dropping-particle":"","parse-names":false,"suffix":""},{"dropping-particle":"","family":"Laiz","given":"Beatriz","non-dropping-particle":"","parse-names":false,"suffix":""},{"dropping-particle":"","family":"Jiménez-Fuertes","given":"Montiel","non-dropping-particle":"","parse-names":false,"suffix":""},{"dropping-particle":"","family":"Torres","given":"Antonio J.","non-dropping-particle":"","parse-names":false,"suffix":""},{"dropping-particle":"","family":"Duran-Poveda","given":"Manuel","non-dropping-particle":"","parse-names":false,"suffix":""}],"container-title":"Indian Journal of Surgery","id":"ITEM-1","issue":"5","issued":{"date-parts":[["2020","10","1"]]},"page":"855-860","publisher":"Springer","title":"Inappropriate Venous Thromboembolism Prophylaxis in a General Surgery Department: Risk Factors and Improvement with a Simple Educational Program","type":"article-journal","volume":"82"},"uris":["http://www.mendeley.com/documents/?uuid=4b1c2ab3-be7e-3cb9-abfc-b09c44182619"]}],"mendeley":{"formattedCitation":"(187)","plainTextFormattedCitation":"(187)","previouslyFormattedCitation":"(187)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063EFBC"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24F0E0D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7EEF811"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5AF7B18"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812162C" w14:textId="39AE33F2" w:rsidR="00F422E5" w:rsidRPr="00EC3E91" w:rsidRDefault="00F422E5" w:rsidP="00C02742">
            <w:pPr>
              <w:rPr>
                <w:sz w:val="20"/>
                <w:szCs w:val="20"/>
                <w:lang w:val="en-US"/>
              </w:rPr>
            </w:pPr>
            <w:r w:rsidRPr="00EC3E91">
              <w:rPr>
                <w:sz w:val="20"/>
                <w:szCs w:val="20"/>
                <w:lang w:val="en-US"/>
              </w:rPr>
              <w:t xml:space="preserve">Surgical and </w:t>
            </w:r>
            <w:r w:rsidR="004D202D" w:rsidRPr="00EC3E91">
              <w:rPr>
                <w:sz w:val="20"/>
                <w:szCs w:val="20"/>
                <w:lang w:val="en-US"/>
              </w:rPr>
              <w:t>non-surgical</w:t>
            </w:r>
            <w:r w:rsidRPr="00EC3E91">
              <w:rPr>
                <w:sz w:val="20"/>
                <w:szCs w:val="20"/>
                <w:lang w:val="en-US"/>
              </w:rPr>
              <w:t xml:space="preserve"> procedures</w:t>
            </w:r>
          </w:p>
        </w:tc>
        <w:tc>
          <w:tcPr>
            <w:tcW w:w="2126" w:type="dxa"/>
            <w:tcBorders>
              <w:top w:val="single" w:sz="4" w:space="0" w:color="auto"/>
              <w:left w:val="nil"/>
              <w:bottom w:val="single" w:sz="4" w:space="0" w:color="auto"/>
              <w:right w:val="nil"/>
            </w:tcBorders>
            <w:hideMark/>
          </w:tcPr>
          <w:p w14:paraId="58E95047" w14:textId="77777777" w:rsidR="00F422E5" w:rsidRPr="00EC3E91" w:rsidRDefault="00F422E5" w:rsidP="00C02742">
            <w:pPr>
              <w:rPr>
                <w:sz w:val="20"/>
                <w:szCs w:val="20"/>
                <w:lang w:val="en-US"/>
              </w:rPr>
            </w:pPr>
            <w:r w:rsidRPr="00EC3E91">
              <w:rPr>
                <w:sz w:val="20"/>
                <w:szCs w:val="20"/>
                <w:lang w:val="en-US"/>
              </w:rPr>
              <w:t>Inappropriate venous thromboembolism (VTE) prophylaxis</w:t>
            </w:r>
          </w:p>
        </w:tc>
        <w:tc>
          <w:tcPr>
            <w:tcW w:w="3970" w:type="dxa"/>
            <w:tcBorders>
              <w:top w:val="single" w:sz="4" w:space="0" w:color="auto"/>
              <w:left w:val="nil"/>
              <w:bottom w:val="single" w:sz="4" w:space="0" w:color="auto"/>
              <w:right w:val="nil"/>
            </w:tcBorders>
            <w:hideMark/>
          </w:tcPr>
          <w:p w14:paraId="09B999C6" w14:textId="77777777" w:rsidR="00F422E5" w:rsidRPr="00EC3E91" w:rsidRDefault="00F422E5" w:rsidP="00C02742">
            <w:pPr>
              <w:rPr>
                <w:sz w:val="20"/>
                <w:szCs w:val="20"/>
                <w:lang w:val="en-US"/>
              </w:rPr>
            </w:pPr>
            <w:r w:rsidRPr="00EC3E91">
              <w:rPr>
                <w:sz w:val="20"/>
                <w:szCs w:val="20"/>
                <w:lang w:val="en-US"/>
              </w:rPr>
              <w:t>Prevención de la Enfermedad Tromboembólica Venosa en Cirugía General y del Aparato Digestivo [Guidelines from Spanish Association of Surgery]</w:t>
            </w:r>
            <w:r w:rsidRPr="00EC3E91">
              <w:rPr>
                <w:sz w:val="20"/>
                <w:szCs w:val="20"/>
                <w:lang w:val="en-US"/>
              </w:rPr>
              <w:br/>
            </w:r>
            <w:r w:rsidRPr="00EC3E91">
              <w:rPr>
                <w:sz w:val="20"/>
                <w:szCs w:val="20"/>
                <w:lang w:val="en-US"/>
              </w:rPr>
              <w:br/>
              <w:t xml:space="preserve">American College of Chest Physicians Evidence-Based Clinical Practice Guidelines. </w:t>
            </w:r>
            <w:r w:rsidRPr="00EC3E91">
              <w:rPr>
                <w:sz w:val="20"/>
                <w:szCs w:val="20"/>
                <w:lang w:val="en-US"/>
              </w:rPr>
              <w:br/>
            </w:r>
            <w:r w:rsidRPr="00EC3E91">
              <w:rPr>
                <w:sz w:val="20"/>
                <w:szCs w:val="20"/>
                <w:lang w:val="en-US"/>
              </w:rPr>
              <w:br/>
              <w:t xml:space="preserve">European guidelines on perioperative venous thromboembolism prophylaxis: executive summary by the VTE Guidelines Task Force.  </w:t>
            </w:r>
          </w:p>
        </w:tc>
        <w:tc>
          <w:tcPr>
            <w:tcW w:w="2551" w:type="dxa"/>
            <w:tcBorders>
              <w:top w:val="single" w:sz="4" w:space="0" w:color="auto"/>
              <w:left w:val="nil"/>
              <w:bottom w:val="single" w:sz="4" w:space="0" w:color="auto"/>
              <w:right w:val="nil"/>
            </w:tcBorders>
            <w:hideMark/>
          </w:tcPr>
          <w:p w14:paraId="304CFC93" w14:textId="77777777" w:rsidR="00F422E5" w:rsidRPr="00EC3E91" w:rsidRDefault="00F422E5" w:rsidP="00C02742">
            <w:pPr>
              <w:rPr>
                <w:sz w:val="20"/>
                <w:szCs w:val="20"/>
                <w:lang w:val="en-US"/>
              </w:rPr>
            </w:pPr>
            <w:r w:rsidRPr="00EC3E91">
              <w:rPr>
                <w:sz w:val="20"/>
                <w:szCs w:val="20"/>
                <w:lang w:val="en-US"/>
              </w:rPr>
              <w:t xml:space="preserve">audit and provide feedback </w:t>
            </w:r>
          </w:p>
        </w:tc>
      </w:tr>
      <w:tr w:rsidR="00F422E5" w:rsidRPr="00E119DD" w14:paraId="595FECB3" w14:textId="77777777" w:rsidTr="00F422E5">
        <w:trPr>
          <w:trHeight w:val="2235"/>
        </w:trPr>
        <w:tc>
          <w:tcPr>
            <w:tcW w:w="993" w:type="dxa"/>
            <w:tcBorders>
              <w:top w:val="single" w:sz="4" w:space="0" w:color="auto"/>
              <w:left w:val="nil"/>
              <w:bottom w:val="single" w:sz="4" w:space="0" w:color="auto"/>
              <w:right w:val="nil"/>
            </w:tcBorders>
          </w:tcPr>
          <w:p w14:paraId="6844509C" w14:textId="53C09B27" w:rsidR="00F422E5" w:rsidRPr="00EC3E91" w:rsidRDefault="009815DE"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{"citationItems":[{"id":"ITEM-1","itemData":{"DOI":"10.1136/bmjopen-2019-035087","ISSN":"20446055","PMID":"32595137","abstract":"OBJECTIVE: Limited evidence suggests integration of pharmacists into the general practice team could improve medicines management for patients, particularly those with multimorbidity and polypharmacy. This study aimed to develop and assess the feasibility of an intervention involving pharmacists, working within general practices, to optimise prescribing in Ireland. DESIGN: Non-randomised pilot study. SETTING: Primary care in Ireland. PARTICIPANTS: Four general practices, purposively sampled and recruited to reflect a range of practice sizes and demographic profiles. INTERVENTION: A pharmacist joined the practice team for 6 months (10 hours/week) and undertook medication reviews (face to face or chart based) for adult patients, provided prescribing advice, supported clinical audits and facilitated practice-based education. OUTCOME MEASURES: Anonymised practice-level medication (eg, medication changes) and cost data were collected. Patient-reported outcome measure (PROM) data were collected on a subset of older adults (aged ≥65 years) with polypharmacy using patient questionnaires, before and 6 weeks after medication review by the pharmacist. RESULTS: Across four practices, 786 patients were identified as having 1521 prescribing issues by the pharmacists. Issues relating to deprescribing medications were addressed most often by the prescriber (59.8%), compared with cost-related issues (5.8%). Medication changes made during the study equated to approximately €57 000 in cost savings assuming they persisted for 12 months. Ninety-six patients aged ≥65 years with polypharmacy were recruited from the four practices for PROM data collection and 64 (66.7%) were followed up. There were no changes in patients' treatment burden or attitudes to deprescribing following medication review, and there were conflicting changes in patients' self-reported quality of life. CONCLUSIONS: This non-randomised pilot study demonstrated that an intervention involving pharmacists, working within general practices is feasible to implement and has potential to improve prescribing quality. This study provides rationale to conduct a randomised controlled trial to evaluate the clinical and cost-effectiveness of this intervention.","author":[{"dropping-particle":"","family":"Cardwell","given":"Karen","non-dropping-particle":"","parse-names":false,"suffix":""},{"dropping-particle":"","family":"Smith","given":"Susan M.","non-dropping-particle":"","parse-names":false,"suffix":""},{"dropping-particle":"","family":"Clyne","given":"Barbara","non-dropping-particle":"","parse-names":false,"suffix":""},{"dropping-particle":"","family":"McCullagh","given":"Laura","non-dropping-particle":"","parse-names":false,"suffix":""},{"dropping-particle":"","family":"Wallace","given":"Emma","non-dropping-particle":"","parse-names":false,"suffix":""},{"dropping-particle":"","family":"Kirke","given":"Ciara","non-dropping-particle":"","parse-names":false,"suffix":""},{"dropping-particle":"","family":"Fahey","given":"Tom","non-dropping-particle":"","parse-names":false,"suffix":""},{"dropping-particle":"","family":"Moriarty","given":"Frank","non-dropping-particle":"","parse-names":false,"suffix":""}],"container-title":"BMJ open","id":"ITEM-1","issue":"6","issued":{"date-parts":[["2020","6","28"]]},"page":"e035087","publisher":"NLM (Medline)","title":"Evaluation of the General Practice Pharmacist (GPP) intervention to optimise prescribing in Irish primary care: a non-randomised pilot study","type":"article-journal","volume":"10"},"uris":["http://www.mendeley.com/documents/?uuid=d5dadf82-f0eb-3fca-9630-aa0eafc7108a"]}],"mendeley":{"formattedCitation":"(188)","plainTextFormattedCitation":"(188)","previouslyFormattedCitation":"(188)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FD567BC" w14:textId="77777777" w:rsidR="00F422E5" w:rsidRPr="00EC3E91" w:rsidRDefault="00F422E5" w:rsidP="00C02742">
            <w:pPr>
              <w:rPr>
                <w:sz w:val="20"/>
                <w:szCs w:val="20"/>
                <w:lang w:val="en-US"/>
              </w:rPr>
            </w:pPr>
            <w:r w:rsidRPr="00EC3E91">
              <w:rPr>
                <w:sz w:val="20"/>
                <w:szCs w:val="20"/>
                <w:lang w:val="en-US"/>
              </w:rPr>
              <w:t>Ireland</w:t>
            </w:r>
          </w:p>
        </w:tc>
        <w:tc>
          <w:tcPr>
            <w:tcW w:w="993" w:type="dxa"/>
            <w:tcBorders>
              <w:top w:val="single" w:sz="4" w:space="0" w:color="auto"/>
              <w:left w:val="nil"/>
              <w:bottom w:val="single" w:sz="4" w:space="0" w:color="auto"/>
              <w:right w:val="nil"/>
            </w:tcBorders>
            <w:hideMark/>
          </w:tcPr>
          <w:p w14:paraId="58F962D3"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72511616"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BC9373D" w14:textId="77777777" w:rsidR="00F422E5" w:rsidRPr="00EC3E91" w:rsidRDefault="00F422E5"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hideMark/>
          </w:tcPr>
          <w:p w14:paraId="6158F2B4"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C63D189"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C6A4F10" w14:textId="7BCD869D" w:rsidR="00F422E5" w:rsidRPr="00EC3E91" w:rsidRDefault="00F422E5" w:rsidP="00C02742">
            <w:pPr>
              <w:rPr>
                <w:sz w:val="20"/>
                <w:szCs w:val="20"/>
                <w:lang w:val="en-US"/>
              </w:rPr>
            </w:pPr>
            <w:r w:rsidRPr="00EC3E91">
              <w:rPr>
                <w:sz w:val="20"/>
                <w:szCs w:val="20"/>
                <w:lang w:val="en-US"/>
              </w:rPr>
              <w:t xml:space="preserve">World Health </w:t>
            </w:r>
            <w:r w:rsidR="007F39A6" w:rsidRPr="00EC3E91">
              <w:rPr>
                <w:sz w:val="20"/>
                <w:szCs w:val="20"/>
                <w:lang w:val="en-US"/>
              </w:rPr>
              <w:t>Organization</w:t>
            </w:r>
            <w:r w:rsidRPr="00EC3E91">
              <w:rPr>
                <w:sz w:val="20"/>
                <w:szCs w:val="20"/>
                <w:lang w:val="en-US"/>
              </w:rPr>
              <w:t xml:space="preserve"> (WHO). Medication safety in polypharmacy.</w:t>
            </w:r>
          </w:p>
        </w:tc>
        <w:tc>
          <w:tcPr>
            <w:tcW w:w="2551" w:type="dxa"/>
            <w:tcBorders>
              <w:top w:val="single" w:sz="4" w:space="0" w:color="auto"/>
              <w:left w:val="nil"/>
              <w:bottom w:val="single" w:sz="4" w:space="0" w:color="auto"/>
              <w:right w:val="nil"/>
            </w:tcBorders>
            <w:hideMark/>
          </w:tcPr>
          <w:p w14:paraId="6567C791"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w:t>
            </w:r>
          </w:p>
        </w:tc>
      </w:tr>
      <w:tr w:rsidR="00F422E5" w:rsidRPr="00E119DD" w14:paraId="0BCD7536" w14:textId="77777777" w:rsidTr="00F422E5">
        <w:trPr>
          <w:trHeight w:val="2235"/>
        </w:trPr>
        <w:tc>
          <w:tcPr>
            <w:tcW w:w="993" w:type="dxa"/>
            <w:tcBorders>
              <w:top w:val="single" w:sz="4" w:space="0" w:color="auto"/>
              <w:left w:val="nil"/>
              <w:bottom w:val="single" w:sz="4" w:space="0" w:color="auto"/>
              <w:right w:val="nil"/>
            </w:tcBorders>
          </w:tcPr>
          <w:p w14:paraId="500885DD" w14:textId="24C2DBEA" w:rsidR="00F422E5" w:rsidRPr="00EC3E91" w:rsidRDefault="008B3D34"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{"citationItems":[{"id":"ITEM-1","itemData":{"DOI":"10.1186/s12877-021-02220-y","ISSN":"14712318","PMID":"33933030","abstract":"Background: Potentially inappropriate medications (PIMs) are common among nursing homes (NH) residents, as is polypharmacy. Deprescribing has emerged in the past decade as a safe and effective way to reduce the use of PIMs and improve patient outcomes. However, effective deprescribing interventions are expensive, as they require specialised staff and a great amount of time for each resident. The Quality Circle Deprescribing Module (QC-DeMo) intervention was designed to be less resource-intensive than medication reviews, the current deprescribing gold standard. It consists of a QC session in which physicians, nurses, and pharmacists define a local deprescribing consensus for specific PIMs classes, which is then implemented in the NH. The intervention was trialled in a RCT, with the NH as unit of analysis. Methods: After randomisation, intervention NHs enacted the QC-DeMo at the start of the follow-up year. The primary outcomes were the proportion of PIM galenic units and number of PIM defined daily dose per average resident and per day (DDD/res). PIM status was assessed by a combination of the 2015 Beers list and the Norwegian General Practice-Nursing Home criteria. Secondary outcomes were the number of DDD/res to avoid and to reevaluate; safety outcomes were mortality, hospitalisations, falls, and use of physical restraints. Outcomes were evaluated at follow-up using linear regression models, adjusting for the outcome baseline values. Results: Fifty-eight NHs took part in the trial; no individual residents were recruited. The intervention did not reduce the primary outcomes, but a strong trend towards reduction was seen for the number of PIM DDD/res, which accounts for the doses used. PIM DDD/res to reevaluate were significantly reduced, mostly through a reduction in the use of proton-pump inhibitors. Falls and use of physical restraints were not affected, but a statistical interaction between the mission of the NH (geriatric unit or specialised dementia unit) and the intervention group was seen for mortality and hospitalisations. Conclusions: The QC-DeMo intervention can reduce the use of some PIM classes, and could usefully complement other deprescribing interventions. Trial registration: ClinicalTrials.gov (NCT03688542), registered on 26.09.2018, retrospectively registered.","author":[{"dropping-particle":"","family":"Cateau","given":"Damien","non-dropping-particle":"","parse-names":false,"suffix":""},{"dropping-particle":"","family":"Ballabeni","given":"Pierluigi","non-dropping-particle":"","parse-names":false,"suffix":""},{"dropping-particle":"","family":"Niquille","given":"Anne","non-dropping-particle":"","parse-names":false,"suffix":""}],"container-title":"BMC Geriatrics","id":"ITEM-1","issue":"1","issued":{"date-parts":[["2021","12","1"]]},"publisher":"BioMed Central Ltd","title":"Effects of an interprofessional Quality Circle-Deprescribing Module (QC-DeMo) in Swiss nursing homes: a randomised controlled trial","type":"article-journal","volume":"21"},"uris":["http://www.mendeley.com/documents/?uuid=4677c62f-3eeb-3afa-a583-70eb84500a02"]}],"mendeley":{"formattedCitation":"(189)","plainTextFormattedCitation":"(189)","previouslyFormattedCitation":"(189)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(189)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2044C45" w14:textId="77777777" w:rsidR="00F422E5" w:rsidRPr="00EC3E91" w:rsidRDefault="00F422E5" w:rsidP="00C02742">
            <w:pPr>
              <w:rPr>
                <w:sz w:val="20"/>
                <w:szCs w:val="20"/>
                <w:lang w:val="en-US"/>
              </w:rPr>
            </w:pPr>
            <w:r w:rsidRPr="00EC3E91">
              <w:rPr>
                <w:sz w:val="20"/>
                <w:szCs w:val="20"/>
                <w:lang w:val="en-US"/>
              </w:rPr>
              <w:t>Switzerland</w:t>
            </w:r>
          </w:p>
        </w:tc>
        <w:tc>
          <w:tcPr>
            <w:tcW w:w="993" w:type="dxa"/>
            <w:tcBorders>
              <w:top w:val="single" w:sz="4" w:space="0" w:color="auto"/>
              <w:left w:val="nil"/>
              <w:bottom w:val="single" w:sz="4" w:space="0" w:color="auto"/>
              <w:right w:val="nil"/>
            </w:tcBorders>
            <w:hideMark/>
          </w:tcPr>
          <w:p w14:paraId="29EEDCDE"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4B9BF668"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3948D1B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9A33752"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58E21B3"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8AFB2DB" w14:textId="699C980D" w:rsidR="00F422E5" w:rsidRPr="00EC3E91" w:rsidRDefault="007F39A6" w:rsidP="00C02742">
            <w:pPr>
              <w:rPr>
                <w:sz w:val="20"/>
                <w:szCs w:val="20"/>
                <w:lang w:val="en-US"/>
              </w:rPr>
            </w:pPr>
            <w:r w:rsidRPr="00EC3E91">
              <w:rPr>
                <w:sz w:val="20"/>
                <w:szCs w:val="20"/>
                <w:lang w:val="en-US"/>
              </w:rPr>
              <w:t>Beer’s</w:t>
            </w:r>
            <w:r w:rsidR="00F422E5" w:rsidRPr="00EC3E91">
              <w:rPr>
                <w:sz w:val="20"/>
                <w:szCs w:val="20"/>
                <w:lang w:val="en-US"/>
              </w:rPr>
              <w:t xml:space="preserve"> criteria and the Norwegian General Practice – Nursing Home criteria (NORGEP-NH)</w:t>
            </w:r>
          </w:p>
        </w:tc>
        <w:tc>
          <w:tcPr>
            <w:tcW w:w="2551" w:type="dxa"/>
            <w:tcBorders>
              <w:top w:val="single" w:sz="4" w:space="0" w:color="auto"/>
              <w:left w:val="nil"/>
              <w:bottom w:val="single" w:sz="4" w:space="0" w:color="auto"/>
              <w:right w:val="nil"/>
            </w:tcBorders>
            <w:hideMark/>
          </w:tcPr>
          <w:p w14:paraId="076D6BCE" w14:textId="487F9674" w:rsidR="00F422E5" w:rsidRPr="00EC3E91" w:rsidRDefault="00F422E5" w:rsidP="00C02742">
            <w:pPr>
              <w:rPr>
                <w:sz w:val="20"/>
                <w:szCs w:val="20"/>
                <w:lang w:val="en-US"/>
              </w:rPr>
            </w:pPr>
            <w:r w:rsidRPr="00EC3E91">
              <w:rPr>
                <w:sz w:val="20"/>
                <w:szCs w:val="20"/>
                <w:lang w:val="en-US"/>
              </w:rPr>
              <w:t xml:space="preserve">develop and organize quality monitoring systems, audit and </w:t>
            </w:r>
            <w:r w:rsidR="005D39DD">
              <w:rPr>
                <w:sz w:val="20"/>
                <w:szCs w:val="20"/>
                <w:lang w:val="en-US"/>
              </w:rPr>
              <w:t xml:space="preserve">provide </w:t>
            </w:r>
            <w:r w:rsidRPr="00EC3E91">
              <w:rPr>
                <w:sz w:val="20"/>
                <w:szCs w:val="20"/>
                <w:lang w:val="en-US"/>
              </w:rPr>
              <w:t>feedback, assess and redesign workflow. Conduct cyclical small tests of change, use advisory board and workgroups</w:t>
            </w:r>
          </w:p>
        </w:tc>
      </w:tr>
      <w:tr w:rsidR="00F422E5" w:rsidRPr="00E119DD" w14:paraId="2466A8D7" w14:textId="77777777" w:rsidTr="00F422E5">
        <w:trPr>
          <w:trHeight w:val="2235"/>
        </w:trPr>
        <w:tc>
          <w:tcPr>
            <w:tcW w:w="993" w:type="dxa"/>
            <w:tcBorders>
              <w:top w:val="single" w:sz="4" w:space="0" w:color="auto"/>
              <w:left w:val="nil"/>
              <w:bottom w:val="single" w:sz="4" w:space="0" w:color="auto"/>
              <w:right w:val="nil"/>
            </w:tcBorders>
          </w:tcPr>
          <w:p w14:paraId="64165502" w14:textId="7C0B7CDE" w:rsidR="00F422E5" w:rsidRPr="00EC3E91" w:rsidRDefault="00F92943"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{"citationItems":[{"id":"ITEM-1","itemData":{"DOI":"10.1016/J.MEDMAL.2017.07.008","ISSN":"0399-077X","PMID":"28869102","abstract":"Objective A quality improvement program for adult urinary tract infection management was established to avoid unnecessary antibiotic treatment and to promote adequate prescription, associated with financial and time savings. Methods Management was integrated into a three-step approach: clinical diagnosis, bacteriological diagnosis, and therapeutic decision. For each step, areas for improvement were prioritized and implemented through corrective measures and key messages, measured by indicators. This program was applied to the whole hospital, which includes an emergency department and hospital units (672 beds). Results The diffusion of new recommendations on clinical diagnosis helped limit the use of Urine Dipstick Tests (UDT) and identify situations requiring the prescription of urine cytobacteriological test (UCBE) and antibiotic treatment: decreased annual consumption of UDTs (34%) and UCBEs (25%). The implementation of a new sampling system for UCBEs was associated with a 21% increase in conclusive analysis. Results of antimicrobial susceptibility testing were also optimized. Trainings on the proper use of antibiotics led to a 5.0% decline in global consumption. Only 23 antibiotic prescriptions for UTI resulted in pharmaceutical advice to prescribers in 2014. Conclusion The program is part of a practice improvement strategy. Integrating the management of urinary tract infections into a global process helped improve each step of patient management.","author":[{"dropping-particle":"","family":"Charra","given":"F.","non-dropping-particle":"","parse-names":false,"suffix":""},{"dropping-particle":"","family":"Bourne","given":"C.","non-dropping-particle":"","parse-names":false,"suffix":""},{"dropping-particle":"","family":"Forissier","given":"C.","non-dropping-particle":"","parse-names":false,"suffix":""},{"dropping-particle":"","family":"Quaglia","given":"A.","non-dropping-particle":"","parse-names":false,"suffix":""},{"dropping-particle":"","family":"Durand","given":"P. G.","non-dropping-particle":"","parse-names":false,"suffix":""},{"dropping-particle":"","family":"Bergheau","given":"F.","non-dropping-particle":"","parse-names":false,"suffix":""}],"container-title":"Médecine et Maladies Infectieuses","id":"ITEM-1","issue":"8","issued":{"date-parts":[["2017","12","1"]]},"page":"519-525","publisher":"Elsevier Masson","title":"Quality improvement program of adult urinary tract infection management: Review and impact","type":"article-journal","volume":"47"},"uris":["http://www.mendeley.com/documents/?uuid=e38ae4d1-39c1-3fa3-a1a3-cd8291a1f96f"]}],"mendeley":{"formattedCitation":"(190)","plainTextFormattedCitation":"(190)","previouslyFormattedCitation":"(190)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7C81700" w14:textId="77777777" w:rsidR="00F422E5" w:rsidRPr="00EC3E91" w:rsidRDefault="00F422E5" w:rsidP="00C02742">
            <w:pPr>
              <w:rPr>
                <w:sz w:val="20"/>
                <w:szCs w:val="20"/>
                <w:lang w:val="en-US"/>
              </w:rPr>
            </w:pPr>
            <w:r w:rsidRPr="00EC3E91">
              <w:rPr>
                <w:sz w:val="20"/>
                <w:szCs w:val="20"/>
                <w:lang w:val="en-US"/>
              </w:rPr>
              <w:t>France</w:t>
            </w:r>
          </w:p>
        </w:tc>
        <w:tc>
          <w:tcPr>
            <w:tcW w:w="993" w:type="dxa"/>
            <w:tcBorders>
              <w:top w:val="single" w:sz="4" w:space="0" w:color="auto"/>
              <w:left w:val="nil"/>
              <w:bottom w:val="single" w:sz="4" w:space="0" w:color="auto"/>
              <w:right w:val="nil"/>
            </w:tcBorders>
            <w:hideMark/>
          </w:tcPr>
          <w:p w14:paraId="62273CB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650C033"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2EA3334" w14:textId="7597B0AB" w:rsidR="00F422E5" w:rsidRPr="00EC3E91" w:rsidRDefault="00F422E5" w:rsidP="00C02742">
            <w:pPr>
              <w:rPr>
                <w:sz w:val="20"/>
                <w:szCs w:val="20"/>
                <w:lang w:val="en-US"/>
              </w:rPr>
            </w:pPr>
            <w:r w:rsidRPr="00EC3E91">
              <w:rPr>
                <w:sz w:val="20"/>
                <w:szCs w:val="20"/>
                <w:lang w:val="en-US"/>
              </w:rPr>
              <w:t>Process evaluation, Cost-</w:t>
            </w:r>
            <w:r w:rsidR="007F39A6" w:rsidRPr="00EC3E91">
              <w:rPr>
                <w:sz w:val="20"/>
                <w:szCs w:val="20"/>
                <w:lang w:val="en-US"/>
              </w:rPr>
              <w:t>effectiveness</w:t>
            </w:r>
            <w:r w:rsidRPr="00EC3E91">
              <w:rPr>
                <w:sz w:val="20"/>
                <w:szCs w:val="20"/>
                <w:lang w:val="en-US"/>
              </w:rPr>
              <w:t xml:space="preserve">  </w:t>
            </w:r>
          </w:p>
        </w:tc>
        <w:tc>
          <w:tcPr>
            <w:tcW w:w="1134" w:type="dxa"/>
            <w:tcBorders>
              <w:top w:val="single" w:sz="4" w:space="0" w:color="auto"/>
              <w:left w:val="nil"/>
              <w:bottom w:val="single" w:sz="4" w:space="0" w:color="auto"/>
              <w:right w:val="nil"/>
            </w:tcBorders>
            <w:hideMark/>
          </w:tcPr>
          <w:p w14:paraId="5DBB2117"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6EF148F8"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39893539" w14:textId="77777777" w:rsidR="00F422E5" w:rsidRPr="00EC3E91" w:rsidRDefault="00F422E5" w:rsidP="00C02742">
            <w:pPr>
              <w:rPr>
                <w:sz w:val="20"/>
                <w:szCs w:val="20"/>
                <w:lang w:val="en-US"/>
              </w:rPr>
            </w:pPr>
            <w:r w:rsidRPr="00EC3E91">
              <w:rPr>
                <w:sz w:val="20"/>
                <w:szCs w:val="20"/>
                <w:lang w:val="en-US"/>
              </w:rPr>
              <w:t>Société française d’hygiène hospitalière. Surveiller et prévenir les infections associées aux soins (2010). [Guidelines from French Society for Hospital Hygiene]</w:t>
            </w:r>
          </w:p>
        </w:tc>
        <w:tc>
          <w:tcPr>
            <w:tcW w:w="2551" w:type="dxa"/>
            <w:tcBorders>
              <w:top w:val="single" w:sz="4" w:space="0" w:color="auto"/>
              <w:left w:val="nil"/>
              <w:bottom w:val="single" w:sz="4" w:space="0" w:color="auto"/>
              <w:right w:val="nil"/>
            </w:tcBorders>
            <w:hideMark/>
          </w:tcPr>
          <w:p w14:paraId="5FCBB188" w14:textId="77777777" w:rsidR="00F422E5" w:rsidRPr="00EC3E91" w:rsidRDefault="00F422E5" w:rsidP="00C02742">
            <w:pPr>
              <w:rPr>
                <w:sz w:val="20"/>
                <w:szCs w:val="20"/>
                <w:lang w:val="en-US"/>
              </w:rPr>
            </w:pPr>
            <w:r w:rsidRPr="00EC3E91">
              <w:rPr>
                <w:sz w:val="20"/>
                <w:szCs w:val="20"/>
                <w:lang w:val="en-US"/>
              </w:rPr>
              <w:t xml:space="preserve">distribute educational materials, change physical structure and equipment, develop educational materials </w:t>
            </w:r>
          </w:p>
        </w:tc>
      </w:tr>
      <w:tr w:rsidR="00F422E5" w:rsidRPr="00E119DD" w14:paraId="2F5BEDD2" w14:textId="77777777" w:rsidTr="00F422E5">
        <w:trPr>
          <w:trHeight w:val="2235"/>
        </w:trPr>
        <w:tc>
          <w:tcPr>
            <w:tcW w:w="993" w:type="dxa"/>
            <w:tcBorders>
              <w:top w:val="single" w:sz="4" w:space="0" w:color="auto"/>
              <w:left w:val="nil"/>
              <w:bottom w:val="single" w:sz="4" w:space="0" w:color="auto"/>
              <w:right w:val="nil"/>
            </w:tcBorders>
          </w:tcPr>
          <w:p w14:paraId="1168124E" w14:textId="0C1EC486" w:rsidR="00F422E5" w:rsidRPr="00EC3E91" w:rsidRDefault="005A296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{"citationItems":[{"id":"ITEM-1","itemData":{"DOI":"10.1155/2018/7148515","ISSN":"23146141","PMID":"30069476","abstract":"Antipsychotic and other tranquilising medicines are prescribed to help care staff manages behaviour in one-quarter of older people living in Australian long-term care homes. While these medicines pose significant health risks, particularly for people with dementia, reliance on their use occurs when staff are not educated to respond to resident behaviour using nonpharmacological approaches. The Halting Antipsychotic use in Long-Term care (HALT) single-arm study was undertaken to address this issue with 139 people 60 years and over with behaviours of concern for staff living in 24 care homes. A train-the-trainer approach delivered person-centred care education and support for 22 HALT (nurse) champions and 135 direct care staff, dementia management education for visiting general practitioners (GP) and pharmacists, use of an individualised deprescribing protocol for residents, and awareness-raising for the resident's family. The HALT champions completed open-ended questionnaires and semistructured interviews to identify the contextual elements they considered most critical to facilitating, educating care staff, and achieving success with the study intervention. They reported that person-centred approaches helped care staff to respond proactively to resident behaviours in the absence of antipsychotic medicines; the champions considered that this required strong managerial support, champion empowerment to lead change, reeducation of care staff, and the cooperation of families and GPs.","author":[{"dropping-particle":"","family":"Chenoweth","given":"Lynn","non-dropping-particle":"","parse-names":false,"suffix":""},{"dropping-particle":"","family":"Jessop","given":"Tiffany","non-dropping-particle":"","parse-names":false,"suffix":""},{"dropping-particle":"","family":"Harrison","given":"Fleur","non-dropping-particle":"","parse-names":false,"suffix":""},{"dropping-particle":"","family":"Cations","given":"Monica","non-dropping-particle":"","parse-names":false,"suffix":""},{"dropping-particle":"","family":"Cook","given":"Janet","non-dropping-particle":"","parse-names":false,"suffix":""},{"dropping-particle":"","family":"Brodaty","given":"Henry","non-dropping-particle":"","parse-names":false,"suffix":""}],"container-title":"BioMed Research International","id":"ITEM-1","issued":{"date-parts":[["2018"]]},"publisher":"Hindawi Limited","title":"Critical Contextual Elements in Facilitating and Achieving Success with a Person-Centred Care Intervention to Support Antipsychotic Deprescribing for Older People in Long-Term Care","type":"article-journal","volume":"2018"},"uris":["http://www.mendeley.com/documents/?uuid=a339106d-f1ba-3abb-a4c1-bd36afb834c0"]}],"mendeley":{"formattedCitation":"(191)","plainTextFormattedCitation":"(191)","previouslyFormattedCitation":"(191)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092F7C7"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0138650A"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6B88D8A4" w14:textId="77777777" w:rsidR="00F422E5" w:rsidRPr="00EC3E91" w:rsidRDefault="00F422E5" w:rsidP="00C02742">
            <w:pPr>
              <w:rPr>
                <w:sz w:val="20"/>
                <w:szCs w:val="20"/>
                <w:lang w:val="en-US"/>
              </w:rPr>
            </w:pPr>
            <w:r w:rsidRPr="00EC3E91">
              <w:rPr>
                <w:sz w:val="20"/>
                <w:szCs w:val="20"/>
                <w:lang w:val="en-US"/>
              </w:rPr>
              <w:t xml:space="preserve">Qual Pre-post </w:t>
            </w:r>
          </w:p>
        </w:tc>
        <w:tc>
          <w:tcPr>
            <w:tcW w:w="851" w:type="dxa"/>
            <w:tcBorders>
              <w:top w:val="single" w:sz="4" w:space="0" w:color="auto"/>
              <w:left w:val="nil"/>
              <w:bottom w:val="single" w:sz="4" w:space="0" w:color="auto"/>
              <w:right w:val="nil"/>
            </w:tcBorders>
            <w:hideMark/>
          </w:tcPr>
          <w:p w14:paraId="7BEC0BA1"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29871534" w14:textId="536C432C" w:rsidR="00F422E5" w:rsidRPr="00EC3E91" w:rsidRDefault="007F39A6"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3E452D27" w14:textId="77777777" w:rsidR="00F422E5" w:rsidRPr="00EC3E91" w:rsidRDefault="00F422E5" w:rsidP="00C02742">
            <w:pPr>
              <w:rPr>
                <w:sz w:val="20"/>
                <w:szCs w:val="20"/>
                <w:lang w:val="en-US"/>
              </w:rPr>
            </w:pPr>
            <w:r w:rsidRPr="00EC3E91">
              <w:rPr>
                <w:sz w:val="20"/>
                <w:szCs w:val="20"/>
                <w:lang w:val="en-US"/>
              </w:rPr>
              <w:t>Inappropriate use of psychotropic medication</w:t>
            </w:r>
          </w:p>
        </w:tc>
        <w:tc>
          <w:tcPr>
            <w:tcW w:w="3970" w:type="dxa"/>
            <w:tcBorders>
              <w:top w:val="single" w:sz="4" w:space="0" w:color="auto"/>
              <w:left w:val="nil"/>
              <w:bottom w:val="single" w:sz="4" w:space="0" w:color="auto"/>
              <w:right w:val="nil"/>
            </w:tcBorders>
            <w:hideMark/>
          </w:tcPr>
          <w:p w14:paraId="7EE21305" w14:textId="77777777" w:rsidR="00F422E5" w:rsidRPr="00EC3E91" w:rsidRDefault="00F422E5" w:rsidP="00C02742">
            <w:pPr>
              <w:rPr>
                <w:sz w:val="20"/>
                <w:szCs w:val="20"/>
                <w:lang w:val="en-US"/>
              </w:rPr>
            </w:pPr>
            <w:r w:rsidRPr="00EC3E91">
              <w:rPr>
                <w:sz w:val="20"/>
                <w:szCs w:val="20"/>
                <w:lang w:val="en-US"/>
              </w:rPr>
              <w:t>The Use of Antipsychotics in Residential Aged Care. Clinical Recommendations.</w:t>
            </w:r>
          </w:p>
        </w:tc>
        <w:tc>
          <w:tcPr>
            <w:tcW w:w="2551" w:type="dxa"/>
            <w:tcBorders>
              <w:top w:val="single" w:sz="4" w:space="0" w:color="auto"/>
              <w:left w:val="nil"/>
              <w:bottom w:val="single" w:sz="4" w:space="0" w:color="auto"/>
              <w:right w:val="nil"/>
            </w:tcBorders>
            <w:hideMark/>
          </w:tcPr>
          <w:p w14:paraId="4200AF90" w14:textId="77777777" w:rsidR="00F422E5" w:rsidRPr="00EC3E91" w:rsidRDefault="00F422E5" w:rsidP="00C02742">
            <w:pPr>
              <w:rPr>
                <w:sz w:val="20"/>
                <w:szCs w:val="20"/>
                <w:lang w:val="en-US"/>
              </w:rPr>
            </w:pPr>
            <w:r w:rsidRPr="00EC3E91">
              <w:rPr>
                <w:sz w:val="20"/>
                <w:szCs w:val="20"/>
                <w:lang w:val="en-US"/>
              </w:rPr>
              <w:t xml:space="preserve">use train-the-trainer strategies </w:t>
            </w:r>
          </w:p>
        </w:tc>
      </w:tr>
      <w:tr w:rsidR="00F422E5" w:rsidRPr="00E119DD" w14:paraId="723911C0" w14:textId="77777777" w:rsidTr="00F422E5">
        <w:trPr>
          <w:trHeight w:val="2235"/>
        </w:trPr>
        <w:tc>
          <w:tcPr>
            <w:tcW w:w="993" w:type="dxa"/>
            <w:tcBorders>
              <w:top w:val="single" w:sz="4" w:space="0" w:color="auto"/>
              <w:left w:val="nil"/>
              <w:bottom w:val="single" w:sz="4" w:space="0" w:color="auto"/>
              <w:right w:val="nil"/>
            </w:tcBorders>
          </w:tcPr>
          <w:p w14:paraId="74BF6834" w14:textId="3813CD29" w:rsidR="00F422E5" w:rsidRPr="00EC3E91" w:rsidRDefault="009E13CB"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{"citationItems":[{"id":"ITEM-1","itemData":{"DOI":"10.1016/J.SURG.2019.05.021","ISSN":"0039-6060","PMID":"31253416","abstract":"Background: Surgeons have the opportunity to help offset the opioid epidemic by leading with practice changes. We sought to decrease the amount of opioid prescribed postoperatively through a multifaceted program. Methods: A multipronged program was introduced in our hospital system, which included resident education on prescribing for postoperative analgesia, a change in the default number of opioid pills in an electronic medication order entry system, and the distribution of a guideline card of recommended postoperative opioid prescription amounts. The amount of opioid prescribed postoperatively between January 2016 and August 2018 was collected for the 10 most common short-stay (&lt;48 hours) general surgery procedures. The 6 months prior to any intervention (pre-intervention) was compared to the last 6 months of data collection (post-intervention). Results: In the study, 14,007 operations were captured, including 2,530 pre-intervention and 2,715 post-intervention. The average amount of postoperative opioid prescribed in the pre-intervention period was 207.1 morphine milligram equivalents; post-interventions, the average amount declined to 104.6 morphine milligram equivalents (P &lt;.01). The opioid refill rate remained the same (3.3% pre-intervention vs 3.1% post-intervention, P =.76). Conclusion: A comprehensive program to eliminate the over-prescription of opioids decreased the amount of opioid prescribed by half, without a concurrent increase in opioid refills, demonstrating that simple measures can be used to deliver sustained and reproducible improvements in offering source control in the opioid epidemic.","author":[{"dropping-particle":"","family":"Chiu","given":"Alexander S.","non-dropping-particle":"","parse-names":false,"suffix":""},{"dropping-particle":"","family":"Freedman-Weiss","given":"Mollie R.","non-dropping-particle":"","parse-names":false,"suffix":""},{"dropping-particle":"","family":"Jean","given":"Raymond A.","non-dropping-particle":"","parse-names":false,"suffix":""},{"dropping-particle":"","family":"Cohen","given":"Elizabeth","non-dropping-particle":"","parse-names":false,"suffix":""},{"dropping-particle":"","family":"Yoo","given":"Peter S.","non-dropping-particle":"","parse-names":false,"suffix":""}],"container-title":"Surgery","id":"ITEM-1","issue":"5","issued":{"date-parts":[["2019","11","1"]]},"page":"758-763","publisher":"Mosby","title":"No refills: The durable impact of a multifaceted effort by surgical trainees to minimize the prescription of postoperative opioids","type":"article-journal","volume":"166"},"uris":["http://www.mendeley.com/documents/?uuid=6ee2c1d5-6a25-3499-a38b-a9507471343c"]}],"mendeley":{"formattedCitation":"(192)","plainTextFormattedCitation":"(192)","previouslyFormattedCitation":"(192)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E0D87B4"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81BE520"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131C349"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D1D8602"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0AAE74D"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57783BA1" w14:textId="0B32E87B" w:rsidR="00F422E5" w:rsidRPr="00EC3E91" w:rsidRDefault="00F422E5" w:rsidP="00C02742">
            <w:pPr>
              <w:rPr>
                <w:sz w:val="20"/>
                <w:szCs w:val="20"/>
                <w:lang w:val="en-US"/>
              </w:rPr>
            </w:pPr>
            <w:r w:rsidRPr="00EC3E91">
              <w:rPr>
                <w:sz w:val="20"/>
                <w:szCs w:val="20"/>
                <w:lang w:val="en-US"/>
              </w:rPr>
              <w:t xml:space="preserve">Inappropriate </w:t>
            </w:r>
            <w:r w:rsidR="00392607" w:rsidRPr="00EC3E91">
              <w:rPr>
                <w:sz w:val="20"/>
                <w:szCs w:val="20"/>
                <w:lang w:val="en-US"/>
              </w:rPr>
              <w:t>opioid</w:t>
            </w:r>
            <w:r w:rsidRPr="00EC3E91">
              <w:rPr>
                <w:sz w:val="20"/>
                <w:szCs w:val="20"/>
                <w:lang w:val="en-US"/>
              </w:rPr>
              <w:t xml:space="preserve"> prescription</w:t>
            </w:r>
          </w:p>
        </w:tc>
        <w:tc>
          <w:tcPr>
            <w:tcW w:w="3970" w:type="dxa"/>
            <w:tcBorders>
              <w:top w:val="single" w:sz="4" w:space="0" w:color="auto"/>
              <w:left w:val="nil"/>
              <w:bottom w:val="single" w:sz="4" w:space="0" w:color="auto"/>
              <w:right w:val="nil"/>
            </w:tcBorders>
            <w:hideMark/>
          </w:tcPr>
          <w:p w14:paraId="3A947458" w14:textId="77777777" w:rsidR="00F422E5" w:rsidRPr="00EC3E91" w:rsidRDefault="00F422E5" w:rsidP="00C02742">
            <w:pPr>
              <w:rPr>
                <w:sz w:val="20"/>
                <w:szCs w:val="20"/>
                <w:lang w:val="en-US"/>
              </w:rPr>
            </w:pPr>
            <w:r w:rsidRPr="00EC3E91">
              <w:rPr>
                <w:sz w:val="20"/>
                <w:szCs w:val="20"/>
                <w:lang w:val="en-US"/>
              </w:rPr>
              <w:t>Surgeon General’s Advisory on Naloxone and Opioid Overdose, US Department of Health &amp; Human Services</w:t>
            </w:r>
            <w:r w:rsidRPr="00EC3E91">
              <w:rPr>
                <w:sz w:val="20"/>
                <w:szCs w:val="20"/>
                <w:lang w:val="en-US"/>
              </w:rPr>
              <w:br/>
            </w:r>
            <w:r w:rsidRPr="00EC3E91">
              <w:rPr>
                <w:sz w:val="20"/>
                <w:szCs w:val="20"/>
                <w:lang w:val="en-US"/>
              </w:rPr>
              <w:br/>
              <w:t>CDC Guideline for Prescribing Opioids for Chronic Pain</w:t>
            </w:r>
          </w:p>
        </w:tc>
        <w:tc>
          <w:tcPr>
            <w:tcW w:w="2551" w:type="dxa"/>
            <w:tcBorders>
              <w:top w:val="single" w:sz="4" w:space="0" w:color="auto"/>
              <w:left w:val="nil"/>
              <w:bottom w:val="single" w:sz="4" w:space="0" w:color="auto"/>
              <w:right w:val="nil"/>
            </w:tcBorders>
            <w:hideMark/>
          </w:tcPr>
          <w:p w14:paraId="6C401A2D" w14:textId="77777777" w:rsidR="00F422E5" w:rsidRPr="00EC3E91" w:rsidRDefault="00F422E5" w:rsidP="00C02742">
            <w:pPr>
              <w:rPr>
                <w:sz w:val="20"/>
                <w:szCs w:val="20"/>
                <w:lang w:val="en-US"/>
              </w:rPr>
            </w:pPr>
            <w:r w:rsidRPr="00EC3E91">
              <w:rPr>
                <w:sz w:val="20"/>
                <w:szCs w:val="20"/>
                <w:lang w:val="en-US"/>
              </w:rPr>
              <w:t xml:space="preserve">change physical structure and equipment, conduct educational meeting, distribute educational materials </w:t>
            </w:r>
          </w:p>
        </w:tc>
      </w:tr>
      <w:tr w:rsidR="00F422E5" w:rsidRPr="00E119DD" w14:paraId="46D31A54" w14:textId="77777777" w:rsidTr="00F422E5">
        <w:trPr>
          <w:trHeight w:val="2235"/>
        </w:trPr>
        <w:tc>
          <w:tcPr>
            <w:tcW w:w="993" w:type="dxa"/>
            <w:tcBorders>
              <w:top w:val="single" w:sz="4" w:space="0" w:color="auto"/>
              <w:left w:val="nil"/>
              <w:bottom w:val="single" w:sz="4" w:space="0" w:color="auto"/>
              <w:right w:val="nil"/>
            </w:tcBorders>
          </w:tcPr>
          <w:p w14:paraId="126AF80D" w14:textId="629FE2D8" w:rsidR="00F422E5" w:rsidRPr="00EC3E91" w:rsidRDefault="001D2A8D"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{"citationItems":[{"id":"ITEM-1","itemData":{"DOI":"10.1007/s40801-020-00214-7","ISSN":"21989788","abstract":"Background: Elderly patients are at greater risk of receiving potentially inappropriate medications (PIMs) and developing adverse drug events. Identification and correction of PIMs is essential to maximize medication safety. Objective: To determine the prevalence of PIMs on admission in Thai elderly patients admitted to a medical ward and to compare changes of PIMs on discharge, following comprehensive care by a ward pharmacist with or without a geriatric pharmacy specialist. Patients and method: A prospective, quasi-experimental study was performed at a tertiary university hospital in Bangkok, Thailand. Patients aged ≥ 60 years who were admitted to the medical ward were recruited and allocated to one of two groups: intervention (IG) and control (CG). The CG received pharmaceutical care from the ward pharmacist. The IG received pharmaceutical care from the geriatric pharmacy specialist along with the ward pharmacist. The 2012 Beers criteria were used to identify PIMs on admission, during hospitalization, and on discharge. Results: Prevalence of PIMs on admission was 43.3% (N = 187). On discharge, prevalence of PIMs in the IG decreased significantly compared to that on admission (21.3% and 43.3%, p &lt; 0.05) and was significantly lower than in the CG (21.3% and 40.9%, p = 0.036). Moreover, the percentage of patients without PIMs on discharge in the IG was significantly higher than in the CG (78.7% and 59.1%, p &lt; 0.0001). Conclusion: Use of PIMs was common among hospitalized elderly patients on admission. Pharmaceutical care provided by a geriatric pharmacy specialist in conjunction with a ward pharmacist significantly reduced the prevalence of PIMs on discharge compared with on admission.","author":[{"dropping-particle":"","family":"Chivapricha","given":"Wajanakorn","non-dropping-particle":"","parse-names":false,"suffix":""},{"dropping-particle":"","family":"Srinonprasert","given":"Varalak","non-dropping-particle":"","parse-names":false,"suffix":""},{"dropping-particle":"","family":"Suansanae","given":"Thanarat","non-dropping-particle":"","parse-names":false,"suffix":""}],"container-title":"Drugs - Real World Outcomes","id":"ITEM-1","issue":"1","issued":{"date-parts":[["2021","3","1"]]},"page":"39-47","publisher":"Adis","title":"Impact of Geriatric Pharmacy Specialist Interventions to Reduce Potentially Inappropriate Medication Among Hospitalized Elderly Patients at Medical Wards: A Prospective Quasi-Experimental Study","type":"article-journal","volume":"8"},"uris":["http://www.mendeley.com/documents/?uuid=d921d37a-3a09-3947-9d22-0ce5a88ce5db"]}],"mendeley":{"formattedCitation":"(193)","plainTextFormattedCitation":"(193)","previouslyFormattedCitation":"(193)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CBAC398" w14:textId="77777777" w:rsidR="00F422E5" w:rsidRPr="00EC3E91" w:rsidRDefault="00F422E5" w:rsidP="00C02742">
            <w:pPr>
              <w:rPr>
                <w:sz w:val="20"/>
                <w:szCs w:val="20"/>
                <w:lang w:val="en-US"/>
              </w:rPr>
            </w:pPr>
            <w:r w:rsidRPr="00EC3E91">
              <w:rPr>
                <w:sz w:val="20"/>
                <w:szCs w:val="20"/>
                <w:lang w:val="en-US"/>
              </w:rPr>
              <w:t>Thailand</w:t>
            </w:r>
          </w:p>
        </w:tc>
        <w:tc>
          <w:tcPr>
            <w:tcW w:w="993" w:type="dxa"/>
            <w:tcBorders>
              <w:top w:val="single" w:sz="4" w:space="0" w:color="auto"/>
              <w:left w:val="nil"/>
              <w:bottom w:val="single" w:sz="4" w:space="0" w:color="auto"/>
              <w:right w:val="nil"/>
            </w:tcBorders>
            <w:hideMark/>
          </w:tcPr>
          <w:p w14:paraId="13EE72E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3DBA520C"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FEA5932"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C6CADE7"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0584F7D"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56EE1659" w14:textId="6B52892F" w:rsidR="00F422E5" w:rsidRPr="00EC3E91" w:rsidRDefault="00392607"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06DC270F"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F422E5" w:rsidRPr="00E119DD" w14:paraId="24B9D7C0" w14:textId="77777777" w:rsidTr="00F422E5">
        <w:trPr>
          <w:trHeight w:val="2235"/>
        </w:trPr>
        <w:tc>
          <w:tcPr>
            <w:tcW w:w="993" w:type="dxa"/>
            <w:tcBorders>
              <w:top w:val="single" w:sz="4" w:space="0" w:color="auto"/>
              <w:left w:val="nil"/>
              <w:bottom w:val="single" w:sz="4" w:space="0" w:color="auto"/>
              <w:right w:val="nil"/>
            </w:tcBorders>
          </w:tcPr>
          <w:p w14:paraId="2BA5E4FB" w14:textId="7ED9352D" w:rsidR="00F422E5" w:rsidRPr="00EC3E91" w:rsidRDefault="0022029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{"citationItems":[{"id":"ITEM-1","itemData":{"DOI":"10.1177/0897190018786618","ISSN":"15311937","PMID":"29973110","abstract":"Purpose: To describe the implementation and impact of integrating a clinical pharmacist into interdisciplinary Acute Care for Elderly (ACE) rounds at a teaching hospital. Methods: Pre- and postanalyses were performed 6 months before and 12 months after the intervention. We report the total number, type, and frequency of recommendations made by the clinical pharmacist, the acceptance rate by the physician, and interventions on potentially inappropriate medications (PIM). Results: Among the 588 patients who met the ACE inclusion criteria, mean age was 81.2 years, 54.9% were female, and 79.8% were of white race. A total of 1243 pharmacy recommendations were recorded. The median number of recommendations per patient increased from a median of 1 (range: 1-7) in the preintervention to 2 (1-13) in the postintervention period, resulting in an incidence rate ratio of 1.25 (95% confidence interval [CI]: 1.10-1.40). The main categories of recommendations were dose adjustment, avoidance of inappropriate therapy, and prevention of adverse drug events. In the postintervention period, there was an increase in recommendations among analgesics (from 3.7% to 7.5%), PIMs (from 12% to 14%), and, in particular, antidepressant/antipsychotics (from 1.9% to 6.0%). The acceptance rate of the recommendations remained roughly the same (86.5% vs 84.4%). Conclusion: Proactive involvement of a clinical pharmacist in ACE rounds resulted in a substantial increase in recommendation for medication changes, most notably for PIMs. These recommendations generally were accepted by physicians. The integration of a clinical pharmacist requires significant dedicated time but leads to increased recognition of drug-related problems in the acute-care setting, resulting in improved patient outcomes.","author":[{"dropping-particle":"","family":"Chowdhury","given":"Tasmiah P.","non-dropping-particle":"","parse-names":false,"suffix":""},{"dropping-particle":"","family":"Starr","given":"Rebecca","non-dropping-particle":"","parse-names":false,"suffix":""},{"dropping-particle":"","family":"Brennan","given":"Maura","non-dropping-particle":"","parse-names":false,"suffix":""},{"dropping-particle":"","family":"Knee","given":"Alexander","non-dropping-particle":"","parse-names":false,"suffix":""},{"dropping-particle":"","family":"Ehresman","given":"Mike","non-dropping-particle":"","parse-names":false,"suffix":""},{"dropping-particle":"","family":"Velayutham","given":"Lalitha","non-dropping-particle":"","parse-names":false,"suffix":""},{"dropping-particle":"","family":"Malanowski","given":"Alexander J.","non-dropping-particle":"","parse-names":false,"suffix":""},{"dropping-particle":"","family":"Courtney","given":"Heidi Ann","non-dropping-particle":"","parse-names":false,"suffix":""},{"dropping-particle":"","family":"Stefan","given":"Mihaela S.","non-dropping-particle":"","parse-names":false,"suffix":""}],"container-title":"Journal of Pharmacy Practice","id":"ITEM-1","issue":"1","issued":{"date-parts":[["2020","2","1"]]},"page":"55-62","publisher":"SAGE Publications Inc.","title":"A Quality Improvement Initiative to Improve Medication Management in an Acute Care for Elders Program Through Integration of a Clinical Pharmacist","type":"article-journal","volume":"33"},"uris":["http://www.mendeley.com/documents/?uuid=31782490-a532-3c2d-9612-ddb81df25277"]}],"mendeley":{"formattedCitation":"(194)","plainTextFormattedCitation":"(194)","previouslyFormattedCitation":"(194)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64E2A35"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4FB5EF7F"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1B1B67A"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9B229E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2FE7CF9"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80D588A"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230A782E" w14:textId="03ABFC31" w:rsidR="00F422E5" w:rsidRPr="00EC3E91" w:rsidRDefault="00392607"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63B15294"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F422E5" w:rsidRPr="00E119DD" w14:paraId="1E4AE6EB" w14:textId="77777777" w:rsidTr="00F422E5">
        <w:trPr>
          <w:trHeight w:val="2235"/>
        </w:trPr>
        <w:tc>
          <w:tcPr>
            <w:tcW w:w="993" w:type="dxa"/>
            <w:tcBorders>
              <w:top w:val="single" w:sz="4" w:space="0" w:color="auto"/>
              <w:left w:val="nil"/>
              <w:bottom w:val="single" w:sz="4" w:space="0" w:color="auto"/>
              <w:right w:val="nil"/>
            </w:tcBorders>
          </w:tcPr>
          <w:p w14:paraId="0896AE61" w14:textId="3E9FA62E" w:rsidR="00F422E5" w:rsidRPr="00EC3E91" w:rsidRDefault="00274C96"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{"citationItems":[{"id":"ITEM-1","itemData":{"DOI":"10.1016/J.JAPH.2019.09.011","ISSN":"1544-3191","PMID":"31690514","abstract":"Objective: To develop and pilot-test a model in which a community-based clinical pharmacist was incorporated as part of a Medicare Annual Wellness Visit (AWV) to make deprescribing recommendations targeted at potentially inappropriate medications (PIMs) in seniors. Setting: A family medicine patient-centered medical home (PCMH) clinic in Buffalo, NY. Practice description: Implementation and evaluation of a pilot program incorporating a pharmacist-provided medication review targeting PIMs in seniors as part of a Medicare AWV. Practice innovation: A community pharmacy–based clinical pharmacist provided face-to-face medication reviews for patients older than 65 years as part of their AWV with a focus on deprescribing PIMs. No clinical pharmacy service existed at the practice when this program was implemented. Evaluation: Identified PIMs, pharmacist recommendations, recommendation acceptance rate, time spent on intervention, health care utilization at 6 months postvisit, and barriers to implementation. Results: Of the 21 patients enrolled, 13 unique patients received a total of 20 deprescribing recommendations from the pharmacist. The overall acceptance rate for pharmacist recommendations was 20%. The pharmacist spent a mean (± SD) of 34 (± 6) minutes per patient encounter. One patient in the intervention group was hospitalized, and 1 was seen in the emergency department (ED) during the 6-month follow-up period compared with 1 patient in the control group who had an ED visit. We identified multiple logistical and organizational barriers to the implementation of the intervention. Conclusion: In this prospective pilot study, a workflow to include a pharmacist medication review to facilitate deprescribing in the primary care setting was tested. We encountered several barriers to integrating the pharmacist into the AWV workflow to deliver the intervention. Future pragmatic clinical trials are warranted to improve provider awareness and comfort with deprescribing PIMs in seniors.","author":[{"dropping-particle":"","family":"Clark","given":"Collin M.","non-dropping-particle":"","parse-names":false,"suffix":""},{"dropping-particle":"","family":"LaValley","given":"Susan A.","non-dropping-particle":"","parse-names":false,"suffix":""},{"dropping-particle":"","family":"Singh","given":"Ranjit","non-dropping-particle":"","parse-names":false,"suffix":""},{"dropping-particle":"","family":"Mustafa","given":"Esra","non-dropping-particle":"","parse-names":false,"suffix":""},{"dropping-particle":"V.","family":"Monte","given":"Scott","non-dropping-particle":"","parse-names":false,"suffix":""},{"dropping-particle":"","family":"Wahler","given":"Robert G.","non-dropping-particle":"","parse-names":false,"suffix":""}],"container-title":"Journal of the American Pharmacists Association","id":"ITEM-1","issue":"1","issued":{"date-parts":[["2020","1","1"]]},"page":"105-111","publisher":"Elsevier","title":"A pharmacist-led pilot program to facilitate deprescribing in a primary care clinic","type":"article-journal","volume":"60"},"uris":["http://www.mendeley.com/documents/?uuid=e98ff7ec-0b51-32eb-9480-1f3dfda94b67"]}],"mendeley":{"formattedCitation":"(195)","plainTextFormattedCitation":"(195)","previouslyFormattedCitation":"(195)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7AC799C"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4EC21C41"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7C2C781" w14:textId="77777777" w:rsidR="00F422E5" w:rsidRPr="00EC3E91" w:rsidRDefault="00F422E5" w:rsidP="00C02742">
            <w:pPr>
              <w:rPr>
                <w:sz w:val="20"/>
                <w:szCs w:val="20"/>
                <w:lang w:val="en-US"/>
              </w:rPr>
            </w:pPr>
            <w:r w:rsidRPr="00EC3E91">
              <w:rPr>
                <w:sz w:val="20"/>
                <w:szCs w:val="20"/>
                <w:lang w:val="en-US"/>
              </w:rPr>
              <w:t>Mixed Cross-sectional</w:t>
            </w:r>
          </w:p>
        </w:tc>
        <w:tc>
          <w:tcPr>
            <w:tcW w:w="851" w:type="dxa"/>
            <w:tcBorders>
              <w:top w:val="single" w:sz="4" w:space="0" w:color="auto"/>
              <w:left w:val="nil"/>
              <w:bottom w:val="single" w:sz="4" w:space="0" w:color="auto"/>
              <w:right w:val="nil"/>
            </w:tcBorders>
            <w:hideMark/>
          </w:tcPr>
          <w:p w14:paraId="566C43D4"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1272FD0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06297D0"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166FA54" w14:textId="77777777" w:rsidR="00F422E5" w:rsidRPr="00EC3E91" w:rsidRDefault="00F422E5" w:rsidP="00C02742">
            <w:pPr>
              <w:rPr>
                <w:sz w:val="20"/>
                <w:szCs w:val="20"/>
                <w:lang w:val="en-US"/>
              </w:rPr>
            </w:pPr>
            <w:r w:rsidRPr="00EC3E91">
              <w:rPr>
                <w:sz w:val="20"/>
                <w:szCs w:val="20"/>
                <w:lang w:val="en-US"/>
              </w:rPr>
              <w:t>Beers Criteria</w:t>
            </w:r>
          </w:p>
        </w:tc>
        <w:tc>
          <w:tcPr>
            <w:tcW w:w="2551" w:type="dxa"/>
            <w:tcBorders>
              <w:top w:val="single" w:sz="4" w:space="0" w:color="auto"/>
              <w:left w:val="nil"/>
              <w:bottom w:val="single" w:sz="4" w:space="0" w:color="auto"/>
              <w:right w:val="nil"/>
            </w:tcBorders>
            <w:hideMark/>
          </w:tcPr>
          <w:p w14:paraId="269E3458"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F422E5" w:rsidRPr="00E119DD" w14:paraId="46F49815" w14:textId="77777777" w:rsidTr="00F422E5">
        <w:trPr>
          <w:trHeight w:val="2235"/>
        </w:trPr>
        <w:tc>
          <w:tcPr>
            <w:tcW w:w="993" w:type="dxa"/>
            <w:tcBorders>
              <w:top w:val="single" w:sz="4" w:space="0" w:color="auto"/>
              <w:left w:val="nil"/>
              <w:bottom w:val="single" w:sz="4" w:space="0" w:color="auto"/>
              <w:right w:val="nil"/>
            </w:tcBorders>
          </w:tcPr>
          <w:p w14:paraId="3A897BC5" w14:textId="086AACC6" w:rsidR="00F422E5" w:rsidRPr="00EC3E91" w:rsidRDefault="00A20E9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{"citationItems":[{"id":"ITEM-1","itemData":{"ISSN":"2077-0383","abstract":"Potentially inappropriate medications are associated with polypharmacy and polypathology. Some interventions such as pharmacotherapy reviews have been designed to reduce the prescribing of inappropriate medications. The objective of this study is to evaluate how effective a decision-making support tool is for determining medication appropriateness in patients with one or more chronic diseases (hypertension, dyslipidaemia, and/or diabetes) and polypharmacy in the primary care setting. For this, a quasi-experimental study (randomised, controlled and multicentre) has been developed. The study compares an intervention group, which assesses medication appropriateness by applying a decision support tool, with a control group that follows the usual clinical practice. The intervention included a decision support tool in paper format, where participants were informed about polypharmacy, inappropriate medications, associated problems and available alternatives, as well as shared decision-making. This is an informative guide aimed at helping patients with decision-making by providing them with information about the secondary risks associated with inappropriate medications in their treatment, according to the Beers and START/STOPP criteria. The outcome measure was the proportion of medication appropriateness. The proportion of patients who confirmed medication appropriateness after six months of follow-up is greater in the intervention group (32.5%) than in the control group (27.9%) p = 0.008. The probability of medication appropriateness, which was calculated by the proportion of drugs withdrawn or replaced according to the STOPP/Beers criteria and those initiated according to the START criteria, was 2.8 times higher in the intervention group than in the control group (OR = 2.8; 95% CI 1.3–6.1) p = 0.008. In patients with good adherence to the treatment, the percentage of appropriateness was 62.1% in the shared decision-making group versus 37.9% in the control group (p = 0.005). The use of a decision-making support tool in patients with potentially inappropriate medications increases the percentage of medication appropriateness when compared to the usual clinical practice.","author":[{"dropping-particle":"","family":"Coronado-Vázquez","given":"V","non-dropping-particle":"","parse-names":false,"suffix":""},{"dropping-particle":"","family":"Gómez-Salgado","given":"J","non-dropping-particle":"","parse-names":false,"suffix":""},{"dropping-particle":"","family":"los Monteros","given":"J C E","non-dropping-particle":"de","parse-names":false,"suffix":""},{"dropping-particle":"","family":"Ayuso-Murillo","given":"D","non-dropping-particle":"","parse-names":false,"suffix":""},{"dropping-particle":"","family":"Ruiz-Frutos","given":"C","non-dropping-particle":"","parse-names":false,"suffix":""}],"container-title":"Journal of Clinical Medicine","id":"ITEM-1","issue":"6","issued":{"date-parts":[["2019"]]},"language":"English","publisher-place":"J. Gómez-Salgado, Department of Sociology, Social Work and Public Health, University of Huelva, Huelva, Spain","title":"Shared decision-making in chronic patients with polypharmacy: An interventional study for assessing medication appropriateness","type":"article-journal","volume":"8"},"uris":["http://www.mendeley.com/documents/?uuid=d382bf82-da14-33cb-8a4b-9eb78f89b9dd"]}],"mendeley":{"formattedCitation":"(196)","plainTextFormattedCitation":"(196)","previouslyFormattedCitation":"(196)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75E0976"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7D9DC5FC"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28C157C0"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1C50165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775431F"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789CD559"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33B1B669" w14:textId="56C26878"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r>
            <w:r w:rsidR="00392607" w:rsidRPr="00EC3E91">
              <w:rPr>
                <w:sz w:val="20"/>
                <w:szCs w:val="20"/>
                <w:lang w:val="en-US"/>
              </w:rPr>
              <w:t>Beer’s</w:t>
            </w:r>
            <w:r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43AFB662" w14:textId="4F253DAE" w:rsidR="00F422E5" w:rsidRPr="00EC3E91" w:rsidRDefault="00F422E5" w:rsidP="00C02742">
            <w:pPr>
              <w:rPr>
                <w:sz w:val="20"/>
                <w:szCs w:val="20"/>
                <w:lang w:val="en-US"/>
              </w:rPr>
            </w:pPr>
            <w:r w:rsidRPr="00EC3E91">
              <w:rPr>
                <w:sz w:val="20"/>
                <w:szCs w:val="20"/>
                <w:lang w:val="en-US"/>
              </w:rPr>
              <w:t>remind clinicians, [</w:t>
            </w:r>
            <w:r w:rsidR="00D26B72">
              <w:rPr>
                <w:sz w:val="20"/>
                <w:szCs w:val="20"/>
                <w:lang w:val="en-US"/>
              </w:rPr>
              <w:t>COMMUNICATION TOOL</w:t>
            </w:r>
            <w:r w:rsidRPr="00EC3E91">
              <w:rPr>
                <w:sz w:val="20"/>
                <w:szCs w:val="20"/>
                <w:lang w:val="en-US"/>
              </w:rPr>
              <w:t>]</w:t>
            </w:r>
          </w:p>
        </w:tc>
      </w:tr>
      <w:tr w:rsidR="00F422E5" w:rsidRPr="00E119DD" w14:paraId="083C63D2" w14:textId="77777777" w:rsidTr="00F422E5">
        <w:trPr>
          <w:trHeight w:val="2235"/>
        </w:trPr>
        <w:tc>
          <w:tcPr>
            <w:tcW w:w="993" w:type="dxa"/>
            <w:tcBorders>
              <w:top w:val="single" w:sz="4" w:space="0" w:color="auto"/>
              <w:left w:val="nil"/>
              <w:bottom w:val="single" w:sz="4" w:space="0" w:color="auto"/>
              <w:right w:val="nil"/>
            </w:tcBorders>
          </w:tcPr>
          <w:p w14:paraId="307B263C" w14:textId="3E4A574A" w:rsidR="00F422E5" w:rsidRPr="00EC3E91" w:rsidRDefault="00C33E6E"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{"citationItems":[{"id":"ITEM-1","itemData":{"DOI":"10.1016/J.JAMDA.2019.08.027","ISSN":"1525-8610","PMID":"31669289","abstract":"Objectives: Antipsychotic medications are often used for the first-line management of behavioral and psychological symptoms of dementia (BPSD) contrary to guideline recommendations. The Optimizing Practices, Use, Care and Services–Antipsychotics (OPUS-AP) strategy aims to improve the well-being of long-term care (LTC) residents with major neurocognitive disorder (MNCD) by implementing a resident-centered approach, nonpharmacologic interventions, and antipsychotic deprescribing in inappropriate indications. Design: Prospective, closed cohort supplemented by a developmental evaluation. Setting and Participants: Residents of designated wards in 24 LTC centers in Québec, Canada. Methods: Provincial guidelines were disseminated, followed by the implementation of an integrated knowledge translation and mobilization strategy, including training, coaching, clinical tools, evaluation of clinical practices, and a change management strategy. Antipsychotic, benzodiazepine, and antidepressant prescriptions; BPSD; and falls were evaluated every 3 months, for 9 months, from January to October 2018. Semistructured interviews (n = 20) were conducted with LTC teams to evaluate the implementation of OPUS-AP. Results: Of 1054 residents, 78.3% had an MNCD diagnosis and 51.7% an antipsychotic prescription. The cohort included 464 residents with both MNCD and antipsychotic prescription. Antipsychotic deprescribing (cessation or dose decrease) was attempted in 220 of the 344 residents still admitted at 9 months. Complete cessation was observed in 116 of these residents (52.7%) and dose reduction in 72 (32.7%), for a total of 188 residents (85.5%; 95% confidence interval: 80.1%, 89.8%). A decrease in benzodiazepine prescriptions and improvements in Cohen-Mansfield Agitation Inventory scores were observed among residents who had their antipsychotics deprescribed. Caregivers and clinicians expressed satisfaction as a result of observing an improved quality of life among residents. Conclusions and Implications: Antipsychotic deprescribing was successful in a vast majority of LTC residents with MNCD without worsening of BPSD. Based on this success, phase 2 of OPUS-AP is now under way in 129 LTC centers in Québec.","author":[{"dropping-particle":"","family":"Cossette","given":"Benoit","non-dropping-particle":"","parse-names":false,"suffix":""},{"dropping-particle":"","family":"Bruneau","given":"Marie Andrée","non-dropping-particle":"","parse-names":false,"suffix":""},{"dropping-particle":"","family":"Couturier","given":"Yves","non-dropping-particle":"","parse-names":false,"suffix":""},{"dropping-particle":"","family":"Gilbert","given":"Suzanne","non-dropping-particle":"","parse-names":false,"suffix":""},{"dropping-particle":"","family":"Boyer","given":"Diane","non-dropping-particle":"","parse-names":false,"suffix":""},{"dropping-particle":"","family":"Ricard","given":"Jacques","non-dropping-particle":"","parse-names":false,"suffix":""},{"dropping-particle":"","family":"McDonald","given":"Tanya","non-dropping-particle":"","parse-names":false,"suffix":""},{"dropping-particle":"","family":"Labarre","given":"Karine","non-dropping-particle":"","parse-names":false,"suffix":""},{"dropping-particle":"","family":"Déry","given":"Véronique","non-dropping-particle":"","parse-names":false,"suffix":""},{"dropping-particle":"","family":"Arcand","given":"Marcel","non-dropping-particle":"","parse-names":false,"suffix":""},{"dropping-particle":"","family":"Rodrigue","given":"Claudie","non-dropping-particle":"","parse-names":false,"suffix":""},{"dropping-particle":"","family":"Rhéaume","given":"Andrée Anne","non-dropping-particle":"","parse-names":false,"suffix":""},{"dropping-particle":"","family":"Moreault","given":"Sylvie","non-dropping-particle":"","parse-names":false,"suffix":""},{"dropping-particle":"","family":"Allard","given":"Catherine","non-dropping-particle":"","parse-names":false,"suffix":""},{"dropping-particle":"","family":"Pépin","given":"Maude Émilie","non-dropping-particle":"","parse-names":false,"suffix":""},{"dropping-particle":"","family":"Beauchet","given":"Olivier","non-dropping-particle":"","parse-names":false,"suffix":""}],"container-title":"Journal of the American Medical Directors Association","id":"ITEM-1","issue":"2","issued":{"date-parts":[["2020","2","1"]]},"page":"212-219","publisher":"Elsevier","title":"Optimizing Practices, Use, Care and Services–Antipsychotics (OPUS-AP) in Long-term Care Centers in Québec, Canada: A Strategy for Best Practices","type":"article-journal","volume":"21"},"uris":["http://www.mendeley.com/documents/?uuid=0d38d1df-c71f-37bb-bc53-75e5030fed39"]}],"mendeley":{"formattedCitation":"(197)","plainTextFormattedCitation":"(197)","previouslyFormattedCitation":"(197)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F76A602"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05CB8F3E"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6D430261"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3EBF40A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A20BCA8" w14:textId="482F07EA" w:rsidR="00F422E5" w:rsidRPr="00EC3E91" w:rsidRDefault="00392607"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64F25F62" w14:textId="77777777" w:rsidR="00F422E5" w:rsidRPr="00EC3E91" w:rsidRDefault="00F422E5" w:rsidP="00C02742">
            <w:pPr>
              <w:rPr>
                <w:sz w:val="20"/>
                <w:szCs w:val="20"/>
                <w:lang w:val="en-US"/>
              </w:rPr>
            </w:pPr>
            <w:r w:rsidRPr="00EC3E91">
              <w:rPr>
                <w:sz w:val="20"/>
                <w:szCs w:val="20"/>
                <w:lang w:val="en-US"/>
              </w:rPr>
              <w:t>Inappropriate antipsychotic prescribing</w:t>
            </w:r>
          </w:p>
        </w:tc>
        <w:tc>
          <w:tcPr>
            <w:tcW w:w="3970" w:type="dxa"/>
            <w:tcBorders>
              <w:top w:val="single" w:sz="4" w:space="0" w:color="auto"/>
              <w:left w:val="nil"/>
              <w:bottom w:val="single" w:sz="4" w:space="0" w:color="auto"/>
              <w:right w:val="nil"/>
            </w:tcBorders>
            <w:hideMark/>
          </w:tcPr>
          <w:p w14:paraId="41421116"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t>Beers Criteria</w:t>
            </w:r>
          </w:p>
        </w:tc>
        <w:tc>
          <w:tcPr>
            <w:tcW w:w="2551" w:type="dxa"/>
            <w:tcBorders>
              <w:top w:val="single" w:sz="4" w:space="0" w:color="auto"/>
              <w:left w:val="nil"/>
              <w:bottom w:val="single" w:sz="4" w:space="0" w:color="auto"/>
              <w:right w:val="nil"/>
            </w:tcBorders>
            <w:hideMark/>
          </w:tcPr>
          <w:p w14:paraId="1E9654B5" w14:textId="77777777" w:rsidR="00F422E5" w:rsidRPr="00EC3E91" w:rsidRDefault="00F422E5" w:rsidP="00C02742">
            <w:pPr>
              <w:rPr>
                <w:sz w:val="20"/>
                <w:szCs w:val="20"/>
                <w:lang w:val="en-US"/>
              </w:rPr>
            </w:pPr>
            <w:r w:rsidRPr="00EC3E91">
              <w:rPr>
                <w:sz w:val="20"/>
                <w:szCs w:val="20"/>
                <w:lang w:val="en-US"/>
              </w:rPr>
              <w:t xml:space="preserve">conduct educational meeting, audit and provide feedback, use advisory boards and workgroups, develop and organize quality monitoring systems </w:t>
            </w:r>
          </w:p>
        </w:tc>
      </w:tr>
      <w:tr w:rsidR="00F422E5" w:rsidRPr="00E119DD" w14:paraId="7E50BF0C" w14:textId="77777777" w:rsidTr="00F422E5">
        <w:trPr>
          <w:trHeight w:val="2235"/>
        </w:trPr>
        <w:tc>
          <w:tcPr>
            <w:tcW w:w="993" w:type="dxa"/>
            <w:tcBorders>
              <w:top w:val="single" w:sz="4" w:space="0" w:color="auto"/>
              <w:left w:val="nil"/>
              <w:bottom w:val="single" w:sz="4" w:space="0" w:color="auto"/>
              <w:right w:val="nil"/>
            </w:tcBorders>
          </w:tcPr>
          <w:p w14:paraId="0FCE2E62" w14:textId="07B65E15" w:rsidR="00F422E5" w:rsidRPr="00EC3E91" w:rsidRDefault="00673162"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{"citationItems":[{"id":"ITEM-1","itemData":{"DOI":"10.1016/J.SAPHARM.2021.03.017","ISSN":"1551-7411","PMID":"33863639","abstract":"Background: Antipsychotics are often used for the first-line management of behavioral and psychological symptoms of dementia despite their limited efficacy and the risk of serious adverse drug events, compounded with disregard for guidelines recommending prioritizing non-pharmacological interventions. Some innovative interventions promote the deprescription of antipsychotics in long term care (LTC) settings. Objective: The objective of this article is to present the conditions leading to the scale-up of an innovative program on the appropriate use of antipsychotics in LTC centers. Methods: The Optimizing Practices, Use, Care and Services-Antipsychotics (OPUS-AP) program is a mixed-method project that aims to improve LTC residents’ care through increased knowledge and competency among staff, resident-centered approaches, nonpharmacologic interventions, and by deprescribing antipsychotics when appropriate. This article consists of a qualitative study focused on exploring the implementation conditions of the OPUS-AP program. This study was carried out in an integrated health area of Québec. It consisted of 46 semi-structured interviews with staff members and managers involved in the implementation of OPUS-AP. The qualitative data analysis was inspired by a realistic evaluation approach, which shed light on the causal chain between context, mechanisms, and perceived effects. Results: This study identified certain conditions conducive to scaling up the OPUS-AP program: an integrated, collaborative and evidence-based approach; communications in support of the process; stakeholder engagement at the strategic, tactical and operational levels; an implementation climate conducive to change; and an integrated knowledge translation strategy. Conclusion: Despite evidence of clinical efficacy, deprescribing programs require great deal of scaling up efforts. Hence, this study underscores the need to further examine conditions for scaling up medication usage programs in real life contexts.","author":[{"dropping-particle":"","family":"Couturier","given":"Yves","non-dropping-particle":"","parse-names":false,"suffix":""},{"dropping-particle":"","family":"Lanneville","given":"David","non-dropping-particle":"","parse-names":false,"suffix":""},{"dropping-particle":"","family":"Lane","given":"Julie","non-dropping-particle":"","parse-names":false,"suffix":""},{"dropping-particle":"","family":"Bruneau","given":"Marie Andrée","non-dropping-particle":"","parse-names":false,"suffix":""},{"dropping-particle":"","family":"Morin","given":"Michèle","non-dropping-particle":"","parse-names":false,"suffix":""},{"dropping-particle":"","family":"Gilbert","given":"Suzanne","non-dropping-particle":"","parse-names":false,"suffix":""},{"dropping-particle":"","family":"Boyer","given":"Diane","non-dropping-particle":"","parse-names":false,"suffix":""},{"dropping-particle":"","family":"MacDonald","given":"Tanya","non-dropping-particle":"","parse-names":false,"suffix":""},{"dropping-particle":"","family":"Gaied","given":"Nouha","non-dropping-particle":"Ben","parse-names":false,"suffix":""},{"dropping-particle":"","family":"Cosette","given":"Benoît","non-dropping-particle":"","parse-names":false,"suffix":""}],"container-title":"Research in Social and Administrative Pharmacy","id":"ITEM-1","issue":"3","issued":{"date-parts":[["2022","3","1"]]},"page":"2484-2488","publisher":"Elsevier","title":"Implementation conditions leading to the scale-up of an innovation involving the optimal use of antipsychotics in long-term care centers: The Optimizing Practices, Use, Care and Services-Antipsychotics (OPUS-AP) program","type":"article-journal","volume":"18"},"uris":["http://www.mendeley.com/documents/?uuid=a8e1a015-9eae-37f7-80d9-dea25a4fafd7"]}],"mendeley":{"formattedCitation":"(198)","plainTextFormattedCitation":"(198)","previouslyFormattedCitation":"(198)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3D616D4"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7736A9D0"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071D98DC" w14:textId="77777777" w:rsidR="00F422E5" w:rsidRPr="00EC3E91" w:rsidRDefault="00F422E5" w:rsidP="00C02742">
            <w:pPr>
              <w:rPr>
                <w:sz w:val="20"/>
                <w:szCs w:val="20"/>
                <w:lang w:val="en-US"/>
              </w:rPr>
            </w:pPr>
            <w:r w:rsidRPr="00EC3E91">
              <w:rPr>
                <w:sz w:val="20"/>
                <w:szCs w:val="20"/>
                <w:lang w:val="en-US"/>
              </w:rPr>
              <w:t>Qual Cross-sectional</w:t>
            </w:r>
          </w:p>
        </w:tc>
        <w:tc>
          <w:tcPr>
            <w:tcW w:w="851" w:type="dxa"/>
            <w:tcBorders>
              <w:top w:val="single" w:sz="4" w:space="0" w:color="auto"/>
              <w:left w:val="nil"/>
              <w:bottom w:val="single" w:sz="4" w:space="0" w:color="auto"/>
              <w:right w:val="nil"/>
            </w:tcBorders>
            <w:hideMark/>
          </w:tcPr>
          <w:p w14:paraId="157DF2FC"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1BDF76D4" w14:textId="392BF7B1" w:rsidR="00F422E5" w:rsidRPr="00EC3E91" w:rsidRDefault="00392607"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66DE6F37" w14:textId="77777777" w:rsidR="00F422E5" w:rsidRPr="00EC3E91" w:rsidRDefault="00F422E5" w:rsidP="00C02742">
            <w:pPr>
              <w:rPr>
                <w:sz w:val="20"/>
                <w:szCs w:val="20"/>
                <w:lang w:val="en-US"/>
              </w:rPr>
            </w:pPr>
            <w:r w:rsidRPr="00EC3E91">
              <w:rPr>
                <w:sz w:val="20"/>
                <w:szCs w:val="20"/>
                <w:lang w:val="en-US"/>
              </w:rPr>
              <w:t>Inappropriate antipsychotic prescribing</w:t>
            </w:r>
          </w:p>
        </w:tc>
        <w:tc>
          <w:tcPr>
            <w:tcW w:w="3970" w:type="dxa"/>
            <w:tcBorders>
              <w:top w:val="single" w:sz="4" w:space="0" w:color="auto"/>
              <w:left w:val="nil"/>
              <w:bottom w:val="single" w:sz="4" w:space="0" w:color="auto"/>
              <w:right w:val="nil"/>
            </w:tcBorders>
            <w:hideMark/>
          </w:tcPr>
          <w:p w14:paraId="7E5D86C4" w14:textId="6FFC22B7" w:rsidR="00F422E5" w:rsidRPr="00EC3E91" w:rsidRDefault="00F422E5" w:rsidP="00C02742">
            <w:pPr>
              <w:rPr>
                <w:sz w:val="20"/>
                <w:szCs w:val="20"/>
                <w:lang w:val="en-US"/>
              </w:rPr>
            </w:pPr>
            <w:r w:rsidRPr="00EC3E91">
              <w:rPr>
                <w:sz w:val="20"/>
                <w:szCs w:val="20"/>
                <w:lang w:val="en-US"/>
              </w:rPr>
              <w:t>Guidelines from Institut national d’excellence en sant ́e et en services sociaux (INESSS) [National Institute of Excellence in Health and Social Services (INESSS), 2017</w:t>
            </w:r>
            <w:r w:rsidR="00392607" w:rsidRPr="00EC3E91">
              <w:rPr>
                <w:sz w:val="20"/>
                <w:szCs w:val="20"/>
                <w:lang w:val="en-US"/>
              </w:rPr>
              <w:t>].</w:t>
            </w:r>
          </w:p>
        </w:tc>
        <w:tc>
          <w:tcPr>
            <w:tcW w:w="2551" w:type="dxa"/>
            <w:tcBorders>
              <w:top w:val="single" w:sz="4" w:space="0" w:color="auto"/>
              <w:left w:val="nil"/>
              <w:bottom w:val="single" w:sz="4" w:space="0" w:color="auto"/>
              <w:right w:val="nil"/>
            </w:tcBorders>
            <w:hideMark/>
          </w:tcPr>
          <w:p w14:paraId="6507FBB8" w14:textId="4A0206FB" w:rsidR="00F422E5" w:rsidRPr="00EC3E91" w:rsidRDefault="00F422E5" w:rsidP="00C02742">
            <w:pPr>
              <w:rPr>
                <w:sz w:val="20"/>
                <w:szCs w:val="20"/>
                <w:lang w:val="en-US"/>
              </w:rPr>
            </w:pPr>
            <w:r w:rsidRPr="00EC3E91">
              <w:rPr>
                <w:sz w:val="20"/>
                <w:szCs w:val="20"/>
                <w:lang w:val="en-US"/>
              </w:rPr>
              <w:t> </w:t>
            </w:r>
            <w:r w:rsidR="007C0D68" w:rsidRPr="007C0D68">
              <w:rPr>
                <w:sz w:val="20"/>
                <w:szCs w:val="20"/>
                <w:lang w:val="en-US"/>
              </w:rPr>
              <w:t>make training dynamic, develop educational materials, conduct educational outreach, create new clinical teams, audit and provide feedback.</w:t>
            </w:r>
          </w:p>
        </w:tc>
      </w:tr>
      <w:tr w:rsidR="00F422E5" w:rsidRPr="00E119DD" w14:paraId="017B8D46" w14:textId="77777777" w:rsidTr="00F422E5">
        <w:trPr>
          <w:trHeight w:val="2235"/>
        </w:trPr>
        <w:tc>
          <w:tcPr>
            <w:tcW w:w="993" w:type="dxa"/>
            <w:tcBorders>
              <w:top w:val="single" w:sz="4" w:space="0" w:color="auto"/>
              <w:left w:val="nil"/>
              <w:bottom w:val="single" w:sz="4" w:space="0" w:color="auto"/>
              <w:right w:val="nil"/>
            </w:tcBorders>
          </w:tcPr>
          <w:p w14:paraId="7ABE1D33" w14:textId="525316F2" w:rsidR="00F422E5" w:rsidRPr="00EC3E91" w:rsidRDefault="00CE5AE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{"citationItems":[{"id":"ITEM-1","itemData":{"DOI":"10.1002/jac5.1205","ISSN":"2574-9870","abstract":"Objective\nTo identify the proportion of viral acute upper respiratory tract infections (AURTI) inappropriately treated with antibiotics before and after the implementation of a multimodal outpatient antibiotic stewardship initiative in a real‐world setting.\nDesign\nPre‐post, quasi‐experimental study.\nPatients\nAdult patients with a diagnosis of either acute bronchitis, influenza, unspecified viral infection, or unspecified AURTI who visited internal medicine (IM) or family medicine (FM) ambulatory care clinics at an urban, academic health system in 2016 and 2017.\nInterventions\nProvider education including the dissemination of an institutional guideline and algorithm for the treatment of AURTI occurred in FM and IM clinics. In the FM clinics, a roundtable discussion with clinicians promoting safe and appropriate antibiotic prescribing was conducted, and patient‐facing educational posters were placed in exam rooms and clinic waiting areas describing the FM teams' commitment to using antibiotics only when necessary.\nResults\nA total of 2817 patient encounters met study inclusion criteria. In total, inappropriate antibiotic prescribing had a relative decrease of 24% after implementation of the interventions (17.2% [235/1362] preintervention vs 13.1% [191/1455] postintervention; P = .02). During the preintervention period, 25.4% (143/563) of the encounters in the IM clinics were associated with inappropriate antibiotic prescribing compared with 19% (108/568) in the postintervention period (P &lt; .01). Relative to the IM clinics, the FM clinics had a lower proportion of encounters associated with inappropriate antibiotic prescribing at baseline. In FM clinics, 11.5% (92/799) of encounters were associated with inappropriate antibiotic prescribing during the preintervention period compared with 9.4% (83/887) during the postintervention period (P = .15).\nConclusions\nSimple educational interventions may decrease inappropriate antibiotic prescribing for AURTIs in outpatient settings. In addition, the incremental benefit of patient‐facing education may be limited outside of randomized studies or in settings with low baseline antibiotic prescribing rates for AURTIs. Therefore, additional studies outside of randomized trials are needed.","author":[{"dropping-particle":"","family":"Craddock","given":"Kaitlyn","non-dropping-particle":"","parse-names":false,"suffix":""},{"dropping-particle":"","family":"Molino","given":"Suzanne","non-dropping-particle":"","parse-names":false,"suffix":""},{"dropping-particle":"","family":"Stranges","given":"Paul M","non-dropping-particle":"","parse-names":false,"suffix":""},{"dropping-particle":"","family":"Suda","given":"Katie J","non-dropping-particle":"","parse-names":false,"suffix":""},{"dropping-particle":"","family":"Bleasdale","given":"Susan C","non-dropping-particle":"","parse-names":false,"suffix":""},{"dropping-particle":"","family":"Radosta","given":"Jonathan","non-dropping-particle":"","parse-names":false,"suffix":""},{"dropping-particle":"","family":"Kannampallil","given":"Thomas","non-dropping-particle":"","parse-names":false,"suffix":""},{"dropping-particle":"","family":"Shapiro","given":"Nancy L","non-dropping-particle":"","parse-names":false,"suffix":""},{"dropping-particle":"","family":"Gross","given":"Alan E","non-dropping-particle":"","parse-names":false,"suffix":""}],"container-title":"JAACP : Journal of the American College of Clinical Pharmacy","id":"ITEM-1","issue":"3","issued":{"date-parts":[["2020"]]},"page":"609-614","publisher":"John Wiley &amp; Sons, Inc","publisher-place":"Hoboken, USA","title":"The impact of educational interventions on antibiotic prescribing for acute upper respiratory tract infections in the ambulatory care setting: A quasi‐experimental study","type":"article-journal","volume":"3"},"uris":["http://www.mendeley.com/documents/?uuid=779659f9-58b4-4957-a288-d8d4974adf83"]}],"mendeley":{"formattedCitation":"(199)","plainTextFormattedCitation":"(199)","previouslyFormattedCitation":"(199)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(199)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A7338D1"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1579D8A"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9439B62"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1AD002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4EBB441"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16F0484"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4B0D332A" w14:textId="77777777" w:rsidR="00F422E5" w:rsidRPr="00EC3E91" w:rsidRDefault="00F422E5" w:rsidP="00C02742">
            <w:pPr>
              <w:rPr>
                <w:sz w:val="20"/>
                <w:szCs w:val="20"/>
                <w:lang w:val="en-US"/>
              </w:rPr>
            </w:pPr>
            <w:r w:rsidRPr="00EC3E91">
              <w:rPr>
                <w:sz w:val="20"/>
                <w:szCs w:val="20"/>
                <w:lang w:val="en-US"/>
              </w:rPr>
              <w:t xml:space="preserve">World Health Organization. Antibiotic resistance: Global report on surveillance, 2014. </w:t>
            </w:r>
            <w:r w:rsidRPr="00EC3E91">
              <w:rPr>
                <w:sz w:val="20"/>
                <w:szCs w:val="20"/>
                <w:lang w:val="en-US"/>
              </w:rPr>
              <w:br/>
            </w:r>
            <w:r w:rsidRPr="00EC3E91">
              <w:rPr>
                <w:sz w:val="20"/>
                <w:szCs w:val="20"/>
                <w:lang w:val="en-US"/>
              </w:rPr>
              <w:br/>
              <w:t>Centers for Disease Control and Prevention. Antibiotic resistance threats in the United States, 2019.</w:t>
            </w:r>
            <w:r w:rsidRPr="00EC3E91">
              <w:rPr>
                <w:sz w:val="20"/>
                <w:szCs w:val="20"/>
                <w:lang w:val="en-US"/>
              </w:rPr>
              <w:br/>
            </w:r>
            <w:r w:rsidRPr="00EC3E91">
              <w:rPr>
                <w:sz w:val="20"/>
                <w:szCs w:val="20"/>
                <w:lang w:val="en-US"/>
              </w:rPr>
              <w:br/>
              <w:t>United Nations. Draft political declaration of the high-level meeting on the General Assembly on antibiotic resistance.</w:t>
            </w:r>
          </w:p>
        </w:tc>
        <w:tc>
          <w:tcPr>
            <w:tcW w:w="2551" w:type="dxa"/>
            <w:tcBorders>
              <w:top w:val="single" w:sz="4" w:space="0" w:color="auto"/>
              <w:left w:val="nil"/>
              <w:bottom w:val="single" w:sz="4" w:space="0" w:color="auto"/>
              <w:right w:val="nil"/>
            </w:tcBorders>
            <w:hideMark/>
          </w:tcPr>
          <w:p w14:paraId="5470ABCC" w14:textId="53E14E7D" w:rsidR="00F422E5" w:rsidRPr="00EC3E91" w:rsidRDefault="00F422E5" w:rsidP="00C02742">
            <w:pPr>
              <w:rPr>
                <w:sz w:val="20"/>
                <w:szCs w:val="20"/>
                <w:lang w:val="en-US"/>
              </w:rPr>
            </w:pPr>
            <w:r w:rsidRPr="00EC3E91">
              <w:rPr>
                <w:sz w:val="20"/>
                <w:szCs w:val="20"/>
                <w:lang w:val="en-US"/>
              </w:rPr>
              <w:t xml:space="preserve">distribute educational materials, develop educational materials, </w:t>
            </w:r>
            <w:r w:rsidR="00A15C86">
              <w:rPr>
                <w:sz w:val="20"/>
                <w:szCs w:val="20"/>
                <w:lang w:val="en-US"/>
              </w:rPr>
              <w:t xml:space="preserve">use advisory boards and workgroups, </w:t>
            </w:r>
            <w:r w:rsidRPr="00EC3E91">
              <w:rPr>
                <w:sz w:val="20"/>
                <w:szCs w:val="20"/>
                <w:lang w:val="en-US"/>
              </w:rPr>
              <w:t xml:space="preserve">obtain formal commitment, </w:t>
            </w:r>
          </w:p>
        </w:tc>
      </w:tr>
      <w:tr w:rsidR="00F422E5" w:rsidRPr="00E119DD" w14:paraId="54367F02" w14:textId="77777777" w:rsidTr="00F422E5">
        <w:trPr>
          <w:trHeight w:val="2235"/>
        </w:trPr>
        <w:tc>
          <w:tcPr>
            <w:tcW w:w="993" w:type="dxa"/>
            <w:tcBorders>
              <w:top w:val="single" w:sz="4" w:space="0" w:color="auto"/>
              <w:left w:val="nil"/>
              <w:bottom w:val="single" w:sz="4" w:space="0" w:color="auto"/>
              <w:right w:val="nil"/>
            </w:tcBorders>
          </w:tcPr>
          <w:p w14:paraId="7BE779F0" w14:textId="6C7737CE" w:rsidR="00F422E5" w:rsidRPr="00EC3E91" w:rsidRDefault="00433994"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{"citationItems":[{"id":"ITEM-1","itemData":{"DOI":"10.1016/J.SAPHARM.2020.01.010","ISSN":"1551-7411","PMID":"32014358","abstract":"Background: Medication-related problems and inappropriate medication use are prevalent among people attending memory clinics. There have been no deprescribing intervention studies in this setting. Objective: To evaluate the feasibility of a pharmacist-led interdisciplinary deprescribing intervention study in a memory clinic. Methods: A pre-post-intervention study conducted at an outpatient memory clinic of an Australian tertiary care public hospital. Participants were English-speaking, community-dwelling patients identified as being at risk of a medication-related problem, or their carers. Participants received a medication review in their home from a consultant pharmacist who collaborated with the patient/carer, memory clinic, general practitioner and community pharmacist to develop a plan for optimising medication use. The primary outcome was feasibility, based on i) proportion of memory clinic patients eligible for the study, ii) proportion of eligible patients who consented, and iii) proportion of pharmacist-identified inappropriate/unnecessary medications that were deprescribed (reduced or ceased) at six months. Results: One-third of memory clinic patient/carers were eligible (n = 82/238), 61% (n = 50/82) consented to participate. The median (IQR) age of participants who received the intervention (n = 46) was 80.5 (71.5–85.0) years and median (IQR) number of medications was 11 (8.0–13.3). Pharmacists recommended deprescribing 124 medications, and 53 (42.7%) had been ceased or dose-reduced at six months. Conclusion: It was feasible to recruit study participants and deliver a pharmacist-led interdisciplinary deprescribing intervention in this memory clinic setting. A larger, multi-centre study with longer follow-up is needed to confirm effectiveness and clinical outcomes.","author":[{"dropping-particle":"","family":"Cross","given":"Amanda J.","non-dropping-particle":"","parse-names":false,"suffix":""},{"dropping-particle":"","family":"George","given":"Johnson","non-dropping-particle":"","parse-names":false,"suffix":""},{"dropping-particle":"","family":"Woodward","given":"Michael C.","non-dropping-particle":"","parse-names":false,"suffix":""},{"dropping-particle":"","family":"Le","given":"Vivien J.","non-dropping-particle":"","parse-names":false,"suffix":""},{"dropping-particle":"","family":"Elliott","given":"Rohan A.","non-dropping-particle":"","parse-names":false,"suffix":""}],"container-title":"Research in Social and Administrative Pharmacy","id":"ITEM-1","issue":"10","issued":{"date-parts":[["2020","10","1"]]},"page":"1392-1397","publisher":"Elsevier","title":"Deprescribing potentially inappropriate medications in memory clinic patients (DePIMM): A feasibility study","type":"article-journal","volume":"16"},"uris":["http://www.mendeley.com/documents/?uuid=4c7ee4dd-f33b-33d2-9caa-e20e34c89b28"]}],"mendeley":{"formattedCitation":"(200)","plainTextFormattedCitation":"(200)","previouslyFormattedCitation":"(200)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A3DDF46"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2AB8C2C"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7A2D44AE"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5B0B91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7B9F7E1"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14675FFD" w14:textId="77777777" w:rsidR="00F422E5" w:rsidRPr="00EC3E91" w:rsidRDefault="00F422E5" w:rsidP="00C02742">
            <w:pPr>
              <w:rPr>
                <w:sz w:val="20"/>
                <w:szCs w:val="20"/>
                <w:lang w:val="en-US"/>
              </w:rPr>
            </w:pPr>
            <w:r w:rsidRPr="00EC3E91">
              <w:rPr>
                <w:sz w:val="20"/>
                <w:szCs w:val="20"/>
                <w:lang w:val="en-US"/>
              </w:rPr>
              <w:t>Inappropriate prescribing of antibiotics</w:t>
            </w:r>
          </w:p>
        </w:tc>
        <w:tc>
          <w:tcPr>
            <w:tcW w:w="3970" w:type="dxa"/>
            <w:tcBorders>
              <w:top w:val="single" w:sz="4" w:space="0" w:color="auto"/>
              <w:left w:val="nil"/>
              <w:bottom w:val="single" w:sz="4" w:space="0" w:color="auto"/>
              <w:right w:val="nil"/>
            </w:tcBorders>
            <w:hideMark/>
          </w:tcPr>
          <w:p w14:paraId="5CDA19F1" w14:textId="77777777" w:rsidR="00F422E5" w:rsidRPr="00EC3E91" w:rsidRDefault="00F422E5" w:rsidP="00C02742">
            <w:pPr>
              <w:rPr>
                <w:sz w:val="20"/>
                <w:szCs w:val="20"/>
                <w:lang w:val="en-US"/>
              </w:rPr>
            </w:pPr>
            <w:r w:rsidRPr="00EC3E91">
              <w:rPr>
                <w:sz w:val="20"/>
                <w:szCs w:val="20"/>
                <w:lang w:val="en-US"/>
              </w:rPr>
              <w:t>ACCP evidence-based clinical practice guidelines</w:t>
            </w:r>
          </w:p>
        </w:tc>
        <w:tc>
          <w:tcPr>
            <w:tcW w:w="2551" w:type="dxa"/>
            <w:tcBorders>
              <w:top w:val="single" w:sz="4" w:space="0" w:color="auto"/>
              <w:left w:val="nil"/>
              <w:bottom w:val="single" w:sz="4" w:space="0" w:color="auto"/>
              <w:right w:val="nil"/>
            </w:tcBorders>
            <w:hideMark/>
          </w:tcPr>
          <w:p w14:paraId="362212C2" w14:textId="77777777" w:rsidR="00F422E5" w:rsidRPr="00EC3E91" w:rsidRDefault="00F422E5" w:rsidP="00C02742">
            <w:pPr>
              <w:rPr>
                <w:sz w:val="20"/>
                <w:szCs w:val="20"/>
                <w:lang w:val="en-US"/>
              </w:rPr>
            </w:pPr>
            <w:r w:rsidRPr="00EC3E91">
              <w:rPr>
                <w:sz w:val="20"/>
                <w:szCs w:val="20"/>
                <w:lang w:val="en-US"/>
              </w:rPr>
              <w:t>distribute educational materials, develop educational materials, use advisory boards and workgroups, obtain formal commitment, Organize clinician implementation team meetings</w:t>
            </w:r>
          </w:p>
        </w:tc>
      </w:tr>
      <w:tr w:rsidR="00F422E5" w:rsidRPr="00E119DD" w14:paraId="03A509C7" w14:textId="77777777" w:rsidTr="00F422E5">
        <w:trPr>
          <w:trHeight w:val="2235"/>
        </w:trPr>
        <w:tc>
          <w:tcPr>
            <w:tcW w:w="993" w:type="dxa"/>
            <w:tcBorders>
              <w:top w:val="single" w:sz="4" w:space="0" w:color="auto"/>
              <w:left w:val="nil"/>
              <w:bottom w:val="single" w:sz="4" w:space="0" w:color="auto"/>
              <w:right w:val="nil"/>
            </w:tcBorders>
          </w:tcPr>
          <w:p w14:paraId="49B34418" w14:textId="51A5B975" w:rsidR="00F422E5" w:rsidRPr="00EC3E91" w:rsidRDefault="00AC5831"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{"citationItems":[{"id":"ITEM-1","itemData":{"DOI":"10.1093/ofid/ofaa174","ISSN":"23288957","abstract":"Background. Antibiotic-inappropriate prescribing for acute respiratory tract infections (ARTI) is 45% among urgent care centers (UCCs) in the United States. Locally in our UCCs, antibiotic-inappropriate prescribing for ARTI is higher-over 70%. Methods. We used a quasi-experimental design to implement 3 behavioral interventions targeting antibiotic-inappropriate/nonguideline- concordant prescribing for ARTI at 3 high-volume rural UCCs and analyzed prescribing rates pre- and post-intervention. The 3 interventions were (1) staff/patient education, (2) public commitment, and (3) peer comparison. For peer comparison, providers were sent feedback emails with their prescribing data during the intervention period and a blinded ranking email comparing them with their peers. Providers were categorized as \"low prescribers \" (ie, =23% antibiotic-inappropriate prescriptions based off the US National Action Plan for Combating Antibiotic Resistant Bacteria 2020 goal) or \"high prescribers \" (ie, =45%-the national average of antibiotic-inappropriate prescribing for ARTI). An interrupted time series (ITS) analysis compared prescribing for ARTI (the primary outcome) over a 16-month period before the intervention and during the 6-month intervention period, for a total of 22 months, across the 3 UCCs. Results. Fewer antibiotic-inappropriate prescriptions were written during the intervention period (57.7%) compared with the pre-intervention period (72.6%) in the 3 UCCs, resulting in a 14.9% absolute decrease in percentage of antibiotic-inappropriate prescriptions. The ITS analysis revealed that the rate of antibiotic-inappropriate prescribing was statistically significantly different pre-intervention compared with the intervention period (95% confidence interval, -4.59 to -0.59; P = .014). Conclusions. In this sample of rural UCCs, we reduced antibiotic-inappropriate prescribing for ARTI using 3 behavioral interventions.","author":[{"dropping-particle":"","family":"Cummings","given":"Patricia L.","non-dropping-particle":"","parse-names":false,"suffix":""},{"dropping-particle":"","family":"Alajajian","given":"Rita","non-dropping-particle":"","parse-names":false,"suffix":""},{"dropping-particle":"","family":"May","given":"Larissa S.","non-dropping-particle":"","parse-names":false,"suffix":""},{"dropping-particle":"","family":"Grant","given":"Russel","non-dropping-particle":"","parse-names":false,"suffix":""},{"dropping-particle":"","family":"Greer","given":"Hailey","non-dropping-particle":"","parse-names":false,"suffix":""},{"dropping-particle":"","family":"Sontz","given":"Jordan","non-dropping-particle":"","parse-names":false,"suffix":""},{"dropping-particle":"","family":"Dezfuli","given":"Massoud","non-dropping-particle":"","parse-names":false,"suffix":""}],"container-title":"Open Forum Infectious Diseases","id":"ITEM-1","issue":"7","issued":{"date-parts":[["2020","7","1"]]},"publisher":"Oxford University Press","title":"Utilizing behavioral science to improve antibiotic prescribing in rural urgent care settings","type":"article-journal","volume":"7"},"uris":["http://www.mendeley.com/documents/?uuid=66c409c0-8148-381d-8a8f-48ce6d24b1a5"]}],"mendeley":{"formattedCitation":"(201)","plainTextFormattedCitation":"(201)","previouslyFormattedCitation":"(201)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D483AC9"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57042AB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5E714A1"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1D0F4B2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EC27812"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35853C22" w14:textId="6939B5F5" w:rsidR="00F422E5" w:rsidRPr="00EC3E91" w:rsidRDefault="00F422E5" w:rsidP="00C02742">
            <w:pPr>
              <w:rPr>
                <w:sz w:val="20"/>
                <w:szCs w:val="20"/>
                <w:lang w:val="en-US"/>
              </w:rPr>
            </w:pPr>
            <w:r w:rsidRPr="00EC3E91">
              <w:rPr>
                <w:sz w:val="20"/>
                <w:szCs w:val="20"/>
                <w:lang w:val="en-US"/>
              </w:rPr>
              <w:t xml:space="preserve">Inappropriate prescribing of antibiotics </w:t>
            </w:r>
            <w:r w:rsidR="00392607" w:rsidRPr="00EC3E91">
              <w:rPr>
                <w:sz w:val="20"/>
                <w:szCs w:val="20"/>
                <w:lang w:val="en-US"/>
              </w:rPr>
              <w:t>for acute</w:t>
            </w:r>
            <w:r w:rsidRPr="00EC3E91">
              <w:rPr>
                <w:sz w:val="20"/>
                <w:szCs w:val="20"/>
                <w:lang w:val="en-US"/>
              </w:rPr>
              <w:t xml:space="preserve"> respiratory tract infections</w:t>
            </w:r>
          </w:p>
        </w:tc>
        <w:tc>
          <w:tcPr>
            <w:tcW w:w="3970" w:type="dxa"/>
            <w:tcBorders>
              <w:top w:val="single" w:sz="4" w:space="0" w:color="auto"/>
              <w:left w:val="nil"/>
              <w:bottom w:val="single" w:sz="4" w:space="0" w:color="auto"/>
              <w:right w:val="nil"/>
            </w:tcBorders>
            <w:hideMark/>
          </w:tcPr>
          <w:p w14:paraId="5360A5EA" w14:textId="77777777" w:rsidR="00F422E5" w:rsidRPr="00EC3E91" w:rsidRDefault="00F422E5" w:rsidP="00C02742">
            <w:pPr>
              <w:rPr>
                <w:sz w:val="20"/>
                <w:szCs w:val="20"/>
                <w:lang w:val="en-US"/>
              </w:rPr>
            </w:pPr>
            <w:r w:rsidRPr="00EC3E91">
              <w:rPr>
                <w:sz w:val="20"/>
                <w:szCs w:val="20"/>
                <w:lang w:val="en-US"/>
              </w:rPr>
              <w:t xml:space="preserve">Centers for Disease Control and Prevention. Antibiotic prescribing and use in the US, antibiotic use in outpatient settings. 2017. </w:t>
            </w:r>
          </w:p>
        </w:tc>
        <w:tc>
          <w:tcPr>
            <w:tcW w:w="2551" w:type="dxa"/>
            <w:tcBorders>
              <w:top w:val="single" w:sz="4" w:space="0" w:color="auto"/>
              <w:left w:val="nil"/>
              <w:bottom w:val="single" w:sz="4" w:space="0" w:color="auto"/>
              <w:right w:val="nil"/>
            </w:tcBorders>
            <w:hideMark/>
          </w:tcPr>
          <w:p w14:paraId="3DC9D960" w14:textId="77777777" w:rsidR="00F422E5" w:rsidRPr="00EC3E91" w:rsidRDefault="00F422E5" w:rsidP="00C02742">
            <w:pPr>
              <w:rPr>
                <w:sz w:val="20"/>
                <w:szCs w:val="20"/>
                <w:lang w:val="en-US"/>
              </w:rPr>
            </w:pPr>
            <w:r w:rsidRPr="00EC3E91">
              <w:rPr>
                <w:sz w:val="20"/>
                <w:szCs w:val="20"/>
                <w:lang w:val="en-US"/>
              </w:rPr>
              <w:t xml:space="preserve">conduct educational meeting, develop educational materials, audit and provide feedback, </w:t>
            </w:r>
          </w:p>
        </w:tc>
      </w:tr>
      <w:tr w:rsidR="00F422E5" w:rsidRPr="00E119DD" w14:paraId="560F5BE1" w14:textId="77777777" w:rsidTr="00F422E5">
        <w:trPr>
          <w:trHeight w:val="2235"/>
        </w:trPr>
        <w:tc>
          <w:tcPr>
            <w:tcW w:w="993" w:type="dxa"/>
            <w:tcBorders>
              <w:top w:val="single" w:sz="4" w:space="0" w:color="auto"/>
              <w:left w:val="nil"/>
              <w:bottom w:val="single" w:sz="4" w:space="0" w:color="auto"/>
              <w:right w:val="nil"/>
            </w:tcBorders>
          </w:tcPr>
          <w:p w14:paraId="6D74B8DC" w14:textId="75CF109E" w:rsidR="00F422E5" w:rsidRPr="00EC3E91" w:rsidRDefault="004C10C2"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{"citationItems":[{"id":"ITEM-1","itemData":{"DOI":"10.1111/jgs.16278","ISSN":"15325415","PMID":"31868920","abstract":"OBJECTIVES: Older people approaching end of life are commonly prescribed multiple medications, many of which may be inappropriate or futile. Our objective was to examine the effect of applying the STOPPFrail, a recently developed deprescribing tool, to the medication regimens of older patients with advanced frailty. DESIGN: Randomized controlled trial. SETTING: Two acute hospitals in Ireland. PARTICIPANTS: Adults 75 years or older (n = 130) with advanced frailty and polypharmacy (five or more drugs), transferring to long-term nursing home care. INTERVENTION: A STOPPFrail-guided deprescribing plan was presented to attending physicians who judged whether or not to implement recommended medication changes. MEASUREMENTS: The primary outcome was the change in the number of regular medications at 3 months. Secondary outcomes included unscheduled hospital presentations, falls, quality of life, monthly medication costs, and mortality. RESULTS: Intervention (n = 65) and control group (n = 65) participants were prescribed a mean (plus or minus standard deviation [SD]) of 11.5 (±3.0) and 10.9 (±3.5) medications, respectively, at baseline. The mean (SD) change in the number of medications at 3 months was −2.6 (±2.73) in the intervention group and −.36 (±2.60) in the control group (mean difference = 2.25 ±.54; 95% confidence interval [CI] = 1.18-3.32; P &lt;.001). The mean change in monthly medication cost was –$74.97 (±$148.32) in the intervention group and –$13.22 (±$110.40) in the control group (mean difference $61.74 ± $26.60; 95% CI = 8.95-114.53; P =.02). No significant differences were found between groups for any of the other secondary outcomes. CONCLUSION: STOPPFrail-guided deprescribing significantly reduced polypharmacy and medication costs in frail older people. No significant differences between groups were observed with regard to falls, hospital presentations, quality of life, and mortality, although the trial was likely underpowered to detect differences in these outcomes. J Am Geriatr Soc 68:762–769, 2020.","author":[{"dropping-particle":"","family":"Curtin","given":"Denis","non-dropping-particle":"","parse-names":false,"suffix":""},{"dropping-particle":"","family":"Jennings","given":"Emma","non-dropping-particle":"","parse-names":false,"suffix":""},{"dropping-particle":"","family":"Daunt","given":"Ruth","non-dropping-particle":"","parse-names":false,"suffix":""},{"dropping-particle":"","family":"Curtin","given":"Sara","non-dropping-particle":"","parse-names":false,"suffix":""},{"dropping-particle":"","family":"Randles","given":"Mary","non-dropping-particle":"","parse-names":false,"suffix":""},{"dropping-particle":"","family":"Gallagher","given":"Paul","non-dropping-particle":"","parse-names":false,"suffix":""},{"dropping-particle":"","family":"O'Mahony","given":"Denis","non-dropping-particle":"","parse-names":false,"suffix":""}],"container-title":"Journal of the American Geriatrics Society","id":"ITEM-1","issue":"4","issued":{"date-parts":[["2020","4","1"]]},"page":"762-769","publisher":"Blackwell Publishing Inc.","title":"Deprescribing in Older People Approaching End of Life: A Randomized Controlled Trial Using STOPPFrail Criteria","type":"article-journal","volume":"68"},"uris":["http://www.mendeley.com/documents/?uuid=b1859141-6e91-3b5d-ba40-3680a515bb03"]}],"mendeley":{"formattedCitation":"(202)","plainTextFormattedCitation":"(202)","previouslyFormattedCitation":"(202)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1E4B826" w14:textId="77777777" w:rsidR="00F422E5" w:rsidRPr="00EC3E91" w:rsidRDefault="00F422E5" w:rsidP="00C02742">
            <w:pPr>
              <w:rPr>
                <w:sz w:val="20"/>
                <w:szCs w:val="20"/>
                <w:lang w:val="en-US"/>
              </w:rPr>
            </w:pPr>
            <w:r w:rsidRPr="00EC3E91">
              <w:rPr>
                <w:sz w:val="20"/>
                <w:szCs w:val="20"/>
                <w:lang w:val="en-US"/>
              </w:rPr>
              <w:t>Ireland</w:t>
            </w:r>
          </w:p>
        </w:tc>
        <w:tc>
          <w:tcPr>
            <w:tcW w:w="993" w:type="dxa"/>
            <w:tcBorders>
              <w:top w:val="single" w:sz="4" w:space="0" w:color="auto"/>
              <w:left w:val="nil"/>
              <w:bottom w:val="single" w:sz="4" w:space="0" w:color="auto"/>
              <w:right w:val="nil"/>
            </w:tcBorders>
            <w:hideMark/>
          </w:tcPr>
          <w:p w14:paraId="2E7956C2"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00218DD"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6B80753A"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3A1E32F3"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39565E0"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57214CD" w14:textId="77777777" w:rsidR="00F422E5" w:rsidRPr="00EC3E91" w:rsidRDefault="00F422E5" w:rsidP="00C02742">
            <w:pPr>
              <w:rPr>
                <w:sz w:val="20"/>
                <w:szCs w:val="20"/>
                <w:lang w:val="en-US"/>
              </w:rPr>
            </w:pPr>
            <w:r w:rsidRPr="00EC3E91">
              <w:rPr>
                <w:sz w:val="20"/>
                <w:szCs w:val="20"/>
                <w:lang w:val="en-US"/>
              </w:rPr>
              <w:t xml:space="preserve">STOPP (Screening Tool of Older Person’s Prescriptions) Frail criteria </w:t>
            </w:r>
          </w:p>
        </w:tc>
        <w:tc>
          <w:tcPr>
            <w:tcW w:w="2551" w:type="dxa"/>
            <w:tcBorders>
              <w:top w:val="single" w:sz="4" w:space="0" w:color="auto"/>
              <w:left w:val="nil"/>
              <w:bottom w:val="single" w:sz="4" w:space="0" w:color="auto"/>
              <w:right w:val="nil"/>
            </w:tcBorders>
            <w:hideMark/>
          </w:tcPr>
          <w:p w14:paraId="0494A876"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F422E5" w:rsidRPr="00EC3E91" w14:paraId="497156BF" w14:textId="77777777" w:rsidTr="00F422E5">
        <w:trPr>
          <w:trHeight w:val="2235"/>
        </w:trPr>
        <w:tc>
          <w:tcPr>
            <w:tcW w:w="993" w:type="dxa"/>
            <w:tcBorders>
              <w:top w:val="single" w:sz="4" w:space="0" w:color="auto"/>
              <w:left w:val="nil"/>
              <w:bottom w:val="single" w:sz="4" w:space="0" w:color="auto"/>
              <w:right w:val="nil"/>
            </w:tcBorders>
          </w:tcPr>
          <w:p w14:paraId="2644BC9A" w14:textId="35A8FDFA" w:rsidR="00F422E5" w:rsidRPr="00EC3E91" w:rsidRDefault="00D85F9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{"citationItems":[{"id":"ITEM-1","itemData":{"DOI":"10.1097/NUR.0000000000000460","ISSN":"15389782","abstract":"The purpose of this program was to deimplement the use of fecal occult blood tests (FOBTs) for hospitalized patients. Description of the Project/Program We used a multipronged multidisciplinary approach to deimplement the use of FOBT, including physician-nurse collaborations, data-based poster displays, and a review of test utilization and patient cost throughout all facilities. Outcome Despite a downward trend in FOBT orders for hospitalized patients over 3 years, the inappropriate use of FOBT remains a cause of unnecessary delays of diagnostic workups and patient care and excess costs ranging from US $22 000 to $41 000 annually for each hospital. Conclusion Clinical nurse specialists can question the empirical origin and patient outcomes associated with clinical practice and are positioned to assess and champion deimplementation processes.","author":[{"dropping-particle":"","family":"Danesh","given":"Valerie","non-dropping-particle":"","parse-names":false,"suffix":""},{"dropping-particle":"","family":"Gisi","given":"Brittany","non-dropping-particle":"","parse-names":false,"suffix":""},{"dropping-particle":"","family":"Narayan","given":"Maitreyi","non-dropping-particle":"","parse-names":false,"suffix":""},{"dropping-particle":"","family":"Yoder","given":"Linda","non-dropping-particle":"","parse-names":false,"suffix":""},{"dropping-particle":"","family":"Zad","given":"Omid","non-dropping-particle":"","parse-names":false,"suffix":""}],"container-title":"Clinical Nurse Specialist","id":"ITEM-1","issue":"4","issued":{"date-parts":[["2019","7","1"]]},"page":"191-194","publisher":"Lippincott Williams and Wilkins","title":"Fecal Occult Blood Tests: Valuable for Screening, Wasteful for Diagnostics","type":"article-journal","volume":"33"},"uris":["http://www.mendeley.com/documents/?uuid=829d4685-e861-3de4-85ac-ed62738ac218"]}],"mendeley":{"formattedCitation":"(203)","plainTextFormattedCitation":"(203)","previouslyFormattedCitation":"(203)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6042F12"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598E982F"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E712A53" w14:textId="77777777" w:rsidR="00F422E5" w:rsidRPr="00EC3E91" w:rsidRDefault="00F422E5" w:rsidP="00C02742">
            <w:pPr>
              <w:rPr>
                <w:sz w:val="20"/>
                <w:szCs w:val="20"/>
                <w:lang w:val="en-US"/>
              </w:rPr>
            </w:pPr>
            <w:r w:rsidRPr="00EC3E91">
              <w:rPr>
                <w:sz w:val="20"/>
                <w:szCs w:val="20"/>
                <w:lang w:val="en-US"/>
              </w:rPr>
              <w:t xml:space="preserve">Quant Case study </w:t>
            </w:r>
          </w:p>
        </w:tc>
        <w:tc>
          <w:tcPr>
            <w:tcW w:w="851" w:type="dxa"/>
            <w:tcBorders>
              <w:top w:val="single" w:sz="4" w:space="0" w:color="auto"/>
              <w:left w:val="nil"/>
              <w:bottom w:val="single" w:sz="4" w:space="0" w:color="auto"/>
              <w:right w:val="nil"/>
            </w:tcBorders>
            <w:hideMark/>
          </w:tcPr>
          <w:p w14:paraId="66719787"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2ECF0D08"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5833B077" w14:textId="77777777" w:rsidR="00F422E5" w:rsidRPr="00EC3E91" w:rsidRDefault="00F422E5" w:rsidP="00C02742">
            <w:pPr>
              <w:rPr>
                <w:sz w:val="20"/>
                <w:szCs w:val="20"/>
                <w:lang w:val="en-US"/>
              </w:rPr>
            </w:pPr>
            <w:r w:rsidRPr="00EC3E91">
              <w:rPr>
                <w:sz w:val="20"/>
                <w:szCs w:val="20"/>
                <w:lang w:val="en-US"/>
              </w:rPr>
              <w:t>Fecal occult blood tests (FOBTs) for hospitalized patients</w:t>
            </w:r>
          </w:p>
        </w:tc>
        <w:tc>
          <w:tcPr>
            <w:tcW w:w="3970" w:type="dxa"/>
            <w:tcBorders>
              <w:top w:val="single" w:sz="4" w:space="0" w:color="auto"/>
              <w:left w:val="nil"/>
              <w:bottom w:val="single" w:sz="4" w:space="0" w:color="auto"/>
              <w:right w:val="nil"/>
            </w:tcBorders>
            <w:hideMark/>
          </w:tcPr>
          <w:p w14:paraId="5205A6C9"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US Preventive Services Task Force. Screening for colorectal cancer: recommendation and rationale</w:t>
            </w:r>
            <w:r w:rsidRPr="00EC3E91">
              <w:rPr>
                <w:sz w:val="20"/>
                <w:szCs w:val="20"/>
                <w:lang w:val="en-US"/>
              </w:rPr>
              <w:br/>
            </w:r>
            <w:r w:rsidRPr="00EC3E91">
              <w:rPr>
                <w:sz w:val="20"/>
                <w:szCs w:val="20"/>
                <w:lang w:val="en-US"/>
              </w:rPr>
              <w:br/>
              <w:t>Guidelines for colonoscopy surveillance after screening and polypectomy: a consensus update by the US Multi-Society Task Force on Colorectal Cancer.</w:t>
            </w:r>
          </w:p>
        </w:tc>
        <w:tc>
          <w:tcPr>
            <w:tcW w:w="2551" w:type="dxa"/>
            <w:tcBorders>
              <w:top w:val="single" w:sz="4" w:space="0" w:color="auto"/>
              <w:left w:val="nil"/>
              <w:bottom w:val="single" w:sz="4" w:space="0" w:color="auto"/>
              <w:right w:val="nil"/>
            </w:tcBorders>
            <w:hideMark/>
          </w:tcPr>
          <w:p w14:paraId="3DDC59E4" w14:textId="77777777" w:rsidR="00F422E5" w:rsidRPr="00EC3E91" w:rsidRDefault="00F422E5" w:rsidP="00C02742">
            <w:pPr>
              <w:rPr>
                <w:sz w:val="20"/>
                <w:szCs w:val="20"/>
                <w:lang w:val="en-US"/>
              </w:rPr>
            </w:pPr>
            <w:r w:rsidRPr="00EC3E91">
              <w:rPr>
                <w:sz w:val="20"/>
                <w:szCs w:val="20"/>
                <w:lang w:val="en-US"/>
              </w:rPr>
              <w:t xml:space="preserve">develop educational materials, conduct educational outreach visits. Conduct local needs assessment, tailor strategies </w:t>
            </w:r>
          </w:p>
        </w:tc>
      </w:tr>
      <w:tr w:rsidR="00F422E5" w:rsidRPr="00E119DD" w14:paraId="1C8C7437" w14:textId="77777777" w:rsidTr="00F422E5">
        <w:trPr>
          <w:trHeight w:val="2235"/>
        </w:trPr>
        <w:tc>
          <w:tcPr>
            <w:tcW w:w="993" w:type="dxa"/>
            <w:tcBorders>
              <w:top w:val="single" w:sz="4" w:space="0" w:color="auto"/>
              <w:left w:val="nil"/>
              <w:bottom w:val="single" w:sz="4" w:space="0" w:color="auto"/>
              <w:right w:val="nil"/>
            </w:tcBorders>
          </w:tcPr>
          <w:p w14:paraId="1C19ABD7" w14:textId="424A058F" w:rsidR="00F422E5" w:rsidRPr="00EC3E91" w:rsidRDefault="00D85F9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{"citationItems":[{"id":"ITEM-1","itemData":{"ISSN":"2399-6641","abstract":"Inappropriate antibiotic use is a key factor in the emergence of antibiotic resistance. The majority of antibiotics are prescribed in primary care, where upper respiratory tract infection (URTI) is a common presentation. Inappropriate antibiotic prescribing in URTI is common globally and has increased markedly in developing and transitional countries. Antibiotic stewardship is crucial to prevent the emergence and spread of resistant microbes. This project aimed to reduce inappropriate antibiotic prescribing in URTI in a non-governmental organisation's primary care outreach clinics in Kolkata, India, from 62.6% to 30% over 4 months. A multifaceted intervention to reduce inappropriate antibiotic use in non-specific URTI was implemented. This consisted of a repeated process of audit and feedback, interactive training sessions, one-to-one case-based discussion, antibiotic guideline development and coding updates. The primary outcome measure was antibiotic prescribing rates. A baseline audit of all patients presenting with non-specific URTI over 8 weeks in November and December 2016 (n=222) found that 62.6% were prescribed antibiotics. Postintervention audit over 4 weeks in April 2017 (n=69) showed a marked reduction in antibiotic prescribing to 7.2%. An increase in documentation of examination findings was also observed, from 52.7% to 95.6%. This multifaceted intervention was successful at reducing inappropriate antibiotic prescribing, with sustained reductions demonstrated over the 4 months of the project. This suggests that approaches previously used in Europe can successfully be applied to different settings.","author":[{"dropping-particle":"","family":"Dehn Lunn","given":"A","non-dropping-particle":"","parse-names":false,"suffix":""}],"container-title":"BMJ Open Quality","id":"ITEM-1","issue":"4","issued":{"date-parts":[["2018"]]},"language":"English","page":"e000217","publisher-place":"Dehn Lunn, Amy. Calcutta Rescue, Kolkata, India.","title":"Reducing inappropriate antibiotic prescribing in upper respiratory tract infection in a primary care setting in Kolkata, India","type":"article-journal","volume":"7"},"uris":["http://www.mendeley.com/documents/?uuid=0d20f93f-89ab-3a70-9d06-6660250a1a61"]}],"mendeley":{"formattedCitation":"(204)","plainTextFormattedCitation":"(204)","previouslyFormattedCitation":"(204)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FE21167" w14:textId="77777777" w:rsidR="00F422E5" w:rsidRPr="00EC3E91" w:rsidRDefault="00F422E5" w:rsidP="00C02742">
            <w:pPr>
              <w:rPr>
                <w:sz w:val="20"/>
                <w:szCs w:val="20"/>
                <w:lang w:val="en-US"/>
              </w:rPr>
            </w:pPr>
            <w:r w:rsidRPr="00EC3E91">
              <w:rPr>
                <w:sz w:val="20"/>
                <w:szCs w:val="20"/>
                <w:lang w:val="en-US"/>
              </w:rPr>
              <w:t>India</w:t>
            </w:r>
          </w:p>
        </w:tc>
        <w:tc>
          <w:tcPr>
            <w:tcW w:w="993" w:type="dxa"/>
            <w:tcBorders>
              <w:top w:val="single" w:sz="4" w:space="0" w:color="auto"/>
              <w:left w:val="nil"/>
              <w:bottom w:val="single" w:sz="4" w:space="0" w:color="auto"/>
              <w:right w:val="nil"/>
            </w:tcBorders>
            <w:hideMark/>
          </w:tcPr>
          <w:p w14:paraId="3EC25C08"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415180EA"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ECB5AF6"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A6D73ED"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2404F596"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6D4E2E97" w14:textId="06751C5F" w:rsidR="00F422E5" w:rsidRPr="00EC3E91" w:rsidRDefault="00F422E5" w:rsidP="00C02742">
            <w:pPr>
              <w:rPr>
                <w:sz w:val="20"/>
                <w:szCs w:val="20"/>
                <w:lang w:val="en-US"/>
              </w:rPr>
            </w:pPr>
            <w:r w:rsidRPr="00EC3E91">
              <w:rPr>
                <w:sz w:val="20"/>
                <w:szCs w:val="20"/>
                <w:lang w:val="en-US"/>
              </w:rPr>
              <w:t xml:space="preserve">Barton E, Spencer R. URTIs: recommended diagnosis and treatment in general practice. Prescriber </w:t>
            </w:r>
            <w:r w:rsidR="00392607" w:rsidRPr="00EC3E91">
              <w:rPr>
                <w:sz w:val="20"/>
                <w:szCs w:val="20"/>
                <w:lang w:val="en-US"/>
              </w:rPr>
              <w:t>2011; 22:23</w:t>
            </w:r>
            <w:r w:rsidRPr="00EC3E91">
              <w:rPr>
                <w:sz w:val="20"/>
                <w:szCs w:val="20"/>
                <w:lang w:val="en-US"/>
              </w:rPr>
              <w:t xml:space="preserve">–36. 10.1002/psb.743 </w:t>
            </w:r>
          </w:p>
        </w:tc>
        <w:tc>
          <w:tcPr>
            <w:tcW w:w="2551" w:type="dxa"/>
            <w:tcBorders>
              <w:top w:val="single" w:sz="4" w:space="0" w:color="auto"/>
              <w:left w:val="nil"/>
              <w:bottom w:val="single" w:sz="4" w:space="0" w:color="auto"/>
              <w:right w:val="nil"/>
            </w:tcBorders>
            <w:hideMark/>
          </w:tcPr>
          <w:p w14:paraId="6B5E5269" w14:textId="77777777" w:rsidR="00F422E5" w:rsidRPr="00EC3E91" w:rsidRDefault="00F422E5" w:rsidP="00C02742">
            <w:pPr>
              <w:rPr>
                <w:sz w:val="20"/>
                <w:szCs w:val="20"/>
                <w:lang w:val="en-US"/>
              </w:rPr>
            </w:pPr>
            <w:r w:rsidRPr="00EC3E91">
              <w:rPr>
                <w:sz w:val="20"/>
                <w:szCs w:val="20"/>
                <w:lang w:val="en-US"/>
              </w:rPr>
              <w:t xml:space="preserve">audit and provide feedback, make training dynamic, conduct educational outreach, </w:t>
            </w:r>
          </w:p>
        </w:tc>
      </w:tr>
      <w:tr w:rsidR="00F422E5" w:rsidRPr="00E119DD" w14:paraId="6EF6A054" w14:textId="77777777" w:rsidTr="00F422E5">
        <w:trPr>
          <w:trHeight w:val="2235"/>
        </w:trPr>
        <w:tc>
          <w:tcPr>
            <w:tcW w:w="993" w:type="dxa"/>
            <w:tcBorders>
              <w:top w:val="single" w:sz="4" w:space="0" w:color="auto"/>
              <w:left w:val="nil"/>
              <w:bottom w:val="single" w:sz="4" w:space="0" w:color="auto"/>
              <w:right w:val="nil"/>
            </w:tcBorders>
          </w:tcPr>
          <w:p w14:paraId="53533560" w14:textId="4FBB347F" w:rsidR="00F422E5" w:rsidRPr="00EC3E91" w:rsidRDefault="009E1523"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{"citationItems":[{"id":"ITEM-1","itemData":{"DOI":"10.1016/j.ejim.2017.11.002","ISSN":"0953-6205","abstract":"Proton pump inhibitors (PPIs) are indicated for a restricted number of clinical conditions, and their misuse can lead to several adverse effects. Despite that, the proportion of overuse is alarmingly high.\nTo test the efficacy of a multifaceted strategy in order to achieve a significant reduction of new PPI prescriptions at discharge in hospitalized patients.\nMulticenter longitudinal quasi-experimental before-and-after study conducted from July 1st, 2014 to June 30th, 2017.\n44,973 admissions in a network of 5 public teaching hospitals of the Italian-speaking region of Switzerland.\nMultifaceted strategy consisting in a continuous transparent monitoring-benchmarking and in capillary educational interventions applied in the internal medicine departments. To confirm the causality of the results we monitored the trend of new PPI prescriptions in the, not exposed to the intervention, surgery departments of the same hospital network.\nNew PPI prescriptions at hospital discharge.\nOver the 36month study period 44,973 patient files were analyzed. At admission, comparing internal medicine vs. surgery departments, 44.9% vs. 23.3% of patients were already being treated with a PPI. The annual rate of new PPI prescriptions, for internal medicine showed a decreasing trend: 19, 19, 18, 16% in years 2014, 2015, 2016, 2017, respectively (p&lt;0.001, 2014 vs. 2017; p-for-trend &lt;0.001), while an increasing rate was found in the surgery departments in the same years: 30, 29, 36, 36%, respectively (p&lt;0.001, 2014 vs. 2017; p-for-trend &lt;0.001). The case mix was significantly associated with the probability of new PPI prescriptions in both departments (OR1.35, 95% CI 1.26–1.44 for internal medicine and 1.24, 95% CI 1.19–1.30 for surgery).\nThe introduction of a multifaceted intervention significantly reduced the time trend of PPI prescriptions at hospital discharge in internal medicine departments. Further studies are needed to confirm whether the strategy proposed could contribute to optimize the in-hospital drug prescription behavior in other healthcare settings as well.\n•Curbing proton pump inhibitors (PPI) over-prescription represents a challenge to health care providers.•A multifaceted-strategy aimed to optimize PPI prescriptions has been implemented in a hospital network.•A significant sustained reduction in new PPI prescriptions was obtained.•Further studies are needed to confirm the efficacy of the proposed strategy.","author":[{"dropping-particle":"","family":"Giorno","given":"Rosaria","non-dropping-particle":"Del","parse-names":false,"suffix":""},{"dropping-particle":"","family":"Ceschi","given":"Alessandro","non-dropping-particle":"","parse-names":false,"suffix":""},{"dropping-particle":"","family":"Pironi","given":"Michela","non-dropping-particle":"","parse-names":false,"suffix":""},{"dropping-particle":"","family":"Zasa","given":"Anna","non-dropping-particle":"","parse-names":false,"suffix":""},{"dropping-particle":"","family":"Greco","given":"Angela","non-dropping-particle":"","parse-names":false,"suffix":""},{"dropping-particle":"","family":"Gabutti","given":"Luca","non-dropping-particle":"","parse-names":false,"suffix":""}],"container-title":"European journal of internal medicine","id":"ITEM-1","issued":{"date-parts":[["2018"]]},"page":"52-59","publisher":"Elsevier B.V","publisher-place":"Netherlands","title":"Multifaceted intervention to curb in-hospital over-prescription of proton pump inhibitors: A longitudinal multicenter quasi-experimental before-and-after study","type":"article-journal","volume":"50"},"uris":["http://www.mendeley.com/documents/?uuid=c2ab4a05-e1e4-4beb-bf90-542109330b97"]}],"mendeley":{"formattedCitation":"(205)","plainTextFormattedCitation":"(205)","previouslyFormattedCitation":"(205)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A338415" w14:textId="77777777" w:rsidR="00F422E5" w:rsidRPr="00EC3E91" w:rsidRDefault="00F422E5" w:rsidP="00C02742">
            <w:pPr>
              <w:rPr>
                <w:sz w:val="20"/>
                <w:szCs w:val="20"/>
                <w:lang w:val="en-US"/>
              </w:rPr>
            </w:pPr>
            <w:r w:rsidRPr="00EC3E91">
              <w:rPr>
                <w:sz w:val="20"/>
                <w:szCs w:val="20"/>
                <w:lang w:val="en-US"/>
              </w:rPr>
              <w:t>Switzerland</w:t>
            </w:r>
          </w:p>
        </w:tc>
        <w:tc>
          <w:tcPr>
            <w:tcW w:w="993" w:type="dxa"/>
            <w:tcBorders>
              <w:top w:val="single" w:sz="4" w:space="0" w:color="auto"/>
              <w:left w:val="nil"/>
              <w:bottom w:val="single" w:sz="4" w:space="0" w:color="auto"/>
              <w:right w:val="nil"/>
            </w:tcBorders>
            <w:hideMark/>
          </w:tcPr>
          <w:p w14:paraId="655EFC28"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7FC8544"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7D914968"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9BA1477"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02AFF279" w14:textId="77777777" w:rsidR="00F422E5" w:rsidRPr="00EC3E91" w:rsidRDefault="00F422E5" w:rsidP="00C02742">
            <w:pPr>
              <w:rPr>
                <w:sz w:val="20"/>
                <w:szCs w:val="20"/>
                <w:lang w:val="en-US"/>
              </w:rPr>
            </w:pPr>
            <w:r w:rsidRPr="00EC3E91">
              <w:rPr>
                <w:sz w:val="20"/>
                <w:szCs w:val="20"/>
                <w:lang w:val="en-US"/>
              </w:rPr>
              <w:t>Inappropriate PPI prescriptions</w:t>
            </w:r>
          </w:p>
        </w:tc>
        <w:tc>
          <w:tcPr>
            <w:tcW w:w="3970" w:type="dxa"/>
            <w:tcBorders>
              <w:top w:val="single" w:sz="4" w:space="0" w:color="auto"/>
              <w:left w:val="nil"/>
              <w:bottom w:val="single" w:sz="4" w:space="0" w:color="auto"/>
              <w:right w:val="nil"/>
            </w:tcBorders>
            <w:hideMark/>
          </w:tcPr>
          <w:p w14:paraId="32F5CC3F"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P.O. Katz, L.B. Gerson, M.F. Vela. Guidelines for the diagnosis and management of gastroesophageal reflux disease</w:t>
            </w:r>
            <w:r w:rsidRPr="00EC3E91">
              <w:rPr>
                <w:sz w:val="20"/>
                <w:szCs w:val="20"/>
                <w:lang w:val="en-US"/>
              </w:rPr>
              <w:br/>
            </w:r>
            <w:r w:rsidRPr="00EC3E91">
              <w:rPr>
                <w:sz w:val="20"/>
                <w:szCs w:val="20"/>
                <w:lang w:val="en-US"/>
              </w:rPr>
              <w:br/>
              <w:t>Canadian healthcare network. Top 100 drugs</w:t>
            </w:r>
          </w:p>
        </w:tc>
        <w:tc>
          <w:tcPr>
            <w:tcW w:w="2551" w:type="dxa"/>
            <w:tcBorders>
              <w:top w:val="single" w:sz="4" w:space="0" w:color="auto"/>
              <w:left w:val="nil"/>
              <w:bottom w:val="single" w:sz="4" w:space="0" w:color="auto"/>
              <w:right w:val="nil"/>
            </w:tcBorders>
            <w:hideMark/>
          </w:tcPr>
          <w:p w14:paraId="1AA960E3" w14:textId="77777777" w:rsidR="00F422E5" w:rsidRPr="00EC3E91" w:rsidRDefault="00F422E5" w:rsidP="00C02742">
            <w:pPr>
              <w:rPr>
                <w:sz w:val="20"/>
                <w:szCs w:val="20"/>
                <w:lang w:val="en-US"/>
              </w:rPr>
            </w:pPr>
            <w:r w:rsidRPr="00EC3E91">
              <w:rPr>
                <w:sz w:val="20"/>
                <w:szCs w:val="20"/>
                <w:lang w:val="en-US"/>
              </w:rPr>
              <w:t xml:space="preserve">conduct educational meeting, develop educational materials, audit and provide feedback, </w:t>
            </w:r>
          </w:p>
        </w:tc>
      </w:tr>
      <w:tr w:rsidR="00F422E5" w:rsidRPr="00E119DD" w14:paraId="474A1BF8" w14:textId="77777777" w:rsidTr="00F422E5">
        <w:trPr>
          <w:trHeight w:val="2235"/>
        </w:trPr>
        <w:tc>
          <w:tcPr>
            <w:tcW w:w="993" w:type="dxa"/>
            <w:tcBorders>
              <w:top w:val="single" w:sz="4" w:space="0" w:color="auto"/>
              <w:left w:val="nil"/>
              <w:bottom w:val="single" w:sz="4" w:space="0" w:color="auto"/>
              <w:right w:val="nil"/>
            </w:tcBorders>
          </w:tcPr>
          <w:p w14:paraId="0671BBBE" w14:textId="70A559AD" w:rsidR="00F422E5" w:rsidRPr="00EC3E91" w:rsidRDefault="001439CE"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{"citationItems":[{"id":"ITEM-1","itemData":{"DOI":"10.1080/00325481.2018.1504594","ISSN":"0032-5481","abstract":"Objectives: Reducing the inappropriate benzodiazepine (BZD) prescriptions represents a challenge for health care systems worldwide. The 'Choosing Wisely' campaign recommends against the use of BZD in the elderly as the first choice for insomnia, agitation, or delirium. We aimed to determine whether a transparent monitoring-benchmarking together with educational interventions, on top of the internal publication of a targeted recommendation, could be effective in curbing BZD prescriptions.\nMethods: Multicenter before and after study in a network of five southern-Switzerland teaching hospitals. An intervention based on a transparent continuous monitoring-benchmarking system, called 'Reporting Wisely', able to collect, analyze, and report data on BZD prescriptions and educational interventions focused on themed meetings, audit, and feedback, was implemented. The intervention was limited to the Internal Medicine. The impact of the intervention on new BZD prescriptions and de-prescribing at hospital discharge, was assessed using segmented regression analyses of interrupted time-series and comparing Internal Medicine to Surgery.\nResults: Between July 1\nst\n2014, and June 30\nth\n2017, data of 45,597 hospital admissions, from Internal Medicine and Surgery departments were analyzed. Before the intervention (July 1\nst\n2014 to December 31\nst\n2015), the mean monthly new BZD prescription rate was 7.2%; value dropping to 5.5% (24% relative reduction; p &lt; 0.001) in the intervention phase (January 1\nst\n2016 to June 30\nth\n2017). At the end of the intervention a 15% relative increase of BZD de-prescribing was also found (p &lt; 0.01). The use of atypical antipsychotic (AAP) and other potentially harmful sedative drugs did not increase. In the surgery department, exposed to the recommendation but not to the intervention, a constant upward trend with a slope of 0.129 new prescriptions per 100 admissions per month (95% CI 0.08-0.17; p &lt; 0.001) was seen.\nConclusions: The implementation of a dual intervention based on transparent monitoring-benchmarking and multidisciplinary education has proved useful in curbing new BZD prescriptions and in promoting BZD de-prescribing in the hospital setting.","author":[{"dropping-particle":"","family":"Giorno","given":"Rosaria","non-dropping-particle":"Del","parse-names":false,"suffix":""},{"dropping-particle":"","family":"Greco","given":"Angela","non-dropping-particle":"","parse-names":false,"suffix":""},{"dropping-particle":"","family":"Zasa","given":"Anna","non-dropping-particle":"","parse-names":false,"suffix":""},{"dropping-particle":"","family":"Clivio","given":"Luca","non-dropping-particle":"","parse-names":false,"suffix":""},{"dropping-particle":"","family":"Pironi","given":"Michela","non-dropping-particle":"","parse-names":false,"suffix":""},{"dropping-particle":"","family":"Ceschi","given":"Alessandro","non-dropping-particle":"","parse-names":false,"suffix":""},{"dropping-particle":"","family":"Gabutti","given":"Luca","non-dropping-particle":"","parse-names":false,"suffix":""}],"container-title":"Postgraduate medicine","id":"ITEM-1","issue":"7","issued":{"date-parts":[["2018"]]},"page":"627-636","publisher":"Taylor &amp; Francis","publisher-place":"England","title":"Combining prescription monitoring, benchmarking, and educational interventions to reduce benzodiazepine prescriptions among internal medicine inpatients; a multicenter before and after study in a network of Swiss Public Hospitals","type":"article-journal","volume":"130"},"uris":["http://www.mendeley.com/documents/?uuid=aed5a635-12e7-4e4b-b494-3d35e2201b2c"]}],"mendeley":{"formattedCitation":"(206)","plainTextFormattedCitation":"(206)","previouslyFormattedCitation":"(206)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43C1A00" w14:textId="77777777" w:rsidR="00F422E5" w:rsidRPr="00EC3E91" w:rsidRDefault="00F422E5" w:rsidP="00C02742">
            <w:pPr>
              <w:rPr>
                <w:sz w:val="20"/>
                <w:szCs w:val="20"/>
                <w:lang w:val="en-US"/>
              </w:rPr>
            </w:pPr>
            <w:r w:rsidRPr="00EC3E91">
              <w:rPr>
                <w:sz w:val="20"/>
                <w:szCs w:val="20"/>
                <w:lang w:val="en-US"/>
              </w:rPr>
              <w:t>Switzerland</w:t>
            </w:r>
          </w:p>
        </w:tc>
        <w:tc>
          <w:tcPr>
            <w:tcW w:w="993" w:type="dxa"/>
            <w:tcBorders>
              <w:top w:val="single" w:sz="4" w:space="0" w:color="auto"/>
              <w:left w:val="nil"/>
              <w:bottom w:val="single" w:sz="4" w:space="0" w:color="auto"/>
              <w:right w:val="nil"/>
            </w:tcBorders>
            <w:hideMark/>
          </w:tcPr>
          <w:p w14:paraId="20BE51C3"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0535E9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595F810B"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3FE66ED1"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06363061" w14:textId="77777777" w:rsidR="00F422E5" w:rsidRPr="00EC3E91" w:rsidRDefault="00F422E5" w:rsidP="00C02742">
            <w:pPr>
              <w:rPr>
                <w:sz w:val="20"/>
                <w:szCs w:val="20"/>
                <w:lang w:val="en-US"/>
              </w:rPr>
            </w:pPr>
            <w:r w:rsidRPr="00EC3E91">
              <w:rPr>
                <w:sz w:val="20"/>
                <w:szCs w:val="20"/>
                <w:lang w:val="en-US"/>
              </w:rPr>
              <w:t>Inappropriate prescribing of Benzodiazepines</w:t>
            </w:r>
          </w:p>
        </w:tc>
        <w:tc>
          <w:tcPr>
            <w:tcW w:w="3970" w:type="dxa"/>
            <w:tcBorders>
              <w:top w:val="single" w:sz="4" w:space="0" w:color="auto"/>
              <w:left w:val="nil"/>
              <w:bottom w:val="single" w:sz="4" w:space="0" w:color="auto"/>
              <w:right w:val="nil"/>
            </w:tcBorders>
            <w:hideMark/>
          </w:tcPr>
          <w:p w14:paraId="67EAB4A8" w14:textId="77777777" w:rsidR="00F422E5" w:rsidRPr="00EC3E91" w:rsidRDefault="00F422E5" w:rsidP="00C02742">
            <w:pPr>
              <w:rPr>
                <w:sz w:val="20"/>
                <w:szCs w:val="20"/>
                <w:lang w:val="en-US"/>
              </w:rPr>
            </w:pPr>
            <w:r w:rsidRPr="00EC3E91">
              <w:rPr>
                <w:sz w:val="20"/>
                <w:szCs w:val="20"/>
                <w:lang w:val="en-US"/>
              </w:rPr>
              <w:t>Smarter medicine: la liste «Top 5» pour le secteur hospitalier. [Guidelines by Swiss Society of General Internal Medicine that builds on Choosing Wisely campaign]</w:t>
            </w:r>
          </w:p>
        </w:tc>
        <w:tc>
          <w:tcPr>
            <w:tcW w:w="2551" w:type="dxa"/>
            <w:tcBorders>
              <w:top w:val="single" w:sz="4" w:space="0" w:color="auto"/>
              <w:left w:val="nil"/>
              <w:bottom w:val="single" w:sz="4" w:space="0" w:color="auto"/>
              <w:right w:val="nil"/>
            </w:tcBorders>
            <w:hideMark/>
          </w:tcPr>
          <w:p w14:paraId="32216C72" w14:textId="77777777" w:rsidR="00F422E5" w:rsidRPr="00EC3E91" w:rsidRDefault="00F422E5" w:rsidP="00C02742">
            <w:pPr>
              <w:rPr>
                <w:sz w:val="20"/>
                <w:szCs w:val="20"/>
                <w:lang w:val="en-US"/>
              </w:rPr>
            </w:pPr>
            <w:r w:rsidRPr="00EC3E91">
              <w:rPr>
                <w:sz w:val="20"/>
                <w:szCs w:val="20"/>
                <w:lang w:val="en-US"/>
              </w:rPr>
              <w:t>conduct educational meeting, audit and provide feedback, remind clinicians, develop educational materials</w:t>
            </w:r>
          </w:p>
        </w:tc>
      </w:tr>
      <w:tr w:rsidR="00F422E5" w:rsidRPr="00E119DD" w14:paraId="67780FC4" w14:textId="77777777" w:rsidTr="00F422E5">
        <w:trPr>
          <w:trHeight w:val="2235"/>
        </w:trPr>
        <w:tc>
          <w:tcPr>
            <w:tcW w:w="993" w:type="dxa"/>
            <w:tcBorders>
              <w:top w:val="single" w:sz="4" w:space="0" w:color="auto"/>
              <w:left w:val="nil"/>
              <w:bottom w:val="single" w:sz="4" w:space="0" w:color="auto"/>
              <w:right w:val="nil"/>
            </w:tcBorders>
          </w:tcPr>
          <w:p w14:paraId="011FC8AC" w14:textId="1629B116" w:rsidR="00F422E5" w:rsidRPr="00EC3E91" w:rsidRDefault="003F177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{"citationItems":[{"id":"ITEM-1","itemData":{"ISSN":"0961-7671","abstract":"Objectives With 70% of care home residents experiencing a medication error every day in the UK, better multi-professional working between medical practitioners, pharmacists and care homes was recommended. The aim of this study was to determine the effectiveness (falls reduction) and cost-effectiveness, of a multi-professional medication review (MPMR) service in care homes for older people. Method A total of care homes in the East of England were cluster randomised to 'usual care' or two multi-professional (General practitioner, clinical pharmacist and care homes staff) medication reviews during the 12-month trial period. Target recruitment was 900 residents with 10% assumed loss to follow-up. Co-primary outcome measures were number of falls and potentially inappropriate prescribing assessed by the Screening Tool of Older Persons Prescriptions. Key findings A total of 826 care home residents were recruited with 324 lost to follow-up for at least one primary outcome measure. The mean number of falls per resident per annum was 3.3 for intervention and 3.0 for control (P = 0.947). Each resident was found to be prescribed 0.69 (intervention) and 0.85 (control) potentially inappropriate medicines after 12 months (P = 0.046). No significant difference identified in emergency hospital admissions or deaths. Estimated unadjusted incremental mean cost per resident was 374.26 pound higher in the intervention group. Conclusions In line with other medication review based interventions in care homes, two MPMRs improved medication appropriateness but failed to demonstrate improvements in clinical outcomes. From a health system perspective costs where estimated to increase overall and therefore a different model of medicines management is required.","author":[{"dropping-particle":"","family":"Desborough","given":"J A","non-dropping-particle":"","parse-names":false,"suffix":""},{"dropping-particle":"","family":"Clark","given":"A","non-dropping-particle":"","parse-names":false,"suffix":""},{"dropping-particle":"","family":"Houghton","given":"J","non-dropping-particle":"","parse-names":false,"suffix":""},{"dropping-particle":"","family":"Sach","given":"T","non-dropping-particle":"","parse-names":false,"suffix":""},{"dropping-particle":"","family":"Shaw","given":"V","non-dropping-particle":"","parse-names":false,"suffix":""},{"dropping-particle":"","family":"Kirthisingha","given":"V","non-dropping-particle":"","parse-names":false,"suffix":""},{"dropping-particle":"","family":"Holland","given":"R C","non-dropping-particle":"","parse-names":false,"suffix":""},{"dropping-particle":"","family":"Wright","given":"D J","non-dropping-particle":"","parse-names":false,"suffix":""}],"container-title":"International Journal of Pharmacy Practice","id":"ITEM-1","issue":"6","issued":{"date-parts":[["2020"]]},"page":"626-634","title":"Clinical and cost effectiveness of a multi-professional medication reviews in care homes (CAREMED)","type":"article-journal","volume":"28"},"uris":["http://www.mendeley.com/documents/?uuid=ca276ea1-44e8-392f-bb8e-7bad01edfbed"]}],"mendeley":{"formattedCitation":"(207)","plainTextFormattedCitation":"(207)","previouslyFormattedCitation":"(207)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B621E37" w14:textId="77777777" w:rsidR="00F422E5" w:rsidRPr="00EC3E91" w:rsidRDefault="00F422E5" w:rsidP="00C02742">
            <w:pPr>
              <w:rPr>
                <w:sz w:val="20"/>
                <w:szCs w:val="20"/>
                <w:lang w:val="en-US"/>
              </w:rPr>
            </w:pPr>
            <w:r w:rsidRPr="00EC3E91">
              <w:rPr>
                <w:sz w:val="20"/>
                <w:szCs w:val="20"/>
                <w:lang w:val="en-US"/>
              </w:rPr>
              <w:t>United Kingdom</w:t>
            </w:r>
          </w:p>
        </w:tc>
        <w:tc>
          <w:tcPr>
            <w:tcW w:w="993" w:type="dxa"/>
            <w:tcBorders>
              <w:top w:val="single" w:sz="4" w:space="0" w:color="auto"/>
              <w:left w:val="nil"/>
              <w:bottom w:val="single" w:sz="4" w:space="0" w:color="auto"/>
              <w:right w:val="nil"/>
            </w:tcBorders>
            <w:hideMark/>
          </w:tcPr>
          <w:p w14:paraId="3E2DF282"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03BD31F5"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0C32377C"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7D873B5A"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7FCEB73"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CE16914"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7E88F6FC" w14:textId="4A3C2B32" w:rsidR="00F422E5" w:rsidRPr="00EC3E91" w:rsidRDefault="00CC4687" w:rsidP="00C02742">
            <w:pPr>
              <w:rPr>
                <w:sz w:val="20"/>
                <w:szCs w:val="20"/>
                <w:lang w:val="en-US"/>
              </w:rPr>
            </w:pPr>
            <w:r w:rsidRPr="00EC3E91">
              <w:rPr>
                <w:sz w:val="20"/>
                <w:szCs w:val="20"/>
                <w:lang w:val="en-US"/>
              </w:rPr>
              <w:t>develop</w:t>
            </w:r>
            <w:r w:rsidR="00F422E5" w:rsidRPr="00EC3E91">
              <w:rPr>
                <w:sz w:val="20"/>
                <w:szCs w:val="20"/>
                <w:lang w:val="en-US"/>
              </w:rPr>
              <w:t xml:space="preserve"> and organize quality monitoring systems </w:t>
            </w:r>
          </w:p>
        </w:tc>
      </w:tr>
      <w:tr w:rsidR="00F422E5" w:rsidRPr="00E119DD" w14:paraId="02AABD98" w14:textId="77777777" w:rsidTr="00F422E5">
        <w:trPr>
          <w:trHeight w:val="2235"/>
        </w:trPr>
        <w:tc>
          <w:tcPr>
            <w:tcW w:w="993" w:type="dxa"/>
            <w:tcBorders>
              <w:top w:val="single" w:sz="4" w:space="0" w:color="auto"/>
              <w:left w:val="nil"/>
              <w:bottom w:val="single" w:sz="4" w:space="0" w:color="auto"/>
              <w:right w:val="nil"/>
            </w:tcBorders>
          </w:tcPr>
          <w:p w14:paraId="0401B38A" w14:textId="01C8EA79" w:rsidR="00F422E5" w:rsidRPr="00EC3E91" w:rsidRDefault="00426C8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{"citationItems":[{"id":"ITEM-1","itemData":{"DOI":"10.1017/cem.2020.374","ISSN":"14818043","PMID":"32484150","abstract":"Objective Despite strong evidence recommending supportive care as the mainstay of management for most infants with bronchiolitis, prior studies show that patients still receive low-value care (e.g., respiratory viral testing, salbutamol, chest radiography). Our objective was to decrease low-value care by delivering individual physician reports, in addition to group-facilitated feedback sessions to pediatric emergency physicians.Methods Our cohort included 3,883 patients ≤ 12 months old who presented to pediatric emergency departments in Calgary, Alberta, with a diagnosis of bronchiolitis from April 1, 2013, to April 30, 2018. Using administrative data, we captured baseline characteristics and therapeutic interventions. Consenting pediatric emergency physicians received two audit and feedback reports, which included their individual data and peer comparators. A multidisciplinary group-facilitated feedback session presented data and identified barriers and enablers of reducing low-value care. The primary outcome was the proportion of patients who received any low-value intervention and was analysed using statistical process control charts.Results Seventy-eight percent of emergency physicians consented to receive their audit and feedback reports. Patient characteristics were similar in the baseline and intervention period. Following the baseline physician reports and the group feedback session, low-value care decreased from 42.6% to 27.1% (absolute difference: -15.5%; 95% CI: -19.8% to -11.2%) and 78.9% to 64.4% (absolute difference: -14.5%; 95% CI: -21.9% to -7.2%) in patients who were not admitted and admitted, respectively. Balancing measures, such as intensive care unit admission and emergency department revisit, were unchanged.Conclusion The combination of audit and feedback and a group-facilitated feedback session reduced low-value care for patients with bronchiolitis.","author":[{"dropping-particle":"","family":"Dowling","given":"Shawn K.","non-dropping-particle":"","parse-names":false,"suffix":""},{"dropping-particle":"","family":"Gjata","given":"Inelda","non-dropping-particle":"","parse-names":false,"suffix":""},{"dropping-particle":"","family":"Solbak","given":"Nathan M.","non-dropping-particle":"","parse-names":false,"suffix":""},{"dropping-particle":"","family":"Weaver","given":"Colin G.W.","non-dropping-particle":"","parse-names":false,"suffix":""},{"dropping-particle":"","family":"Smart","given":"Katharine","non-dropping-particle":"","parse-names":false,"suffix":""},{"dropping-particle":"","family":"Buna","given":"Robyn","non-dropping-particle":"","parse-names":false,"suffix":""},{"dropping-particle":"","family":"Stang","given":"Antonia S.","non-dropping-particle":"","parse-names":false,"suffix":""}],"container-title":"Canadian Journal of Emergency Medicine","id":"ITEM-1","issue":"5","issued":{"date-parts":[["2020","9","1"]]},"page":"678-686","publisher":"Cambridge University Press","title":"Group-facilitated audit and feedback to improve bronchiolitis care in the emergency department","type":"article-journal","volume":"22"},"uris":["http://www.mendeley.com/documents/?uuid=156a5bf2-2a14-3fd9-86c5-434fa6feab2f"]}],"mendeley":{"formattedCitation":"(208)","plainTextFormattedCitation":"(208)","previouslyFormattedCitation":"(208)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05166BC"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5DDF1D93"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37E841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79E519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FAC71D5" w14:textId="77777777" w:rsidR="00F422E5" w:rsidRPr="00EC3E91" w:rsidRDefault="00F422E5" w:rsidP="00C02742">
            <w:pPr>
              <w:rPr>
                <w:sz w:val="20"/>
                <w:szCs w:val="20"/>
                <w:vertAlign w:val="superscript"/>
                <w:lang w:val="en-US"/>
              </w:rPr>
            </w:pPr>
            <w:r w:rsidRPr="00EC3E91">
              <w:rPr>
                <w:sz w:val="20"/>
                <w:szCs w:val="20"/>
                <w:lang w:val="en-US"/>
              </w:rPr>
              <w:t>Imaging, Lab tests, 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2597D4C4" w14:textId="77777777" w:rsidR="00F422E5" w:rsidRPr="00EC3E91" w:rsidRDefault="00F422E5" w:rsidP="00C02742">
            <w:pPr>
              <w:rPr>
                <w:sz w:val="20"/>
                <w:szCs w:val="20"/>
                <w:lang w:val="en-US"/>
              </w:rPr>
            </w:pPr>
            <w:r w:rsidRPr="00EC3E91">
              <w:rPr>
                <w:sz w:val="20"/>
                <w:szCs w:val="20"/>
                <w:lang w:val="en-US"/>
              </w:rPr>
              <w:t>Low-value bronchiolitis management practices</w:t>
            </w:r>
          </w:p>
        </w:tc>
        <w:tc>
          <w:tcPr>
            <w:tcW w:w="3970" w:type="dxa"/>
            <w:tcBorders>
              <w:top w:val="single" w:sz="4" w:space="0" w:color="auto"/>
              <w:left w:val="nil"/>
              <w:bottom w:val="single" w:sz="4" w:space="0" w:color="auto"/>
              <w:right w:val="nil"/>
            </w:tcBorders>
            <w:hideMark/>
          </w:tcPr>
          <w:p w14:paraId="4CCA3B9E" w14:textId="77777777" w:rsidR="00F422E5" w:rsidRPr="00EC3E91" w:rsidRDefault="00F422E5" w:rsidP="00C02742">
            <w:pPr>
              <w:rPr>
                <w:sz w:val="20"/>
                <w:szCs w:val="20"/>
                <w:lang w:val="en-US"/>
              </w:rPr>
            </w:pPr>
            <w:r w:rsidRPr="00EC3E91">
              <w:rPr>
                <w:sz w:val="20"/>
                <w:szCs w:val="20"/>
                <w:lang w:val="en-US"/>
              </w:rPr>
              <w:t>Clinical practice guideline: the diagnosis, management, and prevention of bronchiolitis; American Academy of Pediatrics guidelines</w:t>
            </w:r>
          </w:p>
        </w:tc>
        <w:tc>
          <w:tcPr>
            <w:tcW w:w="2551" w:type="dxa"/>
            <w:tcBorders>
              <w:top w:val="single" w:sz="4" w:space="0" w:color="auto"/>
              <w:left w:val="nil"/>
              <w:bottom w:val="single" w:sz="4" w:space="0" w:color="auto"/>
              <w:right w:val="nil"/>
            </w:tcBorders>
            <w:hideMark/>
          </w:tcPr>
          <w:p w14:paraId="055E0321" w14:textId="77777777" w:rsidR="00F422E5" w:rsidRPr="00EC3E91" w:rsidRDefault="00F422E5" w:rsidP="00C02742">
            <w:pPr>
              <w:rPr>
                <w:sz w:val="20"/>
                <w:szCs w:val="20"/>
                <w:lang w:val="en-US"/>
              </w:rPr>
            </w:pPr>
            <w:r w:rsidRPr="00EC3E91">
              <w:rPr>
                <w:sz w:val="20"/>
                <w:szCs w:val="20"/>
                <w:lang w:val="en-US"/>
              </w:rPr>
              <w:t xml:space="preserve">audit and provide feedback, develop educational materials, make training dynamic, obtain formal commitment </w:t>
            </w:r>
          </w:p>
        </w:tc>
      </w:tr>
      <w:tr w:rsidR="00F422E5" w:rsidRPr="00E119DD" w14:paraId="181B8FCC" w14:textId="77777777" w:rsidTr="00F422E5">
        <w:trPr>
          <w:trHeight w:val="2235"/>
        </w:trPr>
        <w:tc>
          <w:tcPr>
            <w:tcW w:w="993" w:type="dxa"/>
            <w:tcBorders>
              <w:top w:val="single" w:sz="4" w:space="0" w:color="auto"/>
              <w:left w:val="nil"/>
              <w:bottom w:val="single" w:sz="4" w:space="0" w:color="auto"/>
              <w:right w:val="nil"/>
            </w:tcBorders>
          </w:tcPr>
          <w:p w14:paraId="6B3810F6" w14:textId="21E216C7" w:rsidR="00F422E5" w:rsidRPr="00EC3E91" w:rsidRDefault="00D27286"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{"citationItems":[{"id":"ITEM-1","itemData":{"DOI":"10.32481/djph.2019.05.009","ISSN":"2639-6378","abstract":"OBJECTIVE: To implement a collaborative statewide antibiotic stewardship initiative in both the ambulatory and inpatient settings. METHODS: Five participating Delaware health systems each convened internal team(s) to translate the vision set forth by the eBrightHealth LLC Choosing Wisely Work Group into clinical action through process improvement efforts at their institutions. The teams focused on implementing antibiotic time-outs, and on improving antibiotic prescribing for upper respiratory infections in ambulatory settings. The learning network utilized an \"all teach, all learn\" methodology via monthly conference calls and quarterly face-to-face meetings. RESULTS: All inpatient teams implemented antibiotic time-outs for at least 1 unit. Other interventions included commitment posters; submitting antibiotic utilization data nationally; provider/patient surveys; local stewardship champions; and provider prescribing data feedback. Barriers to implementation included competing priorities, lack of reliable utilization data, and suboptimal provider engagement. Overall antibiotic utilization decreased by 9%, compared to the pre-intervention period. CONCLUSIONS: This initiative has demonstrated the value of multidisciplinary teams, from varying healthcare systems, coming together to work on a single project. While each team's interventions and specific goals differed slightly, all teams implemented new initiatives to promote appropriate use of antibiotics. POLICY IMPLICATIONS: Antibiotic stewardship is a national priority. Acute care hospitals are required to have antibiotic stewardship programs; similar programs are proposed for ambulatory settings.","author":[{"dropping-particle":"","family":"Drees","given":"Marci","non-dropping-particle":"","parse-names":false,"suffix":""},{"dropping-particle":"","family":"Fischer","given":"Kimberly","non-dropping-particle":"","parse-names":false,"suffix":""},{"dropping-particle":"","family":"Consiglio-Ward","given":"Loretta","non-dropping-particle":"","parse-names":false,"suffix":""},{"dropping-particle":"","family":"Caruano","given":"Janelle","non-dropping-particle":"","parse-names":false,"suffix":""},{"dropping-particle":"","family":"BCIDP","given":"","non-dropping-particle":"","parse-names":false,"suffix":""},{"dropping-particle":"","family":"Chan","given":"Shannon","non-dropping-particle":"","parse-names":false,"suffix":""},{"dropping-particle":"","family":"Chasanov","given":"William","non-dropping-particle":"","parse-names":false,"suffix":""},{"dropping-particle":"","family":"Jones","given":"Jami","non-dropping-particle":"","parse-names":false,"suffix":""},{"dropping-particle":"","family":"Kashmanian","given":"Alexander","non-dropping-particle":"","parse-names":false,"suffix":""},{"dropping-particle":"","family":"BCIDP","given":"","non-dropping-particle":"","parse-names":false,"suffix":""},{"dropping-particle":"","family":"Laude","given":"Jillian D","non-dropping-particle":"","parse-names":false,"suffix":""},{"dropping-particle":"","family":"Harrington","given":"Nicole","non-dropping-particle":"","parse-names":false,"suffix":""},{"dropping-particle":"","family":"Aq-Id","given":"Bcps","non-dropping-particle":"","parse-names":false,"suffix":""},{"dropping-particle":"","family":"Richardson","given":"Elizabeth A","non-dropping-particle":"","parse-names":false,"suffix":""},{"dropping-particle":"","family":"Zomorrodi","given":"Arezoo","non-dropping-particle":"","parse-names":false,"suffix":""},{"dropping-particle":"","family":"Dressler","given":"Robert","non-dropping-particle":"","parse-names":false,"suffix":""}],"container-title":"Delaware journal of public health","id":"ITEM-1","issue":"2","issued":{"date-parts":[["2019","5","28"]]},"language":"eng","page":"50-58","publisher":"Delaware Academy of Medicine / Delaware Public Health Association","title":"Statewide Antibiotic Stewardship: : An eBrightHealth Choosing Wisely Initiative","type":"article-journal","volume":"5"},"uris":["http://www.mendeley.com/documents/?uuid=9f31dc3f-cfff-4e5e-b338-7dcfafe11f42"]}],"mendeley":{"formattedCitation":"(209)","plainTextFormattedCitation":"(209)","previouslyFormattedCitation":"(209)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(209)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0EF95AB"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24DAC0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8CE038D"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726B251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37AE0A3"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6C089BAA" w14:textId="77777777" w:rsidR="00F422E5" w:rsidRPr="00EC3E91" w:rsidRDefault="00F422E5" w:rsidP="00C02742">
            <w:pPr>
              <w:rPr>
                <w:sz w:val="20"/>
                <w:szCs w:val="20"/>
                <w:lang w:val="en-US"/>
              </w:rPr>
            </w:pPr>
            <w:r w:rsidRPr="00EC3E91">
              <w:rPr>
                <w:sz w:val="20"/>
                <w:szCs w:val="20"/>
                <w:lang w:val="en-US"/>
              </w:rPr>
              <w:t>Inappropriate prescribing of antibiotics</w:t>
            </w:r>
          </w:p>
        </w:tc>
        <w:tc>
          <w:tcPr>
            <w:tcW w:w="3970" w:type="dxa"/>
            <w:tcBorders>
              <w:top w:val="single" w:sz="4" w:space="0" w:color="auto"/>
              <w:left w:val="nil"/>
              <w:bottom w:val="single" w:sz="4" w:space="0" w:color="auto"/>
              <w:right w:val="nil"/>
            </w:tcBorders>
            <w:hideMark/>
          </w:tcPr>
          <w:p w14:paraId="2148A96B"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Centers for Disease Control and Prevention (CDC). Be Antibiotics Aware: Smart Use, Best Care.</w:t>
            </w:r>
          </w:p>
        </w:tc>
        <w:tc>
          <w:tcPr>
            <w:tcW w:w="2551" w:type="dxa"/>
            <w:tcBorders>
              <w:top w:val="single" w:sz="4" w:space="0" w:color="auto"/>
              <w:left w:val="nil"/>
              <w:bottom w:val="single" w:sz="4" w:space="0" w:color="auto"/>
              <w:right w:val="nil"/>
            </w:tcBorders>
            <w:hideMark/>
          </w:tcPr>
          <w:p w14:paraId="7B982DA2" w14:textId="4118EC0D" w:rsidR="00F422E5" w:rsidRPr="00EC3E91" w:rsidRDefault="00F422E5" w:rsidP="00C02742">
            <w:pPr>
              <w:rPr>
                <w:sz w:val="20"/>
                <w:szCs w:val="20"/>
                <w:lang w:val="en-US"/>
              </w:rPr>
            </w:pPr>
            <w:r w:rsidRPr="00EC3E91">
              <w:rPr>
                <w:sz w:val="20"/>
                <w:szCs w:val="20"/>
                <w:lang w:val="en-US"/>
              </w:rPr>
              <w:t xml:space="preserve">develop and organize </w:t>
            </w:r>
            <w:r w:rsidR="00CC4687" w:rsidRPr="00EC3E91">
              <w:rPr>
                <w:sz w:val="20"/>
                <w:szCs w:val="20"/>
                <w:lang w:val="en-US"/>
              </w:rPr>
              <w:t>quality</w:t>
            </w:r>
            <w:r w:rsidRPr="00EC3E91">
              <w:rPr>
                <w:sz w:val="20"/>
                <w:szCs w:val="20"/>
                <w:lang w:val="en-US"/>
              </w:rPr>
              <w:t xml:space="preserve"> monitoring system, assess and redesign workflow, develop educational materials, conduct educational meeting, identify and prepare champions, make training dynamic, remind clinicians, obtain formal commitment, audit and provide feedback, conduct educational outreach visits, change physical structure and equipment. Assess readiness and identify barriers and facilitators, conduct local needs assessment.</w:t>
            </w:r>
          </w:p>
        </w:tc>
      </w:tr>
      <w:tr w:rsidR="00F422E5" w:rsidRPr="00E119DD" w14:paraId="2685D20C" w14:textId="77777777" w:rsidTr="00F422E5">
        <w:trPr>
          <w:trHeight w:val="2235"/>
        </w:trPr>
        <w:tc>
          <w:tcPr>
            <w:tcW w:w="993" w:type="dxa"/>
            <w:tcBorders>
              <w:top w:val="single" w:sz="4" w:space="0" w:color="auto"/>
              <w:left w:val="nil"/>
              <w:bottom w:val="single" w:sz="4" w:space="0" w:color="auto"/>
              <w:right w:val="nil"/>
            </w:tcBorders>
          </w:tcPr>
          <w:p w14:paraId="746846F8" w14:textId="55BE2FCC" w:rsidR="00F422E5" w:rsidRPr="00EC3E91" w:rsidRDefault="001D6BAE"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{"citationItems":[{"id":"ITEM-1","itemData":{"DOI":"https://doi.org/10.12788/jhm.2933","ISSN":"1553-5592","abstract":"BACKGROUND Unnecessary telemetry monitoring contributes to healthcare waste. OBJECTIVE To evaluate the impact of 2 interventions to reduce telemetry utilization. DESIGN, SETTING, AND PATIENTS A 2-group retrospective, observational pre- to postintervention study of F35,871 nonintensive care unit (ICU) patients admitted to 1 academic medical center. INTERVENTION On the hospitalist service, we implemented a telemetry reduction intervention including education, process change, routine feedback, and a financial incentive between January 2015 and June 2015. In July 2015, a system-wide change to the telemetry ordering process was introduced. MEASUREMENTS The primary outcome was telemetry utilization, measured as the percentage of daily room charges for telemetry. Secondary outcomes were mortality, escalation of care, code event rate, and appropriateness of telemetry utilization. Generalized linear models were used to evaluate changes in outcomes while adjusting for patient factors. RESULTS Among hospitalist service patients, telemetry utilization was reduced by 69% (95% confidence interval [CI], -72% to -64%; P &lt; .001), whereas on other services the reduction was a less marked 22% (95% CI, -27% to -16%; P &lt; .001). There were no significant increases in mortality, code event rates, or care escalation, and there was a trend toward improved utilization appropriateness. CONCLUSION Although electronic telemetry ordering changes can produce decreases in hospital-wide telemetry monitoring, a multifaceted intervention may lead to an even larger decline in utilization rates. Whether these changes are durable cannot be ascertained from our study.","author":[{"dropping-particle":"","family":"Edholm","given":"Karli","non-dropping-particle":"","parse-names":false,"suffix":""},{"dropping-particle":"","family":"Kukhareva","given":"Polina","non-dropping-particle":"","parse-names":false,"suffix":""},{"dropping-particle":"","family":"Ciarkowski","given":"Claire","non-dropping-particle":"","parse-names":false,"suffix":""},{"dropping-particle":"","family":"Carr","given":"Jason","non-dropping-particle":"","parse-names":false,"suffix":""},{"dropping-particle":"","family":"Gill","given":"David","non-dropping-particle":"","parse-names":false,"suffix":""},{"dropping-particle":"","family":"Rupp","given":"Austin","non-dropping-particle":"","parse-names":false,"suffix":""},{"dropping-particle":"","family":"Morshedzadeh","given":"Jack","non-dropping-particle":"","parse-names":false,"suffix":""},{"dropping-particle":"","family":"Wanner","given":"Nathan","non-dropping-particle":"","parse-names":false,"suffix":""},{"dropping-particle":"","family":"Kawamoto","given":"Kensaku","non-dropping-particle":"","parse-names":false,"suffix":""}],"container-title":"Journal of Hospital Medicine","id":"ITEM-1","issue":"8","issued":{"date-parts":[["2018","8","1"]]},"note":"https://doi.org/10.12788/jhm.2933","page":"531-536","publisher":"John Wiley &amp; Sons, Ltd","title":"Decrease in Inpatient Telemetry Utilization Through a System-Wide Electronic Health Record Change and a Multifaceted Hospitalist Intervention","type":"article-journal","volume":"13"},"uris":["http://www.mendeley.com/documents/?uuid=bf5465f1-7f68-47ec-91c6-54a54de14bd3"]}],"mendeley":{"formattedCitation":"(210)","plainTextFormattedCitation":"(210)","previouslyFormattedCitation":"(210)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F778B55"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82923CF"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D4F6D34"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5B1D35C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AA54E51"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02BA3B4B" w14:textId="77777777" w:rsidR="00F422E5" w:rsidRPr="00EC3E91" w:rsidRDefault="00F422E5" w:rsidP="00C02742">
            <w:pPr>
              <w:rPr>
                <w:sz w:val="20"/>
                <w:szCs w:val="20"/>
                <w:lang w:val="en-US"/>
              </w:rPr>
            </w:pPr>
            <w:r w:rsidRPr="00EC3E91">
              <w:rPr>
                <w:sz w:val="20"/>
                <w:szCs w:val="20"/>
                <w:lang w:val="en-US"/>
              </w:rPr>
              <w:t xml:space="preserve">Unnecessary telemetry monitoring </w:t>
            </w:r>
          </w:p>
        </w:tc>
        <w:tc>
          <w:tcPr>
            <w:tcW w:w="3970" w:type="dxa"/>
            <w:tcBorders>
              <w:top w:val="single" w:sz="4" w:space="0" w:color="auto"/>
              <w:left w:val="nil"/>
              <w:bottom w:val="single" w:sz="4" w:space="0" w:color="auto"/>
              <w:right w:val="nil"/>
            </w:tcBorders>
            <w:hideMark/>
          </w:tcPr>
          <w:p w14:paraId="3D8152C2" w14:textId="39ABCD09" w:rsidR="00F422E5" w:rsidRPr="00EC3E91" w:rsidRDefault="00F422E5" w:rsidP="00C02742">
            <w:pPr>
              <w:rPr>
                <w:sz w:val="20"/>
                <w:szCs w:val="20"/>
                <w:lang w:val="en-US"/>
              </w:rPr>
            </w:pPr>
            <w:r w:rsidRPr="00EC3E91">
              <w:rPr>
                <w:sz w:val="20"/>
                <w:szCs w:val="20"/>
                <w:lang w:val="en-US"/>
              </w:rPr>
              <w:t>Practice standards for electrocardiographic monitoring in hospital settings by the American Heart Association</w:t>
            </w:r>
            <w:r w:rsidRPr="00EC3E91">
              <w:rPr>
                <w:sz w:val="20"/>
                <w:szCs w:val="20"/>
                <w:lang w:val="en-US"/>
              </w:rPr>
              <w:br/>
            </w:r>
            <w:r w:rsidRPr="00EC3E91">
              <w:rPr>
                <w:sz w:val="20"/>
                <w:szCs w:val="20"/>
                <w:lang w:val="en-US"/>
              </w:rPr>
              <w:br/>
              <w:t xml:space="preserve">Update to Practice Standards for Electrocardiographic Monitoring in Hospital Settings: A Scientific Statement </w:t>
            </w:r>
            <w:r w:rsidR="00CC4687" w:rsidRPr="00EC3E91">
              <w:rPr>
                <w:sz w:val="20"/>
                <w:szCs w:val="20"/>
                <w:lang w:val="en-US"/>
              </w:rPr>
              <w:t>from</w:t>
            </w:r>
            <w:r w:rsidRPr="00EC3E91">
              <w:rPr>
                <w:sz w:val="20"/>
                <w:szCs w:val="20"/>
                <w:lang w:val="en-US"/>
              </w:rPr>
              <w:t xml:space="preserve"> the American Heart Association.</w:t>
            </w:r>
            <w:r w:rsidRPr="00EC3E91">
              <w:rPr>
                <w:sz w:val="20"/>
                <w:szCs w:val="20"/>
                <w:lang w:val="en-US"/>
              </w:rPr>
              <w:br/>
            </w:r>
            <w:r w:rsidRPr="00EC3E91">
              <w:rPr>
                <w:sz w:val="20"/>
                <w:szCs w:val="20"/>
                <w:lang w:val="en-US"/>
              </w:rPr>
              <w:br/>
              <w:t>Telemetry monitoring guidelines for efficient and safe delivery of cardiac rhythm monitoring to noncritical hospital inpatients</w:t>
            </w:r>
            <w:r w:rsidRPr="00EC3E91">
              <w:rPr>
                <w:sz w:val="20"/>
                <w:szCs w:val="20"/>
                <w:lang w:val="en-US"/>
              </w:rPr>
              <w:br/>
            </w:r>
            <w:r w:rsidRPr="00EC3E91">
              <w:rPr>
                <w:sz w:val="20"/>
                <w:szCs w:val="20"/>
                <w:lang w:val="en-US"/>
              </w:rPr>
              <w:br/>
              <w:t>Joint Commission on Accreditation of Healthcare Organizations. 2014 National Patient Safety Goal.</w:t>
            </w:r>
            <w:r w:rsidRPr="00EC3E91">
              <w:rPr>
                <w:sz w:val="20"/>
                <w:szCs w:val="20"/>
                <w:lang w:val="en-US"/>
              </w:rPr>
              <w:br/>
            </w:r>
            <w:r w:rsidRPr="00EC3E91">
              <w:rPr>
                <w:sz w:val="20"/>
                <w:szCs w:val="20"/>
                <w:lang w:val="en-US"/>
              </w:rPr>
              <w:br/>
              <w:t>Choosing Wisely</w:t>
            </w:r>
          </w:p>
        </w:tc>
        <w:tc>
          <w:tcPr>
            <w:tcW w:w="2551" w:type="dxa"/>
            <w:tcBorders>
              <w:top w:val="single" w:sz="4" w:space="0" w:color="auto"/>
              <w:left w:val="nil"/>
              <w:bottom w:val="single" w:sz="4" w:space="0" w:color="auto"/>
              <w:right w:val="nil"/>
            </w:tcBorders>
            <w:hideMark/>
          </w:tcPr>
          <w:p w14:paraId="2550C442" w14:textId="18FAA306" w:rsidR="00F422E5" w:rsidRPr="00EC3E91" w:rsidRDefault="00F422E5" w:rsidP="00C02742">
            <w:pPr>
              <w:rPr>
                <w:sz w:val="20"/>
                <w:szCs w:val="20"/>
                <w:lang w:val="en-US"/>
              </w:rPr>
            </w:pPr>
            <w:r w:rsidRPr="00EC3E91">
              <w:rPr>
                <w:sz w:val="20"/>
                <w:szCs w:val="20"/>
                <w:lang w:val="en-US"/>
              </w:rPr>
              <w:t>assess and redesign workflow, conduct educational meeting, audit and provide feedback, alter incentive/</w:t>
            </w:r>
            <w:r w:rsidR="00CC4687" w:rsidRPr="00EC3E91">
              <w:rPr>
                <w:sz w:val="20"/>
                <w:szCs w:val="20"/>
                <w:lang w:val="en-US"/>
              </w:rPr>
              <w:t>allowance</w:t>
            </w:r>
            <w:r w:rsidRPr="00EC3E91">
              <w:rPr>
                <w:sz w:val="20"/>
                <w:szCs w:val="20"/>
                <w:lang w:val="en-US"/>
              </w:rPr>
              <w:t xml:space="preserve"> structures </w:t>
            </w:r>
          </w:p>
        </w:tc>
      </w:tr>
      <w:tr w:rsidR="00F422E5" w:rsidRPr="00E119DD" w14:paraId="27391EF4" w14:textId="77777777" w:rsidTr="00F422E5">
        <w:trPr>
          <w:trHeight w:val="2235"/>
        </w:trPr>
        <w:tc>
          <w:tcPr>
            <w:tcW w:w="993" w:type="dxa"/>
            <w:tcBorders>
              <w:top w:val="single" w:sz="4" w:space="0" w:color="auto"/>
              <w:left w:val="nil"/>
              <w:bottom w:val="single" w:sz="4" w:space="0" w:color="auto"/>
              <w:right w:val="nil"/>
            </w:tcBorders>
          </w:tcPr>
          <w:p w14:paraId="76D7E76E" w14:textId="064592ED" w:rsidR="00F422E5" w:rsidRPr="00EC3E91" w:rsidRDefault="00D2048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{"citationItems":[{"id":"ITEM-1","itemData":{"ISSN":"1945-1474","abstract":"This quality improvement initiative was aimed at reducing low-value Positron emission tomography-computed tomography (PET-CT) studies performed on hospital inpatients. Requests for PET-CT with a predetermined low-value indication triggered a requirement for the ordering provider to call the Nuclear Medicine radiologist to discuss the case for approval of the testing. A retrospective review of inpatient PET-CT approximately 2 years immediately before and after the implementation revealed a 20.6% decrease in scans for low-value indications after the intervention, from 0.397 to 0.315 studies per day (p &lt; .05; CI -0.158 to -0.005). The overall daily rate of PET-CT was reduced by 23%. Of the 12 low-value indications, 7 had reduced volumes (aggregate 43 fewer scans), 1 was unchanged, and 4 showed an increase in volumes (aggregate of 10 additional scans). Several common indications for inpatient PET-CT that were not targeted for reduction by this intervention also demonstrated large decreases in volumes during the intervention.","author":[{"dropping-particle":"","family":"Elias","given":"R M","non-dropping-particle":"","parse-names":false,"suffix":""},{"dropping-particle":"","family":"Kashiwagi","given":"D","non-dropping-particle":"","parse-names":false,"suffix":""},{"dropping-particle":"","family":"Lau","given":"C","non-dropping-particle":"","parse-names":false,"suffix":""},{"dropping-particle":"","family":"Hansel","given":"S L","non-dropping-particle":"","parse-names":false,"suffix":""}],"container-title":"Journal for Healthcare Quality","id":"ITEM-1","issue":"6","issued":{"date-parts":[["2020"]]},"language":"English","page":"e83-e91","title":"An Imaging Stewardship Initiative to Reduce Low-Value Positron Emission Tomography-Computed Tomography Use in Hospitalized Patients","type":"article-journal","volume":"42"},"uris":["http://www.mendeley.com/documents/?uuid=65d02104-3c57-34ad-8616-e0a2f15be6d4"]}],"mendeley":{"formattedCitation":"(211)","plainTextFormattedCitation":"(211)","previouslyFormattedCitation":"(211)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3D65554"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09466C8"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3837FCBE"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56E7E90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9E4845F"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6EB6F285" w14:textId="77777777" w:rsidR="00F422E5" w:rsidRPr="00EC3E91" w:rsidRDefault="00F422E5" w:rsidP="00C02742">
            <w:pPr>
              <w:rPr>
                <w:sz w:val="20"/>
                <w:szCs w:val="20"/>
                <w:lang w:val="en-US"/>
              </w:rPr>
            </w:pPr>
            <w:r w:rsidRPr="00EC3E91">
              <w:rPr>
                <w:sz w:val="20"/>
                <w:szCs w:val="20"/>
                <w:lang w:val="en-US"/>
              </w:rPr>
              <w:t>Inappropriate use of inpatient PET-CT</w:t>
            </w:r>
          </w:p>
        </w:tc>
        <w:tc>
          <w:tcPr>
            <w:tcW w:w="3970" w:type="dxa"/>
            <w:tcBorders>
              <w:top w:val="single" w:sz="4" w:space="0" w:color="auto"/>
              <w:left w:val="nil"/>
              <w:bottom w:val="single" w:sz="4" w:space="0" w:color="auto"/>
              <w:right w:val="nil"/>
            </w:tcBorders>
            <w:hideMark/>
          </w:tcPr>
          <w:p w14:paraId="7B82D97D" w14:textId="77777777" w:rsidR="00F422E5" w:rsidRPr="00EC3E91" w:rsidRDefault="00F422E5" w:rsidP="00C02742">
            <w:pPr>
              <w:rPr>
                <w:sz w:val="20"/>
                <w:szCs w:val="20"/>
                <w:lang w:val="en-US"/>
              </w:rPr>
            </w:pPr>
            <w:r w:rsidRPr="00EC3E91">
              <w:rPr>
                <w:sz w:val="20"/>
                <w:szCs w:val="20"/>
                <w:lang w:val="en-US"/>
              </w:rPr>
              <w:t>Choosing Wisely and Imaging Gently</w:t>
            </w:r>
          </w:p>
        </w:tc>
        <w:tc>
          <w:tcPr>
            <w:tcW w:w="2551" w:type="dxa"/>
            <w:tcBorders>
              <w:top w:val="single" w:sz="4" w:space="0" w:color="auto"/>
              <w:left w:val="nil"/>
              <w:bottom w:val="single" w:sz="4" w:space="0" w:color="auto"/>
              <w:right w:val="nil"/>
            </w:tcBorders>
            <w:hideMark/>
          </w:tcPr>
          <w:p w14:paraId="65DE964E" w14:textId="3A27B41E" w:rsidR="00F422E5" w:rsidRPr="00EC3E91" w:rsidRDefault="008D6014" w:rsidP="00C02742">
            <w:pPr>
              <w:rPr>
                <w:sz w:val="20"/>
                <w:szCs w:val="20"/>
                <w:lang w:val="en-US"/>
              </w:rPr>
            </w:pPr>
            <w:r w:rsidRPr="008D6014">
              <w:rPr>
                <w:sz w:val="20"/>
                <w:szCs w:val="20"/>
                <w:lang w:val="en-US"/>
              </w:rPr>
              <w:t>[ACCOUNTABILITY TOOL], remind clinicians, conduct educational meeting, develop educational materials.</w:t>
            </w:r>
          </w:p>
        </w:tc>
      </w:tr>
      <w:tr w:rsidR="00F422E5" w:rsidRPr="00EC3E91" w14:paraId="70E25124" w14:textId="77777777" w:rsidTr="00F422E5">
        <w:trPr>
          <w:trHeight w:val="2235"/>
        </w:trPr>
        <w:tc>
          <w:tcPr>
            <w:tcW w:w="993" w:type="dxa"/>
            <w:tcBorders>
              <w:top w:val="single" w:sz="4" w:space="0" w:color="auto"/>
              <w:left w:val="nil"/>
              <w:bottom w:val="single" w:sz="4" w:space="0" w:color="auto"/>
              <w:right w:val="nil"/>
            </w:tcBorders>
          </w:tcPr>
          <w:p w14:paraId="556550B4" w14:textId="7665C88B" w:rsidR="00F422E5" w:rsidRPr="00EC3E91" w:rsidRDefault="00BC09D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{"citationItems":[{"id":"ITEM-1","itemData":{"DOI":"10.1002/hec.3535","ISSN":"1057-9230","abstract":"Summary\nAntibiotic resistance is a major threat to public health worldwide. As the healthcare sector's use of antibiotics is an important contributor to the development of resistance, it is crucial that physicians only prescribe antibiotics when needed and that they choose narrow‐spectrum antibiotics, which act on fewer bacteria types, when possible. Inappropriate use of antibiotics is nonetheless widespread, not least for respiratory tract infections (RTI), a common reason for antibiotics prescriptions. We examine if pay‐for‐performance (P4P) presents a way to influence primary care physicians' choice of antibiotics. During 2006–2013, 8 Swedish healthcare authorities adopted P4P to make physicians select narrow‐spectrum antibiotics more often in the treatment of children with RTI. Exploiting register data on all purchases of RTI antibiotics in a difference‐in‐differences analysis, we find that P4P significantly increased the share of narrow‐spectrum antibiotics. There are no signs that physicians gamed the system by issuing more prescriptions overall.","author":[{"dropping-particle":"","family":"Ellegård","given":"Lina Maria","non-dropping-particle":"","parse-names":false,"suffix":""},{"dropping-particle":"","family":"Dietrichson","given":"Jens","non-dropping-particle":"","parse-names":false,"suffix":""},{"dropping-particle":"","family":"Anell","given":"Anders","non-dropping-particle":"","parse-names":false,"suffix":""}],"container-title":"Health economics","id":"ITEM-1","issue":"1","issued":{"date-parts":[["2018"]]},"page":"e39-e54","publisher":"Wiley Subscription Services, Inc","publisher-place":"England","title":"Can pay‐for‐performance to primary care providers stimulate appropriate use of antibiotics?","type":"article-journal","volume":"27"},"uris":["http://www.mendeley.com/documents/?uuid=282e3720-bf8a-43c5-841e-b0e491b5626e"]}],"mendeley":{"formattedCitation":"(212)","plainTextFormattedCitation":"(212)","previouslyFormattedCitation":"(212)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AD5EFF8" w14:textId="77777777" w:rsidR="00F422E5" w:rsidRPr="00EC3E91" w:rsidRDefault="00F422E5" w:rsidP="00C02742">
            <w:pPr>
              <w:rPr>
                <w:sz w:val="20"/>
                <w:szCs w:val="20"/>
                <w:lang w:val="en-US"/>
              </w:rPr>
            </w:pPr>
            <w:r w:rsidRPr="00EC3E91">
              <w:rPr>
                <w:sz w:val="20"/>
                <w:szCs w:val="20"/>
                <w:lang w:val="en-US"/>
              </w:rPr>
              <w:t>Sweden</w:t>
            </w:r>
          </w:p>
        </w:tc>
        <w:tc>
          <w:tcPr>
            <w:tcW w:w="993" w:type="dxa"/>
            <w:tcBorders>
              <w:top w:val="single" w:sz="4" w:space="0" w:color="auto"/>
              <w:left w:val="nil"/>
              <w:bottom w:val="single" w:sz="4" w:space="0" w:color="auto"/>
              <w:right w:val="nil"/>
            </w:tcBorders>
            <w:hideMark/>
          </w:tcPr>
          <w:p w14:paraId="6C63CA1E"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4B4DD69C"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042F064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B117378"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07877E9D" w14:textId="77777777" w:rsidR="00F422E5" w:rsidRPr="00EC3E91" w:rsidRDefault="00F422E5" w:rsidP="00C02742">
            <w:pPr>
              <w:rPr>
                <w:sz w:val="20"/>
                <w:szCs w:val="20"/>
                <w:lang w:val="en-US"/>
              </w:rPr>
            </w:pPr>
            <w:r w:rsidRPr="00EC3E91">
              <w:rPr>
                <w:sz w:val="20"/>
                <w:szCs w:val="20"/>
                <w:lang w:val="en-US"/>
              </w:rPr>
              <w:t xml:space="preserve">Inappropriate use of antibiotics </w:t>
            </w:r>
          </w:p>
        </w:tc>
        <w:tc>
          <w:tcPr>
            <w:tcW w:w="3970" w:type="dxa"/>
            <w:tcBorders>
              <w:top w:val="single" w:sz="4" w:space="0" w:color="auto"/>
              <w:left w:val="nil"/>
              <w:bottom w:val="single" w:sz="4" w:space="0" w:color="auto"/>
              <w:right w:val="nil"/>
            </w:tcBorders>
            <w:hideMark/>
          </w:tcPr>
          <w:p w14:paraId="74111377" w14:textId="77777777" w:rsidR="00F422E5" w:rsidRPr="00EC3E91" w:rsidRDefault="00F422E5" w:rsidP="00C02742">
            <w:pPr>
              <w:rPr>
                <w:sz w:val="20"/>
                <w:szCs w:val="20"/>
                <w:lang w:val="en-US"/>
              </w:rPr>
            </w:pPr>
            <w:r w:rsidRPr="00EC3E91">
              <w:rPr>
                <w:sz w:val="20"/>
                <w:szCs w:val="20"/>
                <w:lang w:val="en-US"/>
              </w:rPr>
              <w:t>Swedish RTI guidelines by the Public Health Agency of Sweden</w:t>
            </w:r>
          </w:p>
        </w:tc>
        <w:tc>
          <w:tcPr>
            <w:tcW w:w="2551" w:type="dxa"/>
            <w:tcBorders>
              <w:top w:val="single" w:sz="4" w:space="0" w:color="auto"/>
              <w:left w:val="nil"/>
              <w:bottom w:val="single" w:sz="4" w:space="0" w:color="auto"/>
              <w:right w:val="nil"/>
            </w:tcBorders>
            <w:hideMark/>
          </w:tcPr>
          <w:p w14:paraId="4E24B28B" w14:textId="391E40FF" w:rsidR="00F422E5" w:rsidRPr="00EC3E91" w:rsidRDefault="00F422E5" w:rsidP="00C02742">
            <w:pPr>
              <w:rPr>
                <w:sz w:val="20"/>
                <w:szCs w:val="20"/>
                <w:lang w:val="en-US"/>
              </w:rPr>
            </w:pPr>
            <w:r w:rsidRPr="00EC3E91">
              <w:rPr>
                <w:sz w:val="20"/>
                <w:szCs w:val="20"/>
                <w:lang w:val="en-US"/>
              </w:rPr>
              <w:t>alter incentive/</w:t>
            </w:r>
            <w:r w:rsidR="00CC4687" w:rsidRPr="00EC3E91">
              <w:rPr>
                <w:sz w:val="20"/>
                <w:szCs w:val="20"/>
                <w:lang w:val="en-US"/>
              </w:rPr>
              <w:t>allowance</w:t>
            </w:r>
            <w:r w:rsidRPr="00EC3E91">
              <w:rPr>
                <w:sz w:val="20"/>
                <w:szCs w:val="20"/>
                <w:lang w:val="en-US"/>
              </w:rPr>
              <w:t xml:space="preserve"> structures </w:t>
            </w:r>
          </w:p>
        </w:tc>
      </w:tr>
      <w:tr w:rsidR="00F422E5" w:rsidRPr="00E119DD" w14:paraId="2EDDC50C" w14:textId="77777777" w:rsidTr="00F422E5">
        <w:trPr>
          <w:trHeight w:val="2235"/>
        </w:trPr>
        <w:tc>
          <w:tcPr>
            <w:tcW w:w="993" w:type="dxa"/>
            <w:tcBorders>
              <w:top w:val="single" w:sz="4" w:space="0" w:color="auto"/>
              <w:left w:val="nil"/>
              <w:bottom w:val="single" w:sz="4" w:space="0" w:color="auto"/>
              <w:right w:val="nil"/>
            </w:tcBorders>
          </w:tcPr>
          <w:p w14:paraId="354FB955" w14:textId="25309E5D" w:rsidR="00F422E5" w:rsidRPr="00EC3E91" w:rsidRDefault="008406C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{"citationItems":[{"id":"ITEM-1","itemData":{"DOI":"10.1097/PEC.0000000000001501","ISSN":"0749-5161","abstract":"INTRODUCTIONThe American College of Emergency Physicians embarked on the “Choosing Wisely” campaign to avoid computed tomographic (CT) scans in patients with minor head injury who are at low risk based on validated decision rules. We hypothesized that a Pediatric Mild Head Injury Care Path could be developed and implemented to reduce inappropriate CT utilization with support of a clinical decision support tool (CDST) and a structured parent discussion tool.\nMETHODSA quality improvement project was initiated for 9 weeks to reduce inappropriate CT utilization through 5 interventions(1) engagement of leadership, (2) provider education, (3) incorporation of a parent discussion tool to guide discussion during the emergency department (ED) visit between the parent and the provider, (4) CDST embedded in the electronic medical record, and (5) importation of data into the note to drive compliance. Patients prospectively were enrolled when providers at a pediatric and a freestanding ED entered data into the CDST for decision making. Rate of care path utilization and head CT reduction was determined for all patients with minor head injury based on International Classification of Diseases, Ninth Revision codes. Targets for care path utilization and head CT reduction were established a priori. Results were compared with baseline data collected from 2013.\nRESULTSThe CDST was used in 176 (77.5%) of 227 eligible patients. Twelve patients were excluded based on a priori criteria. Adherence to recommendations occurred in 162 (99%) of 164 patients. Head CT utilization was reduced from 62.7% to 22% (odds ratio, 0.17; 95% confidence interval, 0.12–0.24) where CDST was used by the provider. There were no missed traumatic brain injuries in our study group.\nCONCLUSIONA Pediatric Mild Head Injury Care Path can be implemented in a pediatric and freestanding ED, resulting in reduced head CT utilization and high levels of adherence to CDST recommendations.","author":[{"dropping-particle":"","family":"Engineer","given":"Rakesh S","non-dropping-particle":"","parse-names":false,"suffix":""},{"dropping-particle":"","family":"Podolsky","given":"Seth R","non-dropping-particle":"","parse-names":false,"suffix":""},{"dropping-particle":"","family":"Fertel","given":"Baruch S","non-dropping-particle":"","parse-names":false,"suffix":""},{"dropping-particle":"","family":"Grover","given":"Purva","non-dropping-particle":"","parse-names":false,"suffix":""},{"dropping-particle":"","family":"Jimenez","given":"Heather","non-dropping-particle":"","parse-names":false,"suffix":""},{"dropping-particle":"","family":"Simon","given":"Erin L","non-dropping-particle":"","parse-names":false,"suffix":""},{"dropping-particle":"","family":"Smalley","given":"Courtney M","non-dropping-particle":"","parse-names":false,"suffix":""}],"container-title":"Pediatric emergency care","id":"ITEM-1","issue":"12","issued":{"date-parts":[["2018"]]},"page":"E1670-E1674","publisher":"Copyright Wolters Kluwer Health, Inc. All rights reserved","publisher-place":"PHILADELPHIA","title":"A Pilot Study to Reduce Computed Tomography Utilization for Pediatric Mild Head Injury in the Emergency Department Using a Clinical Decision Support Tool and a Structured Parent Discussion Tool","type":"article-journal","volume":"37"},"uris":["http://www.mendeley.com/documents/?uuid=32960685-d28a-3e22-9a68-fd5e305ef203"]}],"mendeley":{"formattedCitation":"(213)","plainTextFormattedCitation":"(213)","previouslyFormattedCitation":"(213)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E85B10B"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79E5D18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0A51745"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87A6E15" w14:textId="7CC1C45F" w:rsidR="00F422E5" w:rsidRPr="00EC3E91" w:rsidRDefault="00CC4687"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6BDE086C"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3FF61903" w14:textId="77777777" w:rsidR="00F422E5" w:rsidRPr="00EC3E91" w:rsidRDefault="00F422E5" w:rsidP="00C02742">
            <w:pPr>
              <w:rPr>
                <w:sz w:val="20"/>
                <w:szCs w:val="20"/>
                <w:lang w:val="en-US"/>
              </w:rPr>
            </w:pPr>
            <w:r w:rsidRPr="00EC3E91">
              <w:rPr>
                <w:sz w:val="20"/>
                <w:szCs w:val="20"/>
                <w:lang w:val="en-US"/>
              </w:rPr>
              <w:t>Inappropriate head CT utilization</w:t>
            </w:r>
          </w:p>
        </w:tc>
        <w:tc>
          <w:tcPr>
            <w:tcW w:w="3970" w:type="dxa"/>
            <w:tcBorders>
              <w:top w:val="single" w:sz="4" w:space="0" w:color="auto"/>
              <w:left w:val="nil"/>
              <w:bottom w:val="single" w:sz="4" w:space="0" w:color="auto"/>
              <w:right w:val="nil"/>
            </w:tcBorders>
            <w:hideMark/>
          </w:tcPr>
          <w:p w14:paraId="5F2A52A4" w14:textId="77777777" w:rsidR="00F422E5" w:rsidRPr="00EC3E91" w:rsidRDefault="00F422E5" w:rsidP="00C02742">
            <w:pPr>
              <w:rPr>
                <w:sz w:val="20"/>
                <w:szCs w:val="20"/>
                <w:lang w:val="en-US"/>
              </w:rPr>
            </w:pPr>
            <w:r w:rsidRPr="00EC3E91">
              <w:rPr>
                <w:sz w:val="20"/>
                <w:szCs w:val="20"/>
                <w:lang w:val="en-US"/>
              </w:rPr>
              <w:t>Choosing Wisely</w:t>
            </w:r>
          </w:p>
        </w:tc>
        <w:tc>
          <w:tcPr>
            <w:tcW w:w="2551" w:type="dxa"/>
            <w:tcBorders>
              <w:top w:val="single" w:sz="4" w:space="0" w:color="auto"/>
              <w:left w:val="nil"/>
              <w:bottom w:val="single" w:sz="4" w:space="0" w:color="auto"/>
              <w:right w:val="nil"/>
            </w:tcBorders>
            <w:hideMark/>
          </w:tcPr>
          <w:p w14:paraId="75B15383" w14:textId="3218F449" w:rsidR="00F422E5" w:rsidRPr="00EC3E91" w:rsidRDefault="00F422E5" w:rsidP="00C02742">
            <w:pPr>
              <w:rPr>
                <w:sz w:val="20"/>
                <w:szCs w:val="20"/>
                <w:lang w:val="en-US"/>
              </w:rPr>
            </w:pPr>
            <w:r w:rsidRPr="00EC3E91">
              <w:rPr>
                <w:sz w:val="20"/>
                <w:szCs w:val="20"/>
                <w:lang w:val="en-US"/>
              </w:rPr>
              <w:t>mandate change, conduct educational meeting, conduct educational outreach visits, [</w:t>
            </w:r>
            <w:r w:rsidR="00251E9B">
              <w:rPr>
                <w:sz w:val="20"/>
                <w:szCs w:val="20"/>
                <w:lang w:val="en-US"/>
              </w:rPr>
              <w:t>COMMUNICATION TOOL</w:t>
            </w:r>
            <w:r w:rsidRPr="00EC3E91">
              <w:rPr>
                <w:sz w:val="20"/>
                <w:szCs w:val="20"/>
                <w:lang w:val="en-US"/>
              </w:rPr>
              <w:t xml:space="preserve">], remind clinicians, assess and redesign workflow, </w:t>
            </w:r>
          </w:p>
        </w:tc>
      </w:tr>
      <w:tr w:rsidR="00F422E5" w:rsidRPr="00E119DD" w14:paraId="6C8FC157" w14:textId="77777777" w:rsidTr="00F422E5">
        <w:trPr>
          <w:trHeight w:val="2235"/>
        </w:trPr>
        <w:tc>
          <w:tcPr>
            <w:tcW w:w="993" w:type="dxa"/>
            <w:tcBorders>
              <w:top w:val="single" w:sz="4" w:space="0" w:color="auto"/>
              <w:left w:val="nil"/>
              <w:bottom w:val="single" w:sz="4" w:space="0" w:color="auto"/>
              <w:right w:val="nil"/>
            </w:tcBorders>
          </w:tcPr>
          <w:p w14:paraId="0CDD2BF6" w14:textId="729F1E37" w:rsidR="00F422E5" w:rsidRPr="00EC3E91" w:rsidRDefault="00FD6F1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{"citationItems":[{"id":"ITEM-1","itemData":{"DOI":"10.1111/ijcp.13286","ISSN":"17421241","abstract":"Background: Reducing unnecessary laboratory blood testing in the hospital setting represents a challenge to improve the adequacy of healthcare and a tricky task for teaching hospitals. Our hospital network actively participates in the Choosing Wisely Campaign and is engaged in avoiding unnecessary low value interventions and investigations. We aimed to study whether a multi-level approach combining educational and web-system based interventions, could be effective in reducing laboratory testing and related costs. Methods: Multicenter, proof of concept, prospective, observational, before and after study, in a network of public hospitals in Switzerland. All patients admitted between 1 January 2015 and 31 December 2017 were analyzed. A multi-level strategy based on online continuous monitor benchmarking and educational support was applied in the internal medicine services. The primary outcome was a significant reduction in the number of laboratory tests per patient and per day during the hospital stay. Secondary outcomes were reduction in the blood sample volume taken per patient and per day in laboratory costs. Results: Over the 36 months of the study, 33 309 admissions were analyzed. A significant reduction of laboratory tests per patient and per day of hospitalisation was found:–11%, P-value&lt;0.001; –6%, P-value &lt;0.001. The mean monthly blood volume, per patient and per day of hospital stay and laboratory costs per patient was also significantly reduced: –7%, P-value&lt;0.05; –3%, P-value&lt;0.01, and –17%, P-value&lt;0.01, respectively. Conclusions: The obtained reduction in the number of laboratory tests, blood volume withdrawn and related costs, support the idea that an open web-based system, involving all health care providers, coupled with educational interventions, can be helpful in generating awareness of prescriber habits and to catalyze changes in their behaviour. The peer pressure related to the unmasked benchmarking process did probably play a determinant role.","author":[{"dropping-particle":"","family":"Erard","given":"Yannick","non-dropping-particle":"","parse-names":false,"suffix":""},{"dropping-particle":"","family":"Giorno","given":"Rosaria","non-dropping-particle":"Del","parse-names":false,"suffix":""},{"dropping-particle":"","family":"Zasa","given":"Anna","non-dropping-particle":"","parse-names":false,"suffix":""},{"dropping-particle":"","family":"Gottardi","given":"Simone","non-dropping-particle":"De","parse-names":false,"suffix":""},{"dropping-particle":"","family":"Bruna","given":"Roberto","non-dropping-particle":"Della","parse-names":false,"suffix":""},{"dropping-particle":"","family":"Keller","given":"Franco","non-dropping-particle":"","parse-names":false,"suffix":""},{"dropping-particle":"","family":"Clivio","given":"Luca","non-dropping-particle":"","parse-names":false,"suffix":""},{"dropping-particle":"","family":"Greco","given":"Angela","non-dropping-particle":"","parse-names":false,"suffix":""},{"dropping-particle":"","family":"Giannini","given":"Olivier","non-dropping-particle":"","parse-names":false,"suffix":""},{"dropping-particle":"","family":"Gabutti","given":"Luca","non-dropping-particle":"","parse-names":false,"suffix":""}],"container-title":"International Journal of Clinical Practice","id":"ITEM-1","issue":"3","issued":{"date-parts":[["2019","3","1"]]},"publisher":"Blackwell Publishing Ltd","title":"A multi-level strategy for a long lasting reduction in unnecessary laboratory testing: A multicenter before and after study in a teaching hospital network","type":"article-journal","volume":"73"},"uris":["http://www.mendeley.com/documents/?uuid=0d928690-ae89-3dda-88f6-7ae4f7ddbc5f"]}],"mendeley":{"formattedCitation":"(214)","plainTextFormattedCitation":"(214)","previouslyFormattedCitation":"(214)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BEC449A" w14:textId="77777777" w:rsidR="00F422E5" w:rsidRPr="00EC3E91" w:rsidRDefault="00F422E5" w:rsidP="00C02742">
            <w:pPr>
              <w:rPr>
                <w:sz w:val="20"/>
                <w:szCs w:val="20"/>
                <w:lang w:val="en-US"/>
              </w:rPr>
            </w:pPr>
            <w:r w:rsidRPr="00EC3E91">
              <w:rPr>
                <w:sz w:val="20"/>
                <w:szCs w:val="20"/>
                <w:lang w:val="en-US"/>
              </w:rPr>
              <w:t xml:space="preserve">Switzerland </w:t>
            </w:r>
          </w:p>
        </w:tc>
        <w:tc>
          <w:tcPr>
            <w:tcW w:w="993" w:type="dxa"/>
            <w:tcBorders>
              <w:top w:val="single" w:sz="4" w:space="0" w:color="auto"/>
              <w:left w:val="nil"/>
              <w:bottom w:val="single" w:sz="4" w:space="0" w:color="auto"/>
              <w:right w:val="nil"/>
            </w:tcBorders>
            <w:hideMark/>
          </w:tcPr>
          <w:p w14:paraId="52107F5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DF1292E"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7C5B2FD"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46704F41"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5D9D450E" w14:textId="77777777" w:rsidR="00F422E5" w:rsidRPr="00EC3E91" w:rsidRDefault="00F422E5" w:rsidP="00C02742">
            <w:pPr>
              <w:rPr>
                <w:sz w:val="20"/>
                <w:szCs w:val="20"/>
                <w:lang w:val="en-US"/>
              </w:rPr>
            </w:pPr>
            <w:r w:rsidRPr="00EC3E91">
              <w:rPr>
                <w:sz w:val="20"/>
                <w:szCs w:val="20"/>
                <w:lang w:val="en-US"/>
              </w:rPr>
              <w:t>Inappropriate laboratory tests</w:t>
            </w:r>
          </w:p>
        </w:tc>
        <w:tc>
          <w:tcPr>
            <w:tcW w:w="3970" w:type="dxa"/>
            <w:tcBorders>
              <w:top w:val="single" w:sz="4" w:space="0" w:color="auto"/>
              <w:left w:val="nil"/>
              <w:bottom w:val="single" w:sz="4" w:space="0" w:color="auto"/>
              <w:right w:val="nil"/>
            </w:tcBorders>
            <w:hideMark/>
          </w:tcPr>
          <w:p w14:paraId="756F1F1F" w14:textId="77777777" w:rsidR="00F422E5" w:rsidRPr="00EC3E91" w:rsidRDefault="00F422E5" w:rsidP="00C02742">
            <w:pPr>
              <w:rPr>
                <w:sz w:val="20"/>
                <w:szCs w:val="20"/>
                <w:lang w:val="en-US"/>
              </w:rPr>
            </w:pPr>
            <w:r w:rsidRPr="00EC3E91">
              <w:rPr>
                <w:sz w:val="20"/>
                <w:szCs w:val="20"/>
                <w:lang w:val="en-US"/>
              </w:rPr>
              <w:t>Smarter Medicine/Choosing Wisely Switzerland</w:t>
            </w:r>
          </w:p>
        </w:tc>
        <w:tc>
          <w:tcPr>
            <w:tcW w:w="2551" w:type="dxa"/>
            <w:tcBorders>
              <w:top w:val="single" w:sz="4" w:space="0" w:color="auto"/>
              <w:left w:val="nil"/>
              <w:bottom w:val="single" w:sz="4" w:space="0" w:color="auto"/>
              <w:right w:val="nil"/>
            </w:tcBorders>
            <w:hideMark/>
          </w:tcPr>
          <w:p w14:paraId="4309DDD3" w14:textId="77777777" w:rsidR="00F422E5" w:rsidRPr="00EC3E91" w:rsidRDefault="00F422E5" w:rsidP="00C02742">
            <w:pPr>
              <w:rPr>
                <w:sz w:val="20"/>
                <w:szCs w:val="20"/>
                <w:lang w:val="en-US"/>
              </w:rPr>
            </w:pPr>
            <w:r w:rsidRPr="00EC3E91">
              <w:rPr>
                <w:sz w:val="20"/>
                <w:szCs w:val="20"/>
                <w:lang w:val="en-US"/>
              </w:rPr>
              <w:t xml:space="preserve">audit and provide feedback, make training dynamic </w:t>
            </w:r>
          </w:p>
        </w:tc>
      </w:tr>
      <w:tr w:rsidR="00F422E5" w:rsidRPr="00EC3E91" w14:paraId="7EB06F5F" w14:textId="77777777" w:rsidTr="00F422E5">
        <w:trPr>
          <w:trHeight w:val="2235"/>
        </w:trPr>
        <w:tc>
          <w:tcPr>
            <w:tcW w:w="993" w:type="dxa"/>
            <w:tcBorders>
              <w:top w:val="single" w:sz="4" w:space="0" w:color="auto"/>
              <w:left w:val="nil"/>
              <w:bottom w:val="single" w:sz="4" w:space="0" w:color="auto"/>
              <w:right w:val="nil"/>
            </w:tcBorders>
          </w:tcPr>
          <w:p w14:paraId="61F910B4" w14:textId="5BDE7460" w:rsidR="00F422E5" w:rsidRPr="00EC3E91" w:rsidRDefault="005303D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{"citationItems":[{"id":"ITEM-1","itemData":{"DOI":"10.1016/j.nepr.2018.07.007","ISSN":"1471-5953","abstract":"The use of physical restraint exposes patients and staff to negative effects, including death. Therefore, teaching nursing staff to develop the improve knowledge, skills, and attitudes regarding physical restraint has become necessary. A quasi-experimental pre-post design was used to evaluate the effect of educational intervention on nurses' knowledge, attitude, intention, practice and incidence rate of physical restraint in 12 wards of a hospital using a self-reported questionnaire and a restraint order form in Malaysia. The educational intervention, which included a one-day session on minimising physical restraint use in hospital, was presented to 245 nurses. The results showed a significant increase in the mean knowledge, attitude sand practice score and a significant decrease in the mean intention score of nurses to use physical restraint after intervention. There was a statistically significant decrease in the incidence rate of physical restraint use in the wards of the hospital except geriatric-rehabilitation wards after intervention.\n•The knowledge, attitudes and intentions of nurses towards physical restraint use are essential factors that may contribute to this practice.•The best approach to improve knowledge and attitudes towards the use of physical restraint is through educational interventions.•Educational intervention could improve nurses' knowledge, attitude, and practice and reduce their intention to use physical restraint.•Reduction in physical restraint use indicates the effectiveness of the educational intervention.","author":[{"dropping-particle":"","family":"Eskandari","given":"Fatemeh","non-dropping-particle":"","parse-names":false,"suffix":""},{"dropping-particle":"","family":"Abdullah","given":"Khatijah Lim","non-dropping-particle":"","parse-names":false,"suffix":""},{"dropping-particle":"","family":"Zainal","given":"Nor Zuraida","non-dropping-particle":"","parse-names":false,"suffix":""},{"dropping-particle":"","family":"Wong","given":"Li Ping","non-dropping-particle":"","parse-names":false,"suffix":""}],"container-title":"Nurse education in practice","id":"ITEM-1","issued":{"date-parts":[["2018"]]},"page":"52-57","publisher":"Elsevier Ltd","publisher-place":"Scotland","title":"The effect of educational intervention on nurses' knowledge, attitude, intention, practice and incidence rate of physical restraint use","type":"article-journal","volume":"32"},"uris":["http://www.mendeley.com/documents/?uuid=0399dca3-3448-46e0-9fa8-314295add192"]}],"mendeley":{"formattedCitation":"(215)","plainTextFormattedCitation":"(215)","previouslyFormattedCitation":"(215)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B02AB06" w14:textId="77777777" w:rsidR="00F422E5" w:rsidRPr="00EC3E91" w:rsidRDefault="00F422E5" w:rsidP="00C02742">
            <w:pPr>
              <w:rPr>
                <w:sz w:val="20"/>
                <w:szCs w:val="20"/>
                <w:lang w:val="en-US"/>
              </w:rPr>
            </w:pPr>
            <w:r w:rsidRPr="00EC3E91">
              <w:rPr>
                <w:sz w:val="20"/>
                <w:szCs w:val="20"/>
                <w:lang w:val="en-US"/>
              </w:rPr>
              <w:t>Malaysia</w:t>
            </w:r>
          </w:p>
        </w:tc>
        <w:tc>
          <w:tcPr>
            <w:tcW w:w="993" w:type="dxa"/>
            <w:tcBorders>
              <w:top w:val="single" w:sz="4" w:space="0" w:color="auto"/>
              <w:left w:val="nil"/>
              <w:bottom w:val="single" w:sz="4" w:space="0" w:color="auto"/>
              <w:right w:val="nil"/>
            </w:tcBorders>
            <w:hideMark/>
          </w:tcPr>
          <w:p w14:paraId="2067D2A8"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A0949D4" w14:textId="77777777" w:rsidR="00F422E5" w:rsidRPr="00EC3E91" w:rsidRDefault="00F422E5" w:rsidP="00C02742">
            <w:pPr>
              <w:rPr>
                <w:sz w:val="20"/>
                <w:szCs w:val="20"/>
                <w:lang w:val="en-US"/>
              </w:rPr>
            </w:pPr>
            <w:r w:rsidRPr="00EC3E91">
              <w:rPr>
                <w:sz w:val="20"/>
                <w:szCs w:val="20"/>
                <w:lang w:val="en-US"/>
              </w:rPr>
              <w:t>Qual Quasi-experimental</w:t>
            </w:r>
          </w:p>
        </w:tc>
        <w:tc>
          <w:tcPr>
            <w:tcW w:w="851" w:type="dxa"/>
            <w:tcBorders>
              <w:top w:val="single" w:sz="4" w:space="0" w:color="auto"/>
              <w:left w:val="nil"/>
              <w:bottom w:val="single" w:sz="4" w:space="0" w:color="auto"/>
              <w:right w:val="nil"/>
            </w:tcBorders>
            <w:hideMark/>
          </w:tcPr>
          <w:p w14:paraId="616218D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B5FCD3F"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755194E5" w14:textId="77777777" w:rsidR="00F422E5" w:rsidRPr="00EC3E91" w:rsidRDefault="00F422E5" w:rsidP="00C02742">
            <w:pPr>
              <w:rPr>
                <w:sz w:val="20"/>
                <w:szCs w:val="20"/>
                <w:lang w:val="en-US"/>
              </w:rPr>
            </w:pPr>
            <w:r w:rsidRPr="00EC3E91">
              <w:rPr>
                <w:sz w:val="20"/>
                <w:szCs w:val="20"/>
                <w:lang w:val="en-US"/>
              </w:rPr>
              <w:t>Physical restraint use in hospital</w:t>
            </w:r>
          </w:p>
        </w:tc>
        <w:tc>
          <w:tcPr>
            <w:tcW w:w="3970" w:type="dxa"/>
            <w:tcBorders>
              <w:top w:val="single" w:sz="4" w:space="0" w:color="auto"/>
              <w:left w:val="nil"/>
              <w:bottom w:val="single" w:sz="4" w:space="0" w:color="auto"/>
              <w:right w:val="nil"/>
            </w:tcBorders>
            <w:hideMark/>
          </w:tcPr>
          <w:p w14:paraId="55C9F912" w14:textId="6CBE58E4" w:rsidR="00F422E5" w:rsidRPr="00EC3E91" w:rsidRDefault="00CC4687" w:rsidP="00C02742">
            <w:pPr>
              <w:rPr>
                <w:sz w:val="20"/>
                <w:szCs w:val="20"/>
                <w:lang w:val="en-US"/>
              </w:rPr>
            </w:pPr>
            <w:r w:rsidRPr="00EC3E91">
              <w:rPr>
                <w:sz w:val="20"/>
                <w:szCs w:val="20"/>
                <w:lang w:val="en-US"/>
              </w:rPr>
              <w:t>Guidelines</w:t>
            </w:r>
            <w:r w:rsidR="00F422E5" w:rsidRPr="00EC3E91">
              <w:rPr>
                <w:sz w:val="20"/>
                <w:szCs w:val="20"/>
                <w:lang w:val="en-US"/>
              </w:rPr>
              <w:t xml:space="preserve"> by the Center of Medicare and Medicaid Service 2017 </w:t>
            </w:r>
          </w:p>
        </w:tc>
        <w:tc>
          <w:tcPr>
            <w:tcW w:w="2551" w:type="dxa"/>
            <w:tcBorders>
              <w:top w:val="single" w:sz="4" w:space="0" w:color="auto"/>
              <w:left w:val="nil"/>
              <w:bottom w:val="single" w:sz="4" w:space="0" w:color="auto"/>
              <w:right w:val="nil"/>
            </w:tcBorders>
            <w:hideMark/>
          </w:tcPr>
          <w:p w14:paraId="40650653" w14:textId="77777777" w:rsidR="00F422E5" w:rsidRPr="00EC3E91" w:rsidRDefault="00F422E5" w:rsidP="00C02742">
            <w:pPr>
              <w:rPr>
                <w:sz w:val="20"/>
                <w:szCs w:val="20"/>
                <w:lang w:val="en-US"/>
              </w:rPr>
            </w:pPr>
            <w:r w:rsidRPr="00EC3E91">
              <w:rPr>
                <w:sz w:val="20"/>
                <w:szCs w:val="20"/>
                <w:lang w:val="en-US"/>
              </w:rPr>
              <w:t xml:space="preserve">make training dynamic </w:t>
            </w:r>
          </w:p>
        </w:tc>
      </w:tr>
      <w:tr w:rsidR="00F422E5" w:rsidRPr="00E119DD" w14:paraId="182CFD62" w14:textId="77777777" w:rsidTr="00F422E5">
        <w:trPr>
          <w:trHeight w:val="2235"/>
        </w:trPr>
        <w:tc>
          <w:tcPr>
            <w:tcW w:w="993" w:type="dxa"/>
            <w:tcBorders>
              <w:top w:val="single" w:sz="4" w:space="0" w:color="auto"/>
              <w:left w:val="nil"/>
              <w:bottom w:val="single" w:sz="4" w:space="0" w:color="auto"/>
              <w:right w:val="nil"/>
            </w:tcBorders>
          </w:tcPr>
          <w:p w14:paraId="51AD8BD1" w14:textId="0F32EB72" w:rsidR="00F422E5" w:rsidRPr="00EC3E91" w:rsidRDefault="00804DE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{"citationItems":[{"id":"ITEM-1","itemData":{"DOI":"10.1111/jgs.16751","ISSN":"15325415","PMID":"32786002","abstract":"BACKGROUND/OBJECTIVES: To describe the use and deprescribing of benzodiazepine receptor agonists (BZRAs) among nursing home residents (NHRs), to evaluate appropriateness of use and to identify factors associated with BZRA use and deprescribing. DESIGN: Posthoc analysis of the Collaborative Approach to Optimize Medication Use for Older People in Nursing Homes (COME-ON) study, a cluster controlled trial that evaluated the impact of a complex intervention on potentially inappropriate prescriptions (PIPs) in nursing homes (NHs). SETTING: A total of 54 NHs in Belgium. PARTICIPANTS: A total of 797 NHRs included in the study who had complete medical, clinical, and medication information at baseline and at the end of the study (month 15). MEASUREMENTS: Data were recorded by participating healthcare professionals. Reasons why BZRA use was considered as PIPs were assessed using the 2019 American Geriatrics Society Beers Criteria® and the Screening Tool of Older Persons’ Prescriptions (STOPP) criteria, version 2. Deprescribing included complete cessation or decreased daily dose. We identified factors at the NHR, prescriber, and NH levels associated with BZRA use and BZRA deprescribing using multivariable binary and multinomial logistic regression, respectively. RESULTS: At baseline, 418 (52.4%) NHRs were taking a BZRA. The use of BZRA for longer than 4 weeks, with two or more other central nervous system active drugs, and in patients with delirium, cognitive impairment, falls, or fractures was found in more than 67% of BZRA users. Eight NHR-related variables and two prescriber-related variables were associated with regular BZRA use. Deprescribing occurred in 28.1% of BZRA users (32.9% in the intervention group and 22.1% in the control group). In addition to four other factors, dementia (odds ratio [OR] = 2.35; 95% confidence interval [CI] = [1.45–3.83]) and intervention group (OR = 1.74; 95% CI = 1.07–2.87) were associated with deprescribing. CONCLUSION: Use of BZRAs was highly prevalent, and reasons to consider it as PIP were frequent. Deprescribing occurred in one-fourth of NHRs, which is encouraging. Future interventions should focus on specific aspects of PIPs (ie, indication, duration, drug-drug and drug-disease interactions) as well as on nondementia patients.","author":[{"dropping-particle":"","family":"Evrard","given":"Perrine","non-dropping-particle":"","parse-names":false,"suffix":""},{"dropping-particle":"","family":"Henrard","given":"Séverine","non-dropping-particle":"","parse-names":false,"suffix":""},{"dropping-particle":"","family":"Foulon","given":"Veerle","non-dropping-particle":"","parse-names":false,"suffix":""},{"dropping-particle":"","family":"Spinewine","given":"Anne","non-dropping-particle":"","parse-names":false,"suffix":""}],"container-title":"Journal of the American Geriatrics Society","id":"ITEM-1","issue":"12","issued":{"date-parts":[["2020","12","1"]]},"page":"2768-2777","publisher":"Blackwell Publishing Inc.","title":"Benzodiazepine Use and Deprescribing in Belgian Nursing Homes: Results from the COME-ON Study","type":"article-journal","volume":"68"},"uris":["http://www.mendeley.com/documents/?uuid=6e370e48-da32-39e2-9dac-ca64a6e86de5"]}],"mendeley":{"formattedCitation":"(216)","plainTextFormattedCitation":"(216)","previouslyFormattedCitation":"(216)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9D9B7F5" w14:textId="77777777" w:rsidR="00F422E5" w:rsidRPr="00EC3E91" w:rsidRDefault="00F422E5" w:rsidP="00C02742">
            <w:pPr>
              <w:rPr>
                <w:sz w:val="20"/>
                <w:szCs w:val="20"/>
                <w:lang w:val="en-US"/>
              </w:rPr>
            </w:pPr>
            <w:r w:rsidRPr="00EC3E91">
              <w:rPr>
                <w:sz w:val="20"/>
                <w:szCs w:val="20"/>
                <w:lang w:val="en-US"/>
              </w:rPr>
              <w:t>Belgium</w:t>
            </w:r>
          </w:p>
        </w:tc>
        <w:tc>
          <w:tcPr>
            <w:tcW w:w="993" w:type="dxa"/>
            <w:tcBorders>
              <w:top w:val="single" w:sz="4" w:space="0" w:color="auto"/>
              <w:left w:val="nil"/>
              <w:bottom w:val="single" w:sz="4" w:space="0" w:color="auto"/>
              <w:right w:val="nil"/>
            </w:tcBorders>
            <w:hideMark/>
          </w:tcPr>
          <w:p w14:paraId="0072DC1E"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51732185"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48D9D51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7D1B11E" w14:textId="0C9334EE" w:rsidR="00F422E5" w:rsidRPr="00EC3E91" w:rsidRDefault="00CC4687"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7284C834" w14:textId="77777777" w:rsidR="00F422E5" w:rsidRPr="00EC3E91" w:rsidRDefault="00F422E5" w:rsidP="00C02742">
            <w:pPr>
              <w:rPr>
                <w:sz w:val="20"/>
                <w:szCs w:val="20"/>
                <w:lang w:val="en-US"/>
              </w:rPr>
            </w:pPr>
            <w:r w:rsidRPr="00EC3E91">
              <w:rPr>
                <w:sz w:val="20"/>
                <w:szCs w:val="20"/>
                <w:lang w:val="en-US"/>
              </w:rPr>
              <w:t>Inappropriate prescribing of Benzodiazepines in nursing homes</w:t>
            </w:r>
          </w:p>
        </w:tc>
        <w:tc>
          <w:tcPr>
            <w:tcW w:w="3970" w:type="dxa"/>
            <w:tcBorders>
              <w:top w:val="single" w:sz="4" w:space="0" w:color="auto"/>
              <w:left w:val="nil"/>
              <w:bottom w:val="single" w:sz="4" w:space="0" w:color="auto"/>
              <w:right w:val="nil"/>
            </w:tcBorders>
            <w:hideMark/>
          </w:tcPr>
          <w:p w14:paraId="6B0159D7"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t>Beers Criteria</w:t>
            </w:r>
          </w:p>
        </w:tc>
        <w:tc>
          <w:tcPr>
            <w:tcW w:w="2551" w:type="dxa"/>
            <w:tcBorders>
              <w:top w:val="single" w:sz="4" w:space="0" w:color="auto"/>
              <w:left w:val="nil"/>
              <w:bottom w:val="single" w:sz="4" w:space="0" w:color="auto"/>
              <w:right w:val="nil"/>
            </w:tcBorders>
            <w:hideMark/>
          </w:tcPr>
          <w:p w14:paraId="2DE07D20" w14:textId="7A744383" w:rsidR="00F422E5" w:rsidRPr="00EC3E91" w:rsidRDefault="00F422E5" w:rsidP="00C02742">
            <w:pPr>
              <w:rPr>
                <w:sz w:val="20"/>
                <w:szCs w:val="20"/>
                <w:lang w:val="en-US"/>
              </w:rPr>
            </w:pPr>
            <w:r w:rsidRPr="00EC3E91">
              <w:rPr>
                <w:sz w:val="20"/>
                <w:szCs w:val="20"/>
                <w:lang w:val="en-US"/>
              </w:rPr>
              <w:t xml:space="preserve">conduct </w:t>
            </w:r>
            <w:r w:rsidR="00CC4687" w:rsidRPr="00EC3E91">
              <w:rPr>
                <w:sz w:val="20"/>
                <w:szCs w:val="20"/>
                <w:lang w:val="en-US"/>
              </w:rPr>
              <w:t>educational</w:t>
            </w:r>
            <w:r w:rsidRPr="00EC3E91">
              <w:rPr>
                <w:sz w:val="20"/>
                <w:szCs w:val="20"/>
                <w:lang w:val="en-US"/>
              </w:rPr>
              <w:t xml:space="preserve"> meeting, develop and organize </w:t>
            </w:r>
            <w:r w:rsidR="00CC4687" w:rsidRPr="00EC3E91">
              <w:rPr>
                <w:sz w:val="20"/>
                <w:szCs w:val="20"/>
                <w:lang w:val="en-US"/>
              </w:rPr>
              <w:t>quality</w:t>
            </w:r>
            <w:r w:rsidRPr="00EC3E91">
              <w:rPr>
                <w:sz w:val="20"/>
                <w:szCs w:val="20"/>
                <w:lang w:val="en-US"/>
              </w:rPr>
              <w:t xml:space="preserve"> monitoring systems, obtain formal commitment</w:t>
            </w:r>
            <w:r w:rsidR="005D0599">
              <w:rPr>
                <w:sz w:val="20"/>
                <w:szCs w:val="20"/>
                <w:lang w:val="en-US"/>
              </w:rPr>
              <w:t>, conduct a local consensus discussion</w:t>
            </w:r>
          </w:p>
        </w:tc>
      </w:tr>
      <w:tr w:rsidR="00F422E5" w:rsidRPr="00E119DD" w14:paraId="49C5E93F" w14:textId="77777777" w:rsidTr="00F422E5">
        <w:trPr>
          <w:trHeight w:val="2235"/>
        </w:trPr>
        <w:tc>
          <w:tcPr>
            <w:tcW w:w="993" w:type="dxa"/>
            <w:tcBorders>
              <w:top w:val="single" w:sz="4" w:space="0" w:color="auto"/>
              <w:left w:val="nil"/>
              <w:bottom w:val="single" w:sz="4" w:space="0" w:color="auto"/>
              <w:right w:val="nil"/>
            </w:tcBorders>
          </w:tcPr>
          <w:p w14:paraId="11015A64" w14:textId="78831AAD" w:rsidR="00F422E5" w:rsidRPr="00EC3E91" w:rsidRDefault="005D7C0F" w:rsidP="00C02742">
            <w:pPr>
              <w:rPr>
                <w:sz w:val="20"/>
                <w:szCs w:val="20"/>
                <w:lang w:val="en-US"/>
              </w:rPr>
            </w:pPr>
            <w:r w:rsidRPr="00EC3E91">
              <w:rPr>
                <w:sz w:val="20"/>
                <w:szCs w:val="20"/>
                <w:lang w:val="en-US"/>
              </w:rPr>
              <w:lastRenderedPageBreak/>
              <w:fldChar w:fldCharType="begin" w:fldLock="1"/>
            </w:r>
            <w:r w:rsidR="00E119DD">
              <w:rPr>
                <w:sz w:val="20"/>
                <w:szCs w:val="20"/>
                <w:lang w:val="en-US"/>
              </w:rPr>
              <w:instrText>ADDIN CSL_CITATION {"citationItems":[{"id":"ITEM-1","itemData":{"ISSN":"1473-4877 0300-7995","abstract":"Objective: This is a follow-up study from a multicenter, prospective, before-and-after quasi-experimental, controlled trial to assess effectiveness at 36 months of an intervention designed to promote the revision and deprescribing of mirabegron in primary care in patients with overactive bladder. Methods: Intervention included patients who attended in 17 PHCs located in North Barcelona; control included patients who attended in the other 34 PHCs located in South, East and West Barcelona. The primary endpoint was mirabegron review and deprescribing when GPs considered appropriate, which was measured by the percentage of change of the number of patients with treatment at 36 months compared to the baseline. The intervention consisted of meetings with all the directors of the PHCs; distribution of the infographic to the GPs; providing information regarding the intervention for urologist and gynaecologist; and review of the treatments by the GPs. A monthly follow-up was done during the first year, and every three months thereafter until month 36. Results: Overall, 1932 patients were included, mean age 71.6 years (female 53.8%). A total of 540 patients included in the intervention discontinued mirabegron at some point during the 36 months follow-up (540/762, 70.8%) compared to 759 patients in the control (759/1170, 64.9%), (p &lt; 0.001). A total of 324/433 patients (74.8%) who discontinued mirabegron use at 12 months remained without pharmacological treatment at 36 months. With respect to the baseline cohort, there was a lower introduction of new patients with mirabegron in the intervention (546/762, 71.6%) compared to the control (1246/1170, 106.5%), (p &lt;.001). Regarding the treated patients, there was an increase of 41.6% in the control and a slight increase of 0.8% in the intervention at 36 months, (p &lt;.001). Conclusion: Our data indicate that an intervention can enhance the review use of mirabegron in the primary care setting, and promote their deprescribing.","author":[{"dropping-particle":"","family":"Fernández-Liz","given":"E","non-dropping-particle":"","parse-names":false,"suffix":""},{"dropping-particle":"","family":"Vivó-Tristante","given":"P","non-dropping-particle":"","parse-names":false,"suffix":""},{"dropping-particle":"","family":"Aranzana-Martínez","given":"A","non-dropping-particle":"","parse-names":false,"suffix":""},{"dropping-particle":"","family":"Barceló-Colomer","given":"M E","non-dropping-particle":"","parse-names":false,"suffix":""},{"dropping-particle":"","family":"Larrosa-Garcia","given":"M","non-dropping-particle":"","parse-names":false,"suffix":""},{"dropping-particle":"","family":"Val García","given":"J L","non-dropping-particle":"del","parse-names":false,"suffix":""},{"dropping-particle":"","family":"Martín-Gracia","given":"E","non-dropping-particle":"","parse-names":false,"suffix":""}],"container-title":"Current Medical Research and Opinion","id":"ITEM-1","issue":"4","issued":{"date-parts":[["2021"]]},"language":"English","page":"703-710","publisher-place":"E. Fernández-Liz, Primary Health Care Barcelona, Gerència Territorial de Barcelona, Catalan Institute of Health, CAP Poble Nou. Lope de Vega 138, 6a planta, Barcelona, Spain","title":"Long-term effectiveness of an intervention to enhance mirabegron use revision and its deprescribing: 36-month follow-up of a quasi-experimental trial in primary care","type":"article-journal","volume":"37"},"uris":["http://www.mendeley.com/documents/?uuid=fdcdc95f-5455-31cd-a8c8-29e2f4c9e31a"]}],"mendeley":{"formattedCitation":"(217)","plainTextFormattedCitation":"(217)","previouslyFormattedCitation":"(217)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BF5743C"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12790DB2"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490F2EB8"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6802681"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D51FEA6"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2DA313B4" w14:textId="77777777" w:rsidR="00F422E5" w:rsidRPr="00EC3E91" w:rsidRDefault="00F422E5" w:rsidP="00C02742">
            <w:pPr>
              <w:rPr>
                <w:sz w:val="20"/>
                <w:szCs w:val="20"/>
                <w:lang w:val="en-US"/>
              </w:rPr>
            </w:pPr>
            <w:r w:rsidRPr="00EC3E91">
              <w:rPr>
                <w:sz w:val="20"/>
                <w:szCs w:val="20"/>
                <w:lang w:val="en-US"/>
              </w:rPr>
              <w:t>Inappropriate mirabegron treatment</w:t>
            </w:r>
          </w:p>
        </w:tc>
        <w:tc>
          <w:tcPr>
            <w:tcW w:w="3970" w:type="dxa"/>
            <w:tcBorders>
              <w:top w:val="single" w:sz="4" w:space="0" w:color="auto"/>
              <w:left w:val="nil"/>
              <w:bottom w:val="single" w:sz="4" w:space="0" w:color="auto"/>
              <w:right w:val="nil"/>
            </w:tcBorders>
            <w:hideMark/>
          </w:tcPr>
          <w:p w14:paraId="64379B5B" w14:textId="77777777" w:rsidR="00F422E5" w:rsidRPr="00EC3E91" w:rsidRDefault="00F422E5" w:rsidP="00C02742">
            <w:pPr>
              <w:rPr>
                <w:sz w:val="20"/>
                <w:szCs w:val="20"/>
                <w:lang w:val="en-US"/>
              </w:rPr>
            </w:pPr>
            <w:r w:rsidRPr="00EC3E91">
              <w:rPr>
                <w:sz w:val="20"/>
                <w:szCs w:val="20"/>
                <w:lang w:val="en-US"/>
              </w:rPr>
              <w:t>EAU guidelines on urinary incontinence. 2018.</w:t>
            </w:r>
          </w:p>
        </w:tc>
        <w:tc>
          <w:tcPr>
            <w:tcW w:w="2551" w:type="dxa"/>
            <w:tcBorders>
              <w:top w:val="single" w:sz="4" w:space="0" w:color="auto"/>
              <w:left w:val="nil"/>
              <w:bottom w:val="single" w:sz="4" w:space="0" w:color="auto"/>
              <w:right w:val="nil"/>
            </w:tcBorders>
            <w:hideMark/>
          </w:tcPr>
          <w:p w14:paraId="444FF063" w14:textId="77777777" w:rsidR="00F422E5" w:rsidRPr="00EC3E91" w:rsidRDefault="00F422E5" w:rsidP="00C02742">
            <w:pPr>
              <w:rPr>
                <w:sz w:val="20"/>
                <w:szCs w:val="20"/>
                <w:lang w:val="en-US"/>
              </w:rPr>
            </w:pPr>
            <w:r w:rsidRPr="00EC3E91">
              <w:rPr>
                <w:sz w:val="20"/>
                <w:szCs w:val="20"/>
                <w:lang w:val="en-US"/>
              </w:rPr>
              <w:t xml:space="preserve">develop educational materials, audit and provide feedback </w:t>
            </w:r>
          </w:p>
        </w:tc>
      </w:tr>
      <w:tr w:rsidR="00F422E5" w:rsidRPr="00E119DD" w14:paraId="61D26F1A" w14:textId="77777777" w:rsidTr="00F422E5">
        <w:trPr>
          <w:trHeight w:val="2235"/>
        </w:trPr>
        <w:tc>
          <w:tcPr>
            <w:tcW w:w="993" w:type="dxa"/>
            <w:tcBorders>
              <w:top w:val="single" w:sz="4" w:space="0" w:color="auto"/>
              <w:left w:val="nil"/>
              <w:bottom w:val="single" w:sz="4" w:space="0" w:color="auto"/>
              <w:right w:val="nil"/>
            </w:tcBorders>
          </w:tcPr>
          <w:p w14:paraId="4891E336" w14:textId="226B1530" w:rsidR="00F422E5" w:rsidRPr="00EC3E91" w:rsidRDefault="005D7C0F" w:rsidP="00C02742">
            <w:pPr>
              <w:rPr>
                <w:sz w:val="20"/>
                <w:szCs w:val="20"/>
                <w:lang w:val="en-US"/>
              </w:rPr>
            </w:pPr>
            <w:r w:rsidRPr="00EC3E91">
              <w:rPr>
                <w:sz w:val="20"/>
                <w:szCs w:val="20"/>
                <w:lang w:val="en-US"/>
              </w:rPr>
              <w:fldChar w:fldCharType="begin" w:fldLock="1"/>
            </w:r>
            <w:r w:rsidR="00E119DD">
              <w:rPr>
                <w:sz w:val="20"/>
                <w:szCs w:val="20"/>
                <w:lang w:val="en-US"/>
              </w:rPr>
              <w:instrText>ADDIN CSL_CITATION {"citationItems":[{"id":"ITEM-1","itemData":{"ISSN":"1878-7657 1878-7649","abstract":"Background: Psychotropic drugs are frequently used in the elderly population, but their inappropriate prescription can cause numerous adverse effects and interactions. Objective: To evaluate the impact of a multidisciplinary intervention to detect and optimise inappropriate prescriptions of psychotropic drugs in patients aged over 75 years in a hospital setting. Design, setting, subjects and methods: A prospective study which included every patient aged over 75 years admitted to the Consorcio Hospital General in Valencia, Spain, and who had been prescribed psychotropic drugs inappropriately, carried out over 1 year. The intervention was to detect inappropriate prescriptions of psychotropic drugs using the STOPP criteria, treatment optimisation by a team of psychiatrists, readjustment of the electronic prescription register, and communication to the primary care physician. The impact of the intervention was assessed by measuring the persistence of the changes made 3 months after discharge and by quarterly assessment of inappropriate prescriptions. Results: Of 4571 admissions, 378 inappropriate prescriptions were detected in 346 patients. The drugs most frequently used were long half-life benzodiazepines (70%), which were substituted in 62% of the cases, withdrawn in 32%, and maintained in 6%. At 3 months follow-up, the changes had been maintained by the patients’ primary care physician in 67%. Evaluation of the prescriptions during the subsequent quarters of the year showed a significant decrease in the inappropriate prescriptions, especially benzodiazepines. Conclusions: Coordinated intervention by pharmacologists and psychiatrists in hospital settings, and communication between these professionals and primary care teams, can reduce psychotropic drugs inappropriately prescribed to the elderly.","author":[{"dropping-particle":"","family":"Garay-Bravo","given":"C","non-dropping-particle":"","parse-names":false,"suffix":""},{"dropping-particle":"","family":"Peña","given":"A","non-dropping-particle":"","parse-names":false,"suffix":""},{"dropping-particle":"","family":"Molina","given":"M","non-dropping-particle":"","parse-names":false,"suffix":""},{"dropping-particle":"","family":"Sanfeliu","given":"J","non-dropping-particle":"","parse-names":false,"suffix":""},{"dropping-particle":"","family":"Piles","given":"P","non-dropping-particle":"","parse-names":false,"suffix":""},{"dropping-particle":"","family":"Blasco","given":"P","non-dropping-particle":"","parse-names":false,"suffix":""},{"dropping-particle":"","family":"Salazar","given":"J","non-dropping-particle":"","parse-names":false,"suffix":""}],"container-title":"European Geriatric Medicine","id":"ITEM-1","issue":"5","issued":{"date-parts":[["2018"]]},"language":"English","page":"597-602","publisher-place":"C. Garay-Bravo, Department of Psychiatry, University General Hospital Consortium, Valencia, Spain","title":"Application of the STOPP criteria in hospitalised elderly patients to detect and optimise inappropriate psychopharmaceutical prescriptions","type":"article-journal","volume":"9"},"uris":["http://www.mendeley.com/documents/?uuid=6dc9650d-5c13-3276-9ab0-7b311bff05a9"]}],"mendeley":{"formattedCitation":"(218)","plainTextFormattedCitation":"(218)","previouslyFormattedCitation":"(218)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FC679D8"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1C3D042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BD5E85E"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8405CE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839D6D3"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DF3379D"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6A96F82" w14:textId="77777777" w:rsidR="00F422E5" w:rsidRPr="00EC3E91" w:rsidRDefault="00F422E5" w:rsidP="00C02742">
            <w:pPr>
              <w:rPr>
                <w:sz w:val="20"/>
                <w:szCs w:val="20"/>
                <w:lang w:val="en-US"/>
              </w:rPr>
            </w:pPr>
            <w:r w:rsidRPr="00EC3E91">
              <w:rPr>
                <w:sz w:val="20"/>
                <w:szCs w:val="20"/>
                <w:lang w:val="en-US"/>
              </w:rPr>
              <w:t>STOPP (Screening Tool of Older Person’s Prescriptions) criteria</w:t>
            </w:r>
          </w:p>
        </w:tc>
        <w:tc>
          <w:tcPr>
            <w:tcW w:w="2551" w:type="dxa"/>
            <w:tcBorders>
              <w:top w:val="single" w:sz="4" w:space="0" w:color="auto"/>
              <w:left w:val="nil"/>
              <w:bottom w:val="single" w:sz="4" w:space="0" w:color="auto"/>
              <w:right w:val="nil"/>
            </w:tcBorders>
            <w:hideMark/>
          </w:tcPr>
          <w:p w14:paraId="2D27902A" w14:textId="77777777" w:rsidR="00F422E5" w:rsidRPr="00EC3E91" w:rsidRDefault="00F422E5" w:rsidP="00C02742">
            <w:pPr>
              <w:rPr>
                <w:sz w:val="20"/>
                <w:szCs w:val="20"/>
                <w:lang w:val="en-US"/>
              </w:rPr>
            </w:pPr>
            <w:r w:rsidRPr="00EC3E91">
              <w:rPr>
                <w:sz w:val="20"/>
                <w:szCs w:val="20"/>
                <w:lang w:val="en-US"/>
              </w:rPr>
              <w:t>develop and organize quality monitoring system</w:t>
            </w:r>
          </w:p>
        </w:tc>
      </w:tr>
      <w:tr w:rsidR="00F422E5" w:rsidRPr="00E119DD" w14:paraId="66EB1C78" w14:textId="77777777" w:rsidTr="00F422E5">
        <w:trPr>
          <w:trHeight w:val="2235"/>
        </w:trPr>
        <w:tc>
          <w:tcPr>
            <w:tcW w:w="993" w:type="dxa"/>
            <w:tcBorders>
              <w:top w:val="single" w:sz="4" w:space="0" w:color="auto"/>
              <w:left w:val="nil"/>
              <w:bottom w:val="single" w:sz="4" w:space="0" w:color="auto"/>
              <w:right w:val="nil"/>
            </w:tcBorders>
          </w:tcPr>
          <w:p w14:paraId="60FD1C19" w14:textId="3A4C06DD" w:rsidR="00F422E5" w:rsidRPr="00EC3E91" w:rsidRDefault="00044AF7"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{"citationItems":[{"id":"ITEM-1","itemData":{"DOI":"10.1177/1715163520929734","ISSN":"1913701X","abstract":"Background: Deprescribing is an effective means to reduce polypharmacy in elderly patients. However, geriatric day care deprescribing services are challenging to implement in rural regions. In this study, we examined whether a subacute care unit of a rural hospital could deliver a comprehensive and multidisciplinary intervention to promote deprescribing in patients and whether this intervention would succeed in achieving significant and lasting deprescribing results. Methods: We conducted a cross-sectional analysis of a deprescribing program at a rural hospital in Eastern Ontario, Canada. Participants were 11 patients, aged 65 or older, who were admitted to the hospital’s medical/surgical unit or who presented to the emergency department. Clinicians followed a structured, comprehensive and multidisciplinary approach designed to facilitate deprescribing, which concluded with an outcome evaluation at discharge and follow-up phone calls. Outcomes included the frequency and total number of medications successfully removed, reduced, substituted and restarted after discharge and emergency department visits and hospitalizations 6 months before and after the intervention. Results: Of a total 57 deprescribed medications, 38 were eliminated, 8 were switched to a safer alternative, and 11 were dose reduced. Postdischarge deprescribing reversal occurred in only 5 of 57 deprescribed medications. Among the study population, a 59.2% reduction was observed in the combined number of emergency department visits and hospitalizations 6 months after deprescribing. Conclusions: This feasibility study was successful in showing the potential added value for offering a rehabilitative, subacute care, inpatient, comprehensive and multidisciplinary approach toward patients with complex deprescribing needs. It also showed proof of concept in reducing polypharmacy-induced adverse health outcomes. Can Pharm J (Ott) 2020:153:xx-xx.","author":[{"dropping-particle":"","family":"Gazarin","given":"Mohamed","non-dropping-particle":"","parse-names":false,"suffix":""},{"dropping-particle":"","family":"Devin","given":"Brian","non-dropping-particle":"","parse-names":false,"suffix":""},{"dropping-particle":"","family":"Tse","given":"Darren","non-dropping-particle":"","parse-names":false,"suffix":""},{"dropping-particle":"","family":"Mulligan","given":"Emily","non-dropping-particle":"","parse-names":false,"suffix":""},{"dropping-particle":"","family":"Naciuk","given":"Mary","non-dropping-particle":"","parse-names":false,"suffix":""},{"dropping-particle":"","family":"Duncan","given":"Simon","non-dropping-particle":"","parse-names":false,"suffix":""},{"dropping-particle":"","family":"Burnett","given":"Sean","non-dropping-particle":"","parse-names":false,"suffix":""},{"dropping-particle":"","family":"Hall","given":"Lynn","non-dropping-particle":"","parse-names":false,"suffix":""},{"dropping-particle":"","family":"Elbeddini","given":"Ali","non-dropping-particle":"","parse-names":false,"suffix":""}],"container-title":"Canadian Pharmacists Journal","id":"ITEM-1","issue":"4","issued":{"date-parts":[["2020","7","1"]]},"page":"224-231","publisher":"SAGE Publications Ltd","title":"Evaluating an inpatient deprescribing initiative at a rural community hospital in Ontario","type":"article-journal","volume":"153"},"uris":["http://www.mendeley.com/documents/?uuid=ca6d17e0-85a9-380e-b7a4-e98b31a584c2"]}],"mendeley":{"formattedCitation":"(219)","plainTextFormattedCitation":"(219)","previouslyFormattedCitation":"(219)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(219)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92BDB3F"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5286FCDE"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F9FA997" w14:textId="77777777" w:rsidR="00F422E5" w:rsidRPr="00EC3E91" w:rsidRDefault="00F422E5" w:rsidP="00C02742">
            <w:pPr>
              <w:rPr>
                <w:sz w:val="20"/>
                <w:szCs w:val="20"/>
                <w:lang w:val="en-US"/>
              </w:rPr>
            </w:pPr>
            <w:r w:rsidRPr="00EC3E91">
              <w:rPr>
                <w:sz w:val="20"/>
                <w:szCs w:val="20"/>
                <w:lang w:val="en-US"/>
              </w:rPr>
              <w:t>Quant Cross-sectional</w:t>
            </w:r>
          </w:p>
        </w:tc>
        <w:tc>
          <w:tcPr>
            <w:tcW w:w="851" w:type="dxa"/>
            <w:tcBorders>
              <w:top w:val="single" w:sz="4" w:space="0" w:color="auto"/>
              <w:left w:val="nil"/>
              <w:bottom w:val="single" w:sz="4" w:space="0" w:color="auto"/>
              <w:right w:val="nil"/>
            </w:tcBorders>
            <w:hideMark/>
          </w:tcPr>
          <w:p w14:paraId="4B39D0A2"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405BB56"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AF0759B"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25DCB153" w14:textId="45A79E1A" w:rsidR="00F422E5" w:rsidRPr="00EC3E91" w:rsidRDefault="00CC4687"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1E8B73ED" w14:textId="77777777" w:rsidR="00F422E5" w:rsidRPr="00EC3E91" w:rsidRDefault="00F422E5" w:rsidP="00C02742">
            <w:pPr>
              <w:rPr>
                <w:sz w:val="20"/>
                <w:szCs w:val="20"/>
                <w:lang w:val="en-US"/>
              </w:rPr>
            </w:pPr>
            <w:r w:rsidRPr="00EC3E91">
              <w:rPr>
                <w:sz w:val="20"/>
                <w:szCs w:val="20"/>
                <w:lang w:val="en-US"/>
              </w:rPr>
              <w:t xml:space="preserve">develop educational materials, develop and organize quality monitoring systems </w:t>
            </w:r>
          </w:p>
        </w:tc>
      </w:tr>
      <w:tr w:rsidR="00F422E5" w:rsidRPr="00E119DD" w14:paraId="7E9BCEF2" w14:textId="77777777" w:rsidTr="00F422E5">
        <w:trPr>
          <w:trHeight w:val="2235"/>
        </w:trPr>
        <w:tc>
          <w:tcPr>
            <w:tcW w:w="993" w:type="dxa"/>
            <w:tcBorders>
              <w:top w:val="single" w:sz="4" w:space="0" w:color="auto"/>
              <w:left w:val="nil"/>
              <w:bottom w:val="single" w:sz="4" w:space="0" w:color="auto"/>
              <w:right w:val="nil"/>
            </w:tcBorders>
          </w:tcPr>
          <w:p w14:paraId="64B00B79" w14:textId="19CA4C1D" w:rsidR="00F422E5" w:rsidRPr="00EC3E91" w:rsidRDefault="00044AF7" w:rsidP="00C02742">
            <w:pPr>
              <w:rPr>
                <w:sz w:val="20"/>
                <w:szCs w:val="20"/>
                <w:lang w:val="en-US"/>
              </w:rPr>
            </w:pPr>
            <w:r w:rsidRPr="00EC3E91">
              <w:rPr>
                <w:sz w:val="20"/>
                <w:szCs w:val="20"/>
                <w:lang w:val="en-US"/>
              </w:rPr>
              <w:fldChar w:fldCharType="begin" w:fldLock="1"/>
            </w:r>
            <w:r w:rsidR="0017111B">
              <w:rPr>
                <w:sz w:val="20"/>
                <w:szCs w:val="20"/>
                <w:lang w:val="en-US"/>
              </w:rPr>
              <w:instrText>ADDIN CSL_CITATION {"citationItems":[{"id":"ITEM-1","itemData":{"ISSN":"0167-4943","abstract":"BACKGROUND: STOPP (Screening Tool of Older Person's Prescriptions) criteria have been used in acute care and nursing home settings as a screening tool to assess Potentially Inappropriate Medication (PIM) for elderly people. Furthermore, this tool could help General Practitioners (GPs) to lower PIM frequency in primary care. OBJECTIVE: The aim of the study was to measure the impact of STOPP criteria applied by the GP on prescriptions during a primary care consultation. SETTING, SUBJECTS AND METHOD: Twenty GPs were involved and trained to use STOPP criteria. GPs were asked to use STOPP criteria for elderly patients (&gt;75years old) who were taking at least five different drugs, seen over a two-month period. The rate of PIM according to STOPP criteria was measured before and after training. Prescription quality was compared using the Medication Appropriateness Index (MAI) score. RESULTS: Overall, 172 prescriptions were analyzed. A total of 170 PIM were identified according to STOPP criteria before the intervention. Fifty-seven percent of the population (n=98 patients) had at least one PIM. GP's intervention decreased the number of PIM according to STOPP criteria to 106 and was beneficial for 44.9% of the patients (n=44). The mean MAI score of all medications and PIM decreased by 14.3% (p&lt;0.001) and 39.1% (p&lt;0.001) respectively. DISCUSSION CONCLUSIONS: Application of STOPP criteria by GPs is an effective tool to decrease PIM and MAI score in primary care. The generalization of the use of STOPP criteria during GP consultation should be fostered.","author":[{"dropping-particle":"","family":"Gibert","given":"P","non-dropping-particle":"","parse-names":false,"suffix":""},{"dropping-particle":"","family":"Cabaret","given":"M","non-dropping-particle":"","parse-names":false,"suffix":""},{"dropping-particle":"","family":"Moulis","given":"M","non-dropping-particle":"","parse-names":false,"suffix":""},{"dropping-particle":"","family":"Bosson","given":"J L","non-dropping-particle":"","parse-names":false,"suffix":""},{"dropping-particle":"","family":"Boivin","given":"J E","non-dropping-particle":"","parse-names":false,"suffix":""},{"dropping-particle":"","family":"Chanoine","given":"S","non-dropping-particle":"","parse-names":false,"suffix":""},{"dropping-particle":"","family":"Allenet","given":"B","non-dropping-particle":"","parse-names":false,"suffix":""},{"dropping-particle":"","family":"Bedouch","given":"P","non-dropping-particle":"","parse-names":false,"suffix":""},{"dropping-particle":"","family":"Gavazzi","given":"G","non-dropping-particle":"","parse-names":false,"suffix":""}],"container-title":"Archives of Gerontology &amp; Geriatrics","id":"ITEM-1","issued":{"date-parts":[["2018"]]},"page":"16-19","title":"Optimizing medication use in elderly people in primary care: Impact of STOPP criteria on inappropriate prescriptions","type":"article-journal","volume":"75"},"uris":["http://www.mendeley.com/documents/?uuid=6700d728-2dfe-4421-baf6-14d499f9164c"]}],"mendeley":{"formattedCitation":"(220)","plainTextFormattedCitation":"(220)","previouslyFormattedCitation":"(220)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0B4FFAA" w14:textId="77777777" w:rsidR="00F422E5" w:rsidRPr="00EC3E91" w:rsidRDefault="00F422E5" w:rsidP="00C02742">
            <w:pPr>
              <w:rPr>
                <w:sz w:val="20"/>
                <w:szCs w:val="20"/>
                <w:lang w:val="en-US"/>
              </w:rPr>
            </w:pPr>
            <w:r w:rsidRPr="00EC3E91">
              <w:rPr>
                <w:sz w:val="20"/>
                <w:szCs w:val="20"/>
                <w:lang w:val="en-US"/>
              </w:rPr>
              <w:t>France</w:t>
            </w:r>
          </w:p>
        </w:tc>
        <w:tc>
          <w:tcPr>
            <w:tcW w:w="993" w:type="dxa"/>
            <w:tcBorders>
              <w:top w:val="single" w:sz="4" w:space="0" w:color="auto"/>
              <w:left w:val="nil"/>
              <w:bottom w:val="single" w:sz="4" w:space="0" w:color="auto"/>
              <w:right w:val="nil"/>
            </w:tcBorders>
            <w:hideMark/>
          </w:tcPr>
          <w:p w14:paraId="4AC10D60"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B2AF5F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A29DEC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353D24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1B7D0A8"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23CC7A1A" w14:textId="77777777" w:rsidR="00F422E5" w:rsidRPr="00EC3E91" w:rsidRDefault="00F422E5" w:rsidP="00C02742">
            <w:pPr>
              <w:rPr>
                <w:sz w:val="20"/>
                <w:szCs w:val="20"/>
                <w:lang w:val="en-US"/>
              </w:rPr>
            </w:pPr>
            <w:r w:rsidRPr="00EC3E91">
              <w:rPr>
                <w:sz w:val="20"/>
                <w:szCs w:val="20"/>
                <w:lang w:val="en-US"/>
              </w:rPr>
              <w:t>Explicit criteria for determining inappropriate medication use in nursing home residents: UCLA Division of Geriatric Medicine</w:t>
            </w:r>
            <w:r w:rsidRPr="00EC3E91">
              <w:rPr>
                <w:sz w:val="20"/>
                <w:szCs w:val="20"/>
                <w:lang w:val="en-US"/>
              </w:rPr>
              <w:br/>
            </w:r>
            <w:r w:rsidRPr="00EC3E91">
              <w:rPr>
                <w:sz w:val="20"/>
                <w:szCs w:val="20"/>
                <w:lang w:val="en-US"/>
              </w:rPr>
              <w:br/>
              <w:t>STOPP (Screening Tool of Older Person’s Prescriptions) criteria</w:t>
            </w:r>
          </w:p>
        </w:tc>
        <w:tc>
          <w:tcPr>
            <w:tcW w:w="2551" w:type="dxa"/>
            <w:tcBorders>
              <w:top w:val="single" w:sz="4" w:space="0" w:color="auto"/>
              <w:left w:val="nil"/>
              <w:bottom w:val="single" w:sz="4" w:space="0" w:color="auto"/>
              <w:right w:val="nil"/>
            </w:tcBorders>
            <w:hideMark/>
          </w:tcPr>
          <w:p w14:paraId="7674EC57" w14:textId="77777777" w:rsidR="00F422E5" w:rsidRPr="00EC3E91" w:rsidRDefault="00F422E5" w:rsidP="00C02742">
            <w:pPr>
              <w:rPr>
                <w:sz w:val="20"/>
                <w:szCs w:val="20"/>
                <w:lang w:val="en-US"/>
              </w:rPr>
            </w:pPr>
            <w:r w:rsidRPr="00EC3E91">
              <w:rPr>
                <w:sz w:val="20"/>
                <w:szCs w:val="20"/>
                <w:lang w:val="en-US"/>
              </w:rPr>
              <w:t>develop educational materials, conduct educational meeting</w:t>
            </w:r>
          </w:p>
        </w:tc>
      </w:tr>
      <w:tr w:rsidR="002F53A1" w:rsidRPr="00E119DD" w14:paraId="7B59AAED" w14:textId="77777777" w:rsidTr="00F422E5">
        <w:trPr>
          <w:trHeight w:val="2235"/>
        </w:trPr>
        <w:tc>
          <w:tcPr>
            <w:tcW w:w="993" w:type="dxa"/>
            <w:tcBorders>
              <w:top w:val="single" w:sz="4" w:space="0" w:color="auto"/>
              <w:left w:val="nil"/>
              <w:bottom w:val="single" w:sz="4" w:space="0" w:color="auto"/>
              <w:right w:val="nil"/>
            </w:tcBorders>
          </w:tcPr>
          <w:p w14:paraId="7076C7ED" w14:textId="58BFB4BE" w:rsidR="002F53A1" w:rsidRPr="00EC3E91" w:rsidRDefault="001200D6"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{"citationItems":[{"id":"ITEM-1","itemData":{"ISSN":"2385-409X","abstract":"Objective: To analyze a deprescribing program (PDES) implemented in pluripathological and polymedicated elderly patients during hospital stay and evaluate the acceptance by Primary Care to the deprescription conducted. Method: Prospective longitudinal observational study, lasting five months (September 2018 - January 2019), conducted in the Short Stay Unit (SSU) of a general hospital. Elderly (&gt;65 years), pluripathological (&gt;2 chronic diseases) polymedicated patients (&gt;5 medications) were included. In the PDES, the medical-pharmaceutical team carried out an optimization of the pharmacotherapy adapting it to the current clinical situation of the patient and his life expectancy in order to deprescribe inadequate prescriptions. If they were not deprescribed during the hospital stay, the process was completed with a deprescribing proposal addressed to Primary Care (PC) through the hospital discharge report for the continuity of care of the PDES. The deprescribing tools used were Good Palliative-Geriatric Practice Algorithm and Medstopper. The following variables were analyzed: related to the patient (age, sex, comorbidities, chronicity level and hospital stay), treatment (prior to admission and at discharge: number of drugs and inappropriate medications), started deprescription (type and implicated drugs) and continuity in PC (potential drugs for later deprescribing and acceptance after first medical visit, one month and six months). Deprescribing actions were classified as suspensions, dose adjustments, additions or changes for therapeutic alternatives. Results: From 844 patients admitted to the SSU during the study period, 58 patients (6.9%) were included in the PDES, with mean age 86.4 (±5.7) years, 5.8 (±2.2) comorbidities and treatment with 10.4 (±3.4) medications. In these 58 patients, PDES identified 208 inappropriate medications; among these, 113 (54.3%) were deprescribed, with a global average of 1.95 deprescriptions per patient, being the most frequent: cardiovascular system (52.2%), alimentary tract and metabolism (14.2%), nervous system (11.5%), blood and hematopoietic organs (11.5%). The deprescribing actions performed were 51 (45.9%) suspensions, 32 (28.8%) changes, 17 (15.3%) additions and 11 (9.9%) dose adjustments. Deprescribing acceptance by the PC physician reached 86% of the patients after the first medical consult, reducing to 77.4% after one month and 58.5% after six months. Deprescribing reversions were involved in 66.7% to the cardio…","author":[{"dropping-particle":"","family":"Sara","given":"G G","non-dropping-particle":"","parse-names":false,"suffix":""},{"dropping-particle":"","family":"Antoni","given":"L A","non-dropping-particle":"","parse-names":false,"suffix":""},{"dropping-particle":"","family":"Ana Cris","given":"C L","non-dropping-particle":"","parse-names":false,"suffix":""},{"dropping-particle":"","family":"Oreto","given":"R M","non-dropping-particle":"","parse-names":false,"suffix":""},{"dropping-particle":"","family":"Pilar","given":"C A","non-dropping-particle":"","parse-names":false,"suffix":""},{"dropping-particle":"","family":"Juan Pablo","given":"O B","non-dropping-particle":"","parse-names":false,"suffix":""},{"dropping-particle":"","family":"Mónica","given":"C M","non-dropping-particle":"","parse-names":false,"suffix":""}],"container-title":"European Journal of Clinical Pharmacy","id":"ITEM-1","issue":"3","issued":{"date-parts":[["2020"]]},"language":"English","page":"132-141","title":"Deprescribing program in pluripathological elderly patients at a general hospital","type":"article-journal","volume":"22"},"uris":["http://www.mendeley.com/documents/?uuid=6aa30de8-60f9-3fdb-9811-8c27e38dd192"]}],"mendeley":{"formattedCitation":"(221)","plainTextFormattedCitation":"(221)","previouslyFormattedCitation":"(221)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(221)</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17E0D167" w14:textId="7076F086" w:rsidR="002F53A1" w:rsidRPr="00EC3E91" w:rsidRDefault="004251AA"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tcPr>
          <w:p w14:paraId="26CE0B1A" w14:textId="475E7AE6" w:rsidR="002F53A1" w:rsidRPr="00EC3E91" w:rsidRDefault="00301C39"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tcPr>
          <w:p w14:paraId="498C9E24" w14:textId="0F1E2059" w:rsidR="002F53A1" w:rsidRPr="00EC3E91" w:rsidRDefault="00301C39" w:rsidP="00C02742">
            <w:pPr>
              <w:rPr>
                <w:sz w:val="20"/>
                <w:szCs w:val="20"/>
                <w:lang w:val="en-US"/>
              </w:rPr>
            </w:pPr>
            <w:r w:rsidRPr="00EC3E91">
              <w:rPr>
                <w:sz w:val="20"/>
                <w:szCs w:val="20"/>
                <w:lang w:val="en-US"/>
              </w:rPr>
              <w:t>Quant/Cohort</w:t>
            </w:r>
          </w:p>
        </w:tc>
        <w:tc>
          <w:tcPr>
            <w:tcW w:w="851" w:type="dxa"/>
            <w:tcBorders>
              <w:top w:val="single" w:sz="4" w:space="0" w:color="auto"/>
              <w:left w:val="nil"/>
              <w:bottom w:val="single" w:sz="4" w:space="0" w:color="auto"/>
              <w:right w:val="nil"/>
            </w:tcBorders>
          </w:tcPr>
          <w:p w14:paraId="329B9FAC" w14:textId="448E1BDF" w:rsidR="002F53A1" w:rsidRPr="00EC3E91" w:rsidRDefault="00227CD7"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17496619" w14:textId="539EFC5B" w:rsidR="002F53A1" w:rsidRPr="00EC3E91" w:rsidRDefault="00227CD7" w:rsidP="00C02742">
            <w:pPr>
              <w:rPr>
                <w:sz w:val="20"/>
                <w:szCs w:val="20"/>
                <w:lang w:val="en-US"/>
              </w:rPr>
            </w:pPr>
            <w:r w:rsidRPr="00EC3E91">
              <w:rPr>
                <w:sz w:val="20"/>
                <w:szCs w:val="20"/>
                <w:lang w:val="en-US"/>
              </w:rPr>
              <w:t xml:space="preserve">PIM Elderly </w:t>
            </w:r>
          </w:p>
        </w:tc>
        <w:tc>
          <w:tcPr>
            <w:tcW w:w="2126" w:type="dxa"/>
            <w:tcBorders>
              <w:top w:val="single" w:sz="4" w:space="0" w:color="auto"/>
              <w:left w:val="nil"/>
              <w:bottom w:val="single" w:sz="4" w:space="0" w:color="auto"/>
              <w:right w:val="nil"/>
            </w:tcBorders>
          </w:tcPr>
          <w:p w14:paraId="75DE9409" w14:textId="28247988" w:rsidR="002F53A1" w:rsidRPr="00EC3E91" w:rsidRDefault="00F7430F"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tcPr>
          <w:p w14:paraId="76E21DFE" w14:textId="178A1C4F" w:rsidR="002F53A1" w:rsidRPr="00EC3E91" w:rsidRDefault="00F7430F" w:rsidP="00C02742">
            <w:pPr>
              <w:rPr>
                <w:sz w:val="20"/>
                <w:szCs w:val="20"/>
                <w:lang w:val="en-US"/>
              </w:rPr>
            </w:pPr>
            <w:r w:rsidRPr="00EC3E91">
              <w:rPr>
                <w:sz w:val="20"/>
                <w:szCs w:val="20"/>
                <w:lang w:val="en-US"/>
              </w:rPr>
              <w:t>Baer criteria; START/STOPP</w:t>
            </w:r>
          </w:p>
        </w:tc>
        <w:tc>
          <w:tcPr>
            <w:tcW w:w="2551" w:type="dxa"/>
            <w:tcBorders>
              <w:top w:val="single" w:sz="4" w:space="0" w:color="auto"/>
              <w:left w:val="nil"/>
              <w:bottom w:val="single" w:sz="4" w:space="0" w:color="auto"/>
              <w:right w:val="nil"/>
            </w:tcBorders>
          </w:tcPr>
          <w:p w14:paraId="5BA59BDF" w14:textId="312FD971" w:rsidR="002F53A1" w:rsidRPr="00EC3E91" w:rsidRDefault="00A03DD7" w:rsidP="00C02742">
            <w:pPr>
              <w:rPr>
                <w:sz w:val="20"/>
                <w:szCs w:val="20"/>
                <w:lang w:val="en-US"/>
              </w:rPr>
            </w:pPr>
            <w:r w:rsidRPr="00EC3E91">
              <w:rPr>
                <w:sz w:val="20"/>
                <w:szCs w:val="20"/>
                <w:lang w:val="en-US"/>
              </w:rPr>
              <w:t>develop and organize quality assurance systems, assess and redesign workflow</w:t>
            </w:r>
          </w:p>
        </w:tc>
      </w:tr>
      <w:tr w:rsidR="00F422E5" w:rsidRPr="00E119DD" w14:paraId="7DE406C2" w14:textId="77777777" w:rsidTr="00F422E5">
        <w:trPr>
          <w:trHeight w:val="2235"/>
        </w:trPr>
        <w:tc>
          <w:tcPr>
            <w:tcW w:w="993" w:type="dxa"/>
            <w:tcBorders>
              <w:top w:val="single" w:sz="4" w:space="0" w:color="auto"/>
              <w:left w:val="nil"/>
              <w:bottom w:val="single" w:sz="4" w:space="0" w:color="auto"/>
              <w:right w:val="nil"/>
            </w:tcBorders>
          </w:tcPr>
          <w:p w14:paraId="3A5F182B" w14:textId="2A883149" w:rsidR="00F422E5" w:rsidRPr="00EC3E91" w:rsidRDefault="00C6568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{"citationItems":[{"id":"ITEM-1","itemData":{"ISSN":"0888-5109","abstract":"OBJECTIVE: To evaluate the effects of applying lean methodology - improving quality, increasing efficiency by eliminating waste, and reducing costs - an approach to decrease the prescribing frequency of antipsychotics for the indication of agitation. DESIGN: Historically controlled study. SETTING: Sheppard Pratt health system is the largest private provider of psychiatric care in Maryland, with a total bed capacity of 300. There were 4,337 patient days from November 1, 2012 to October 31, 2013 on the dementia unit. PATIENTS: All patients admitted on the dementia unit were 65 years of age and older with a primary diagnosis of dementia. INTERVENTION: Our multidisciplinary team used lean methodology to identify the root causes and interventions necessary to reduce inappropriate antipsychotic use. MAIN OUTCOME MEASURES: The primary outcome was rate of inappropriately indicating agitation as the rationale when prescribing antipsychotic medications. RESULTS: There was a 90% (P &lt; 0.001) reduction in rate of antipsychotic prescribing with an indication of agitation. CONCLUSION: The lean methodology interventions led to a 90% (P &lt; 0.001) reduction in the rate of antipsychotic prescribing with an indication of agitation and a 10% rate reduction in overall antipsychotic prescribing.","author":[{"dropping-particle":"","family":"Goga","given":"J K","non-dropping-particle":"","parse-names":false,"suffix":""},{"dropping-particle":"","family":"Depaolo","given":"A","non-dropping-particle":"","parse-names":false,"suffix":""},{"dropping-particle":"","family":"Khushalani","given":"S","non-dropping-particle":"","parse-names":false,"suffix":""},{"dropping-particle":"","family":"Walters","given":"J K","non-dropping-particle":"","parse-names":false,"suffix":""},{"dropping-particle":"","family":"Roca","given":"R","non-dropping-particle":"","parse-names":false,"suffix":""},{"dropping-particle":"","family":"Zisselman","given":"M","non-dropping-particle":"","parse-names":false,"suffix":""},{"dropping-particle":"","family":"Borleis","given":"C","non-dropping-particle":"","parse-names":false,"suffix":""}],"container-title":"Consultant Pharmacist","id":"ITEM-1","issue":"1","issued":{"date-parts":[["2017"]]},"language":"English","page":"54-62","publisher-place":"J.K. Goga, Sheppard Pratt Health System, Pharmacy Department, 6501 North Charles Street, Baltimore, MD, United States","title":"Lean methodology reduces inappropriate use of antipsychotics for agitation at a psychiatric hospital","type":"article-journal","volume":"32"},"uris":["http://www.mendeley.com/documents/?uuid=7018ddef-7c8f-3d46-9168-02b3b745756a"]}],"mendeley":{"formattedCitation":"(222)","plainTextFormattedCitation":"(222)","previouslyFormattedCitation":"(222)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D2F0601" w14:textId="77777777" w:rsidR="00F422E5" w:rsidRPr="00EC3E91" w:rsidRDefault="00F422E5" w:rsidP="00C02742">
            <w:pPr>
              <w:rPr>
                <w:sz w:val="20"/>
                <w:szCs w:val="20"/>
                <w:lang w:val="en-US"/>
              </w:rPr>
            </w:pPr>
            <w:r w:rsidRPr="00EC3E91">
              <w:rPr>
                <w:sz w:val="20"/>
                <w:szCs w:val="20"/>
                <w:lang w:val="en-US"/>
              </w:rPr>
              <w:t xml:space="preserve">USA </w:t>
            </w:r>
          </w:p>
        </w:tc>
        <w:tc>
          <w:tcPr>
            <w:tcW w:w="993" w:type="dxa"/>
            <w:tcBorders>
              <w:top w:val="single" w:sz="4" w:space="0" w:color="auto"/>
              <w:left w:val="nil"/>
              <w:bottom w:val="single" w:sz="4" w:space="0" w:color="auto"/>
              <w:right w:val="nil"/>
            </w:tcBorders>
            <w:hideMark/>
          </w:tcPr>
          <w:p w14:paraId="4006532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DB072CE"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53123C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9373694" w14:textId="3E46D903" w:rsidR="00F422E5" w:rsidRPr="00EC3E91" w:rsidRDefault="00CC4687"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6635B410" w14:textId="77777777" w:rsidR="00F422E5" w:rsidRPr="00EC3E91" w:rsidRDefault="00F422E5" w:rsidP="00C02742">
            <w:pPr>
              <w:rPr>
                <w:sz w:val="20"/>
                <w:szCs w:val="20"/>
                <w:lang w:val="en-US"/>
              </w:rPr>
            </w:pPr>
            <w:r w:rsidRPr="00EC3E91">
              <w:rPr>
                <w:sz w:val="20"/>
                <w:szCs w:val="20"/>
                <w:lang w:val="en-US"/>
              </w:rPr>
              <w:t>Inappropriate prescription of antipsychotics</w:t>
            </w:r>
          </w:p>
        </w:tc>
        <w:tc>
          <w:tcPr>
            <w:tcW w:w="3970" w:type="dxa"/>
            <w:tcBorders>
              <w:top w:val="single" w:sz="4" w:space="0" w:color="auto"/>
              <w:left w:val="nil"/>
              <w:bottom w:val="single" w:sz="4" w:space="0" w:color="auto"/>
              <w:right w:val="nil"/>
            </w:tcBorders>
            <w:hideMark/>
          </w:tcPr>
          <w:p w14:paraId="3549C406" w14:textId="77777777" w:rsidR="00F422E5" w:rsidRPr="00EC3E91" w:rsidRDefault="00F422E5" w:rsidP="00C02742">
            <w:pPr>
              <w:rPr>
                <w:sz w:val="20"/>
                <w:szCs w:val="20"/>
                <w:lang w:val="en-US"/>
              </w:rPr>
            </w:pPr>
            <w:r w:rsidRPr="00EC3E91">
              <w:rPr>
                <w:sz w:val="20"/>
                <w:szCs w:val="20"/>
                <w:lang w:val="en-US"/>
              </w:rPr>
              <w:t xml:space="preserve">Food and Drug Administration. Information for </w:t>
            </w:r>
            <w:r w:rsidRPr="00EC3E91">
              <w:rPr>
                <w:sz w:val="20"/>
                <w:szCs w:val="20"/>
                <w:lang w:val="en-US"/>
              </w:rPr>
              <w:br/>
              <w:t>Healthcare Professionals: Conventional Antipsychotics.</w:t>
            </w:r>
          </w:p>
        </w:tc>
        <w:tc>
          <w:tcPr>
            <w:tcW w:w="2551" w:type="dxa"/>
            <w:tcBorders>
              <w:top w:val="single" w:sz="4" w:space="0" w:color="auto"/>
              <w:left w:val="nil"/>
              <w:bottom w:val="single" w:sz="4" w:space="0" w:color="auto"/>
              <w:right w:val="nil"/>
            </w:tcBorders>
            <w:hideMark/>
          </w:tcPr>
          <w:p w14:paraId="69F1D778" w14:textId="77777777" w:rsidR="00F422E5" w:rsidRPr="00EC3E91" w:rsidRDefault="00F422E5" w:rsidP="00C02742">
            <w:pPr>
              <w:rPr>
                <w:sz w:val="20"/>
                <w:szCs w:val="20"/>
                <w:lang w:val="en-US"/>
              </w:rPr>
            </w:pPr>
            <w:r w:rsidRPr="00EC3E91">
              <w:rPr>
                <w:sz w:val="20"/>
                <w:szCs w:val="20"/>
                <w:lang w:val="en-US"/>
              </w:rPr>
              <w:t>change physical structure and equipment</w:t>
            </w:r>
          </w:p>
        </w:tc>
      </w:tr>
      <w:tr w:rsidR="00F422E5" w:rsidRPr="00E119DD" w14:paraId="0D8C0F72" w14:textId="77777777" w:rsidTr="00F422E5">
        <w:trPr>
          <w:trHeight w:val="2235"/>
        </w:trPr>
        <w:tc>
          <w:tcPr>
            <w:tcW w:w="993" w:type="dxa"/>
            <w:tcBorders>
              <w:top w:val="single" w:sz="4" w:space="0" w:color="auto"/>
              <w:left w:val="nil"/>
              <w:bottom w:val="single" w:sz="4" w:space="0" w:color="auto"/>
              <w:right w:val="nil"/>
            </w:tcBorders>
          </w:tcPr>
          <w:p w14:paraId="2FE43D75" w14:textId="312012D2" w:rsidR="00F422E5" w:rsidRPr="00EC3E91" w:rsidRDefault="006E317B"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{"citationItems":[{"id":"ITEM-1","itemData":{"DOI":"DOI: 10.1017/ice.2017.256","ISSN":"0899-823X","abstract":"BACKGROUNDUrinary catheters, many of which are placed in the emergency department (ED) setting, are often inappropriate, and they are associated with infectious and noninfectious complications. Although several studies evaluating the effect of interventions have focused on reducing catheter use in the ED setting, the organizational contexts within which these interventions were implemented have not been compared.METHODSA total of 18 hospitals in the Ascension health system (ie, system-based hospitals) and 16 hospitals in the state of Michigan (ie, state-based hospitals led by the Michigan Health and Hospital Association) implemented ED interventions focused on reducing urinary catheter use. Data on urinary catheter placement in the ED, indications for catheter use, and presence of physician order for catheter placement were collected for interventions in both hospital types. Multilevel negative binomial regression was used to compare the system-based versus state-based interventions.RESULTSA total of 13,215 patients (889 with catheters) from the system-based intervention were compared to 12,104 patients (718 with catheters) from the state-based intervention. Statistically significant and sustainable reductions in urinary catheter placement (incidence rate ratio, 0.79; P=.02) and improvements in appropriate use of urinary catheters (odds ratio [OR], 1.86; P=.004) in the ED were observed in the system-based intervention, compared to the state-based intervention. Differences by collaborative structure in changes in presence of physician order for urinary catheter placement (OR, 1.14; P=.60) were not observed.CONCLUSIONSAn ED intervention consisting of establishing institutional guidelines for appropriate catheter placement and identifying clinical champions to promote adherence was associated with reducing unnecessary urinary catheter use under a system-based collaborative structure.Infect Control Hosp Epidemiol 2018;39:77–84","author":[{"dropping-particle":"","family":"Greene","given":"M Todd","non-dropping-particle":"","parse-names":false,"suffix":""},{"dropping-particle":"","family":"Fakih","given":"Mohamad G","non-dropping-particle":"","parse-names":false,"suffix":""},{"dropping-particle":"","family":"Watson","given":"Sam R","non-dropping-particle":"","parse-names":false,"suffix":""},{"dropping-particle":"","family":"Ratz","given":"David","non-dropping-particle":"","parse-names":false,"suffix":""},{"dropping-particle":"","family":"Saint","given":"Sanjay","non-dropping-particle":"","parse-names":false,"suffix":""}],"container-title":"Infection Control &amp; Hospital Epidemiology","edition":"2017/12/18","id":"ITEM-1","issue":"1","issued":{"date-parts":[["2018"]]},"page":"77-84","publisher":"Cambridge University Press","title":"Reducing Inappropriate Urinary Catheter Use in the Emergency Department: Comparing Two Collaborative Structures","type":"article-journal","volume":"39"},"uris":["http://www.mendeley.com/documents/?uuid=337a3f7a-7ad5-3d70-9166-9c43f4f41549"]}],"mendeley":{"formattedCitation":"(223)","plainTextFormattedCitation":"(223)","previouslyFormattedCitation":"(223)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2168A71"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5CA0232"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1C2F649"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2F6EF1E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E42611E" w14:textId="021CE4E8" w:rsidR="00F422E5" w:rsidRPr="00EC3E91" w:rsidRDefault="00F422E5" w:rsidP="00C02742">
            <w:pPr>
              <w:rPr>
                <w:sz w:val="20"/>
                <w:szCs w:val="20"/>
                <w:lang w:val="en-US"/>
              </w:rPr>
            </w:pPr>
            <w:r w:rsidRPr="00EC3E91">
              <w:rPr>
                <w:sz w:val="20"/>
                <w:szCs w:val="20"/>
                <w:lang w:val="en-US"/>
              </w:rPr>
              <w:t xml:space="preserve">Surgical and </w:t>
            </w:r>
            <w:r w:rsidR="00CC4687" w:rsidRPr="00EC3E91">
              <w:rPr>
                <w:sz w:val="20"/>
                <w:szCs w:val="20"/>
                <w:lang w:val="en-US"/>
              </w:rPr>
              <w:t>non-surgical</w:t>
            </w:r>
            <w:r w:rsidRPr="00EC3E91">
              <w:rPr>
                <w:sz w:val="20"/>
                <w:szCs w:val="20"/>
                <w:lang w:val="en-US"/>
              </w:rPr>
              <w:t xml:space="preserve"> procedures</w:t>
            </w:r>
          </w:p>
        </w:tc>
        <w:tc>
          <w:tcPr>
            <w:tcW w:w="2126" w:type="dxa"/>
            <w:tcBorders>
              <w:top w:val="single" w:sz="4" w:space="0" w:color="auto"/>
              <w:left w:val="nil"/>
              <w:bottom w:val="single" w:sz="4" w:space="0" w:color="auto"/>
              <w:right w:val="nil"/>
            </w:tcBorders>
            <w:hideMark/>
          </w:tcPr>
          <w:p w14:paraId="63948999" w14:textId="77777777" w:rsidR="00F422E5" w:rsidRPr="00EC3E91" w:rsidRDefault="00F422E5" w:rsidP="00C02742">
            <w:pPr>
              <w:rPr>
                <w:sz w:val="20"/>
                <w:szCs w:val="20"/>
                <w:lang w:val="en-US"/>
              </w:rPr>
            </w:pPr>
            <w:r w:rsidRPr="00EC3E91">
              <w:rPr>
                <w:sz w:val="20"/>
                <w:szCs w:val="20"/>
                <w:lang w:val="en-US"/>
              </w:rPr>
              <w:t>Inappropriate use of urinary catheters</w:t>
            </w:r>
          </w:p>
        </w:tc>
        <w:tc>
          <w:tcPr>
            <w:tcW w:w="3970" w:type="dxa"/>
            <w:tcBorders>
              <w:top w:val="single" w:sz="4" w:space="0" w:color="auto"/>
              <w:left w:val="nil"/>
              <w:bottom w:val="single" w:sz="4" w:space="0" w:color="auto"/>
              <w:right w:val="nil"/>
            </w:tcBorders>
            <w:hideMark/>
          </w:tcPr>
          <w:p w14:paraId="546F9A48" w14:textId="77777777" w:rsidR="00F422E5" w:rsidRPr="00EC3E91" w:rsidRDefault="00F422E5" w:rsidP="00C02742">
            <w:pPr>
              <w:rPr>
                <w:sz w:val="20"/>
                <w:szCs w:val="20"/>
                <w:lang w:val="en-US"/>
              </w:rPr>
            </w:pPr>
            <w:r w:rsidRPr="00EC3E91">
              <w:rPr>
                <w:sz w:val="20"/>
                <w:szCs w:val="20"/>
                <w:lang w:val="en-US"/>
              </w:rPr>
              <w:t>Centers for Disease Control and Prevention (CDC) guidelines</w:t>
            </w:r>
          </w:p>
        </w:tc>
        <w:tc>
          <w:tcPr>
            <w:tcW w:w="2551" w:type="dxa"/>
            <w:tcBorders>
              <w:top w:val="single" w:sz="4" w:space="0" w:color="auto"/>
              <w:left w:val="nil"/>
              <w:bottom w:val="single" w:sz="4" w:space="0" w:color="auto"/>
              <w:right w:val="nil"/>
            </w:tcBorders>
            <w:hideMark/>
          </w:tcPr>
          <w:p w14:paraId="587EA4FB" w14:textId="77777777" w:rsidR="00F422E5" w:rsidRPr="00EC3E91" w:rsidRDefault="00F422E5" w:rsidP="00C02742">
            <w:pPr>
              <w:rPr>
                <w:sz w:val="20"/>
                <w:szCs w:val="20"/>
                <w:lang w:val="en-US"/>
              </w:rPr>
            </w:pPr>
            <w:r w:rsidRPr="00EC3E91">
              <w:rPr>
                <w:sz w:val="20"/>
                <w:szCs w:val="20"/>
                <w:lang w:val="en-US"/>
              </w:rPr>
              <w:t xml:space="preserve">identify and prepare champions, audit and provide feedback </w:t>
            </w:r>
          </w:p>
        </w:tc>
      </w:tr>
      <w:tr w:rsidR="00F422E5" w:rsidRPr="00E119DD" w14:paraId="2FC643DB" w14:textId="77777777" w:rsidTr="00F422E5">
        <w:trPr>
          <w:trHeight w:val="2235"/>
        </w:trPr>
        <w:tc>
          <w:tcPr>
            <w:tcW w:w="993" w:type="dxa"/>
            <w:tcBorders>
              <w:top w:val="single" w:sz="4" w:space="0" w:color="auto"/>
              <w:left w:val="nil"/>
              <w:bottom w:val="single" w:sz="4" w:space="0" w:color="auto"/>
              <w:right w:val="nil"/>
            </w:tcBorders>
          </w:tcPr>
          <w:p w14:paraId="51394F38" w14:textId="0060E2BB" w:rsidR="00F422E5" w:rsidRPr="00EC3E91" w:rsidRDefault="00EA6F9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{"citationItems":[{"id":"ITEM-1","itemData":{"DOI":"10.11909/j.issn.1671-5411.2018.04.011","ISSN":"1671-5411","abstract":"It is debatable whether treating multimorbid nursing home patients with antihypertensive drugs produces beneficial effects. Most cardiovascular guidelines promote treatment; few have advice on how to deprescribe when treatment may no longer be necessary. We investigated the effect of medication review on antihypertensive drug use and the association between cognition, blood pressure, and prescribing.\nFrom August 2014 to December 2015, 765 patients from 72 units (clusters) in 32 Norwegian nursing homes were included in a 4-month, multicentre, cluster-randomized, controlled trial, with 9-month follow-up. Patients ≥ 65 years old with antihypertensive treatment (\n= 295, 39%) were randomized to systematic medication review where the physician received support from peers (collegial mentoring) or were given care as usual (control condition). Outcome measures were the number of antihypertensive drugs, systolic blood pressure, and pulse. We used hospitalizations and deaths as criteria to assess harm.\nAt baseline, each patient used 9.2 ± 3.5 regular drugs, and 1.6 ± 0.7 antihypertensives. Mean blood pressure was 128/71 mmHg and 9% had a systolic pressure ≥ 160 mmHg. Between baseline and month four, antihypertensives were deprescribed to a significantly higher extent in the intervention group (\n= 43, 32%) compared to control (\n= 11, 10%); Incidence Rate Ratio = 0.8, 95% CI = 0.7-0.9. In the intervention group, there was an immediate increase in systolic blood pressure when antihypertensives were reduced, from baseline 128 ± 19.5 mmHg to 143 ± 25.5 mmHg at month four. However, at month nine, the blood pressure had reverted to baseline values (mean 134 mmHg). Deprescription did not affect pulse and systolic pressure. The number of hospitalizations was higher in control patients at month four (\n= 0.031) and nine (\n= 0.041).\nA systematic medication review supported by collegial mentoring significantly decreased the use of antihypertensive drugs in nursing home patients without an effect on the systolic blood pressure over time.","author":[{"dropping-particle":"","family":"Gulla","given":"Christine","non-dropping-particle":"","parse-names":false,"suffix":""},{"dropping-particle":"","family":"Flo","given":"Elisabeth","non-dropping-particle":"","parse-names":false,"suffix":""},{"dropping-particle":"","family":"Kjome","given":"Reidun Ls","non-dropping-particle":"","parse-names":false,"suffix":""},{"dropping-particle":"","family":"Husebo","given":"Bettina S","non-dropping-particle":"","parse-names":false,"suffix":""}],"container-title":"Journal of geriatric cardiology : JGC","id":"ITEM-1","issue":"4","issued":{"date-parts":[["2018"]]},"page":"275-283","publisher":"Science Press","publisher-place":"China","title":"Deprescribing antihypertensive treatment in nursing home patients and the effect on blood pressure","type":"article-journal","volume":"15"},"uris":["http://www.mendeley.com/documents/?uuid=dde0b0da-126d-4c82-a053-3532dd1d23da"]}],"mendeley":{"formattedCitation":"(224)","plainTextFormattedCitation":"(224)","previouslyFormattedCitation":"(224)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EA10A23" w14:textId="77777777" w:rsidR="00F422E5" w:rsidRPr="00EC3E91" w:rsidRDefault="00F422E5" w:rsidP="00C02742">
            <w:pPr>
              <w:rPr>
                <w:sz w:val="20"/>
                <w:szCs w:val="20"/>
                <w:lang w:val="en-US"/>
              </w:rPr>
            </w:pPr>
            <w:r w:rsidRPr="00EC3E91">
              <w:rPr>
                <w:sz w:val="20"/>
                <w:szCs w:val="20"/>
                <w:lang w:val="en-US"/>
              </w:rPr>
              <w:t>Norway</w:t>
            </w:r>
          </w:p>
        </w:tc>
        <w:tc>
          <w:tcPr>
            <w:tcW w:w="993" w:type="dxa"/>
            <w:tcBorders>
              <w:top w:val="single" w:sz="4" w:space="0" w:color="auto"/>
              <w:left w:val="nil"/>
              <w:bottom w:val="single" w:sz="4" w:space="0" w:color="auto"/>
              <w:right w:val="nil"/>
            </w:tcBorders>
            <w:hideMark/>
          </w:tcPr>
          <w:p w14:paraId="230E9EAF"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02EA5B5F"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73BFFD0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75B44F3" w14:textId="77777777" w:rsidR="00F422E5" w:rsidRPr="00EC3E91" w:rsidRDefault="00F422E5" w:rsidP="00C02742">
            <w:pPr>
              <w:rPr>
                <w:sz w:val="20"/>
                <w:szCs w:val="20"/>
                <w:lang w:val="en-US"/>
              </w:rPr>
            </w:pPr>
            <w:r w:rsidRPr="00EC3E91">
              <w:rPr>
                <w:sz w:val="20"/>
                <w:szCs w:val="20"/>
                <w:lang w:val="en-US"/>
              </w:rPr>
              <w:t>Other</w:t>
            </w:r>
          </w:p>
        </w:tc>
        <w:tc>
          <w:tcPr>
            <w:tcW w:w="2126" w:type="dxa"/>
            <w:tcBorders>
              <w:top w:val="single" w:sz="4" w:space="0" w:color="auto"/>
              <w:left w:val="nil"/>
              <w:bottom w:val="single" w:sz="4" w:space="0" w:color="auto"/>
              <w:right w:val="nil"/>
            </w:tcBorders>
            <w:hideMark/>
          </w:tcPr>
          <w:p w14:paraId="7370E070" w14:textId="77777777" w:rsidR="00F422E5" w:rsidRPr="00EC3E91" w:rsidRDefault="00F422E5" w:rsidP="00C02742">
            <w:pPr>
              <w:rPr>
                <w:sz w:val="20"/>
                <w:szCs w:val="20"/>
                <w:lang w:val="en-US"/>
              </w:rPr>
            </w:pPr>
            <w:r w:rsidRPr="00EC3E91">
              <w:rPr>
                <w:sz w:val="20"/>
                <w:szCs w:val="20"/>
                <w:lang w:val="en-US"/>
              </w:rPr>
              <w:t>Inappropriate use of antihypertensives</w:t>
            </w:r>
          </w:p>
        </w:tc>
        <w:tc>
          <w:tcPr>
            <w:tcW w:w="3970" w:type="dxa"/>
            <w:tcBorders>
              <w:top w:val="single" w:sz="4" w:space="0" w:color="auto"/>
              <w:left w:val="nil"/>
              <w:bottom w:val="single" w:sz="4" w:space="0" w:color="auto"/>
              <w:right w:val="nil"/>
            </w:tcBorders>
            <w:hideMark/>
          </w:tcPr>
          <w:p w14:paraId="4C5F1170" w14:textId="77777777" w:rsidR="00F422E5" w:rsidRPr="00EC3E91" w:rsidRDefault="00F422E5" w:rsidP="00C02742">
            <w:pPr>
              <w:rPr>
                <w:sz w:val="20"/>
                <w:szCs w:val="20"/>
                <w:lang w:val="en-US"/>
              </w:rPr>
            </w:pPr>
            <w:r w:rsidRPr="00EC3E91">
              <w:rPr>
                <w:sz w:val="20"/>
                <w:szCs w:val="20"/>
                <w:lang w:val="en-US"/>
              </w:rPr>
              <w:t xml:space="preserve">ESH/ESC guidelines for the management of arterial hypertension: </w:t>
            </w:r>
            <w:r w:rsidRPr="00EC3E91">
              <w:rPr>
                <w:sz w:val="20"/>
                <w:szCs w:val="20"/>
                <w:lang w:val="en-US"/>
              </w:rPr>
              <w:br/>
              <w:t>2014 evidence-based guideline for the management of high blood pressure in adults: report from the panel members appointed to the Eighth Joint National Committee</w:t>
            </w:r>
          </w:p>
        </w:tc>
        <w:tc>
          <w:tcPr>
            <w:tcW w:w="2551" w:type="dxa"/>
            <w:tcBorders>
              <w:top w:val="single" w:sz="4" w:space="0" w:color="auto"/>
              <w:left w:val="nil"/>
              <w:bottom w:val="single" w:sz="4" w:space="0" w:color="auto"/>
              <w:right w:val="nil"/>
            </w:tcBorders>
            <w:hideMark/>
          </w:tcPr>
          <w:p w14:paraId="762CCD20" w14:textId="77777777" w:rsidR="00F422E5" w:rsidRPr="00EC3E91" w:rsidRDefault="00F422E5" w:rsidP="00C02742">
            <w:pPr>
              <w:rPr>
                <w:sz w:val="20"/>
                <w:szCs w:val="20"/>
                <w:lang w:val="en-US"/>
              </w:rPr>
            </w:pPr>
            <w:r w:rsidRPr="00EC3E91">
              <w:rPr>
                <w:sz w:val="20"/>
                <w:szCs w:val="20"/>
                <w:lang w:val="en-US"/>
              </w:rPr>
              <w:t xml:space="preserve">conduct educational meeting, identify and prepare champions, develop educational materials, develop and organize quality monitoring systems </w:t>
            </w:r>
          </w:p>
        </w:tc>
      </w:tr>
      <w:tr w:rsidR="00F422E5" w:rsidRPr="00E119DD" w14:paraId="3F7760AF" w14:textId="77777777" w:rsidTr="00F422E5">
        <w:trPr>
          <w:trHeight w:val="2235"/>
        </w:trPr>
        <w:tc>
          <w:tcPr>
            <w:tcW w:w="993" w:type="dxa"/>
            <w:tcBorders>
              <w:top w:val="single" w:sz="4" w:space="0" w:color="auto"/>
              <w:left w:val="nil"/>
              <w:bottom w:val="single" w:sz="4" w:space="0" w:color="auto"/>
              <w:right w:val="nil"/>
            </w:tcBorders>
          </w:tcPr>
          <w:p w14:paraId="6425EC84" w14:textId="17B1073F" w:rsidR="00F422E5" w:rsidRPr="00EC3E91" w:rsidRDefault="009D4610" w:rsidP="00C02742">
            <w:pPr>
              <w:rPr>
                <w:sz w:val="20"/>
                <w:szCs w:val="20"/>
                <w:lang w:val="en-US"/>
              </w:rPr>
            </w:pPr>
            <w:r w:rsidRPr="00EC3E91">
              <w:rPr>
                <w:sz w:val="20"/>
                <w:szCs w:val="20"/>
                <w:lang w:val="en-US"/>
              </w:rPr>
              <w:lastRenderedPageBreak/>
              <w:fldChar w:fldCharType="begin" w:fldLock="1"/>
            </w:r>
            <w:r w:rsidR="00DA102B">
              <w:rPr>
                <w:sz w:val="20"/>
                <w:szCs w:val="20"/>
                <w:lang w:val="en-US"/>
              </w:rPr>
              <w:instrText>ADDIN CSL_CITATION {"citationItems":[{"id":"ITEM-1","itemData":{"ISSN":"2226-4787","abstract":"Age-associated physiological changes and extensive drug treatment including use of potentially inappropriate medications (PIMs) pose a significant risk of drug-drug interactions and adverse drug events among elderly people with dementia. This study aimed at analysing the effects of clinical pharmacists' interventions on use of PIMs, risk of emergency department visits, and time to institutionalization. Furthermore, a descriptive analysis was conducted of circumstances associated with drug-related readmissions. This is a secondary analysis of data from a randomized controlled intervention study conducted in two hospitals in Northern Sweden. The study included patients (n = 460) 65 years or older with dementia or cognitive impairment. The intervention consisted of comprehensive medication reviews conducted by clinical pharmacists as part of a healthcare team. There was a larger decrease in PIMs in the intervention group compared with the control group (p = 0.011). No significant difference was found in time to first all-cause emergency department visits (HR = 0.994, 95% CI = 0.755-1.307 p = 0.963, simple Cox regression) or time to institutionalization (HR = 0.761, 95% CI = 0.409-1.416 p = 0.389, simple Cox regression) within 180 days. Common reasons for drug-related readmissions were negative effects of sedatives, opioids, antidepressants, and anticholinergic agents, resulting in confusion, falling, and sedation. Drug-related readmissions were associated with living at home, heart failure, and diabetes. Pharmacist-provided interventions were able to reduce PIMs among elderly people with dementia and cognitive impairment.","author":[{"dropping-particle":"","family":"Gustafsson","given":"M","non-dropping-particle":"","parse-names":false,"suffix":""},{"dropping-particle":"","family":"Sjol","given":"","non-dropping-particle":"","parse-names":false,"suffix":""},{"dropping-particle":"","family":"Er","given":"M","non-dropping-particle":"","parse-names":false,"suffix":""},{"dropping-particle":"","family":"Pfister","given":"B","non-dropping-particle":"","parse-names":false,"suffix":""},{"dropping-particle":"","family":"Schneede","given":"J","non-dropping-particle":"","parse-names":false,"suffix":""},{"dropping-particle":"","family":"Lovheim","given":"H","non-dropping-particle":"","parse-names":false,"suffix":""}],"container-title":"Pharmacy : A Journal Of Pharmacy Education And Practice","id":"ITEM-1","issue":"1","issued":{"date-parts":[["0"]]},"page":"16","title":"Effects of Pharmacists' Interventions on Inappropriate Drug Use and Drug-Related Readmissions in People with Dementia-A Secondary Analysis of a Randomized Controlled Trial","type":"article-journal","volume":"6"},"uris":["http://www.mendeley.com/documents/?uuid=caca6bb5-6009-475e-bc94-501c97baaa40"]}],"mendeley":{"formattedCitation":"(225)","plainTextFormattedCitation":"(225)","previouslyFormattedCitation":"(225)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DEF7A7E" w14:textId="77777777" w:rsidR="00F422E5" w:rsidRPr="00EC3E91" w:rsidRDefault="00F422E5" w:rsidP="00C02742">
            <w:pPr>
              <w:rPr>
                <w:sz w:val="20"/>
                <w:szCs w:val="20"/>
                <w:lang w:val="en-US"/>
              </w:rPr>
            </w:pPr>
            <w:r w:rsidRPr="00EC3E91">
              <w:rPr>
                <w:sz w:val="20"/>
                <w:szCs w:val="20"/>
                <w:lang w:val="en-US"/>
              </w:rPr>
              <w:t>Sweden</w:t>
            </w:r>
          </w:p>
        </w:tc>
        <w:tc>
          <w:tcPr>
            <w:tcW w:w="993" w:type="dxa"/>
            <w:tcBorders>
              <w:top w:val="single" w:sz="4" w:space="0" w:color="auto"/>
              <w:left w:val="nil"/>
              <w:bottom w:val="single" w:sz="4" w:space="0" w:color="auto"/>
              <w:right w:val="nil"/>
            </w:tcBorders>
            <w:hideMark/>
          </w:tcPr>
          <w:p w14:paraId="073AF4E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BD17C62"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2E9DA63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0FEC4D3"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78D1D6F9"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25310645" w14:textId="77777777" w:rsidR="00F422E5" w:rsidRPr="00EC3E91" w:rsidRDefault="00F422E5" w:rsidP="00C02742">
            <w:pPr>
              <w:rPr>
                <w:sz w:val="20"/>
                <w:szCs w:val="20"/>
                <w:lang w:val="en-US"/>
              </w:rPr>
            </w:pPr>
            <w:r w:rsidRPr="00EC3E91">
              <w:rPr>
                <w:sz w:val="20"/>
                <w:szCs w:val="20"/>
                <w:lang w:val="en-US"/>
              </w:rPr>
              <w:t>The National Board of Health and Welfare. Indicators for Evaluating the Quality of Older People’s Drug Therapy.</w:t>
            </w:r>
          </w:p>
        </w:tc>
        <w:tc>
          <w:tcPr>
            <w:tcW w:w="2551" w:type="dxa"/>
            <w:tcBorders>
              <w:top w:val="single" w:sz="4" w:space="0" w:color="auto"/>
              <w:left w:val="nil"/>
              <w:bottom w:val="single" w:sz="4" w:space="0" w:color="auto"/>
              <w:right w:val="nil"/>
            </w:tcBorders>
            <w:hideMark/>
          </w:tcPr>
          <w:p w14:paraId="64CA49A0" w14:textId="46AA4C6D" w:rsidR="00F422E5" w:rsidRPr="00EC3E91" w:rsidRDefault="00F422E5" w:rsidP="00C02742">
            <w:pPr>
              <w:rPr>
                <w:sz w:val="20"/>
                <w:szCs w:val="20"/>
                <w:lang w:val="en-US"/>
              </w:rPr>
            </w:pPr>
            <w:r w:rsidRPr="00EC3E91">
              <w:rPr>
                <w:sz w:val="20"/>
                <w:szCs w:val="20"/>
                <w:lang w:val="en-US"/>
              </w:rPr>
              <w:t xml:space="preserve">develop and </w:t>
            </w:r>
            <w:r w:rsidR="00CC4687" w:rsidRPr="00EC3E91">
              <w:rPr>
                <w:sz w:val="20"/>
                <w:szCs w:val="20"/>
                <w:lang w:val="en-US"/>
              </w:rPr>
              <w:t>organize</w:t>
            </w:r>
            <w:r w:rsidRPr="00EC3E91">
              <w:rPr>
                <w:sz w:val="20"/>
                <w:szCs w:val="20"/>
                <w:lang w:val="en-US"/>
              </w:rPr>
              <w:t xml:space="preserve"> quality monitoring system, conduct educational outreach visits </w:t>
            </w:r>
          </w:p>
        </w:tc>
      </w:tr>
      <w:tr w:rsidR="00F422E5" w:rsidRPr="00E119DD" w14:paraId="575A0CC7" w14:textId="77777777" w:rsidTr="00F422E5">
        <w:trPr>
          <w:trHeight w:val="2235"/>
        </w:trPr>
        <w:tc>
          <w:tcPr>
            <w:tcW w:w="993" w:type="dxa"/>
            <w:tcBorders>
              <w:top w:val="single" w:sz="4" w:space="0" w:color="auto"/>
              <w:left w:val="nil"/>
              <w:bottom w:val="single" w:sz="4" w:space="0" w:color="auto"/>
              <w:right w:val="nil"/>
            </w:tcBorders>
          </w:tcPr>
          <w:p w14:paraId="61C4E014" w14:textId="5ABF0677" w:rsidR="00F422E5" w:rsidRPr="00EC3E91" w:rsidRDefault="009D4610"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{"citationItems":[{"id":"ITEM-1","itemData":{"DOI":"DOI: 10.1017/ice.2020.12","ISSN":"0899-823X","abstract":"Objective:To determine the effect of an electronic medical record (EMR) nudge at reducing total and inappropriate orders testing for hospital-onset Clostridioides difficile infection (HO-CDI).Design:An interrupted time series analysis of HO-CDI orders 2 years before and 2 years after the implementation of an EMR intervention designed to reduce inappropriate HO-CDI testing. Orders for C. difficile testing were considered inappropriate if the patient had received a laxative or stool softener in the previous 24 hours.Setting:Four hospitals in an academic healthcare network.Patients:All patients with a C. difficile order after hospital day 3.Intervention:Orders for C. difficile testing in patients administered a laxative or stool softener in &lt;24 hours triggered an EMR alert defaulting to cancellation of the order (“nudge”).Results:Of the 17,694 HO-CDI orders, 7% were inappropriate (8% prentervention vs 6% postintervention; P &lt; .001). Monthly HO-CDI orders decreased by 21% postintervention (level-change rate ratio [RR], 0.79; 95% confidence interval [CI], 0.73–0.86), and the rate continued to decrease (postintervention trend change RR, 0.99; 95% CI, 0.98–1.00). The intervention was not associated with a level change in inappropriate HO-CDI orders (RR, 0.80; 95% CI, 0.61–1.05), but the postintervention inappropriate order rate decreased over time (RR, 0.95; 95% CI, 0.93–0.97).Conclusion:An EMR nudge to minimize inappropriate ordering for C. difficile was effective at reducing HO-CDI orders, and likely contributed to decreasing the inappropriate HO-CDI order rate after the intervention.","author":[{"dropping-particle":"","family":"Howard-Anderson","given":"Jessica R","non-dropping-particle":"","parse-names":false,"suffix":""},{"dropping-particle":"","family":"Sexton","given":"Mary Elizabeth","non-dropping-particle":"","parse-names":false,"suffix":""},{"dropping-particle":"","family":"Robichaux","given":"Chad","non-dropping-particle":"","parse-names":false,"suffix":""},{"dropping-particle":"","family":"Wiley","given":"Zanthia","non-dropping-particle":"","parse-names":false,"suffix":""},{"dropping-particle":"","family":"Varkey","given":"Jay B","non-dropping-particle":"","parse-names":false,"suffix":""},{"dropping-particle":"","family":"Suchindran","given":"Sujit","non-dropping-particle":"","parse-names":false,"suffix":""},{"dropping-particle":"","family":"Albrecht","given":"Benjamin","non-dropping-particle":"","parse-names":false,"suffix":""},{"dropping-particle":"","family":"Ashley Jones","given":"K","non-dropping-particle":"","parse-names":false,"suffix":""},{"dropping-particle":"","family":"Fridkin","given":"Scott K","non-dropping-particle":"","parse-names":false,"suffix":""},{"dropping-particle":"","family":"Jacob","given":"Jesse T","non-dropping-particle":"","parse-names":false,"suffix":""}],"container-title":"Infection Control &amp; Hospital Epidemiology","edition":"2020/02/10","id":"ITEM-1","issue":"4","issued":{"date-parts":[["2020"]]},"page":"411-417","publisher":"Cambridge University Press","title":"The impact of an electronic medical record nudge on reducing testing for hospital-onset Clostridioides difficile infection","type":"article-journal","volume":"41"},"uris":["http://www.mendeley.com/documents/?uuid=418cb351-5b6e-362f-994a-316e1f8dd7f9"]}],"mendeley":{"formattedCitation":"(226)","plainTextFormattedCitation":"(226)","previouslyFormattedCitation":"(226)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8D55C8B"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C4C3550"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2A5F85B"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1435A10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86FB846"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20FD45C0" w14:textId="77777777" w:rsidR="00F422E5" w:rsidRPr="00EC3E91" w:rsidRDefault="00F422E5" w:rsidP="00C02742">
            <w:pPr>
              <w:rPr>
                <w:sz w:val="20"/>
                <w:szCs w:val="20"/>
                <w:lang w:val="en-US"/>
              </w:rPr>
            </w:pPr>
            <w:r w:rsidRPr="00EC3E91">
              <w:rPr>
                <w:sz w:val="20"/>
                <w:szCs w:val="20"/>
                <w:lang w:val="en-US"/>
              </w:rPr>
              <w:t>Inappropriate HO-CDI diagnostic testing</w:t>
            </w:r>
          </w:p>
        </w:tc>
        <w:tc>
          <w:tcPr>
            <w:tcW w:w="3970" w:type="dxa"/>
            <w:tcBorders>
              <w:top w:val="single" w:sz="4" w:space="0" w:color="auto"/>
              <w:left w:val="nil"/>
              <w:bottom w:val="single" w:sz="4" w:space="0" w:color="auto"/>
              <w:right w:val="nil"/>
            </w:tcBorders>
            <w:hideMark/>
          </w:tcPr>
          <w:p w14:paraId="2F6994F1" w14:textId="77777777" w:rsidR="00F422E5" w:rsidRPr="00EC3E91" w:rsidRDefault="00F422E5" w:rsidP="00C02742">
            <w:pPr>
              <w:rPr>
                <w:sz w:val="20"/>
                <w:szCs w:val="20"/>
                <w:lang w:val="en-US"/>
              </w:rPr>
            </w:pPr>
            <w:r w:rsidRPr="00EC3E91">
              <w:rPr>
                <w:sz w:val="20"/>
                <w:szCs w:val="20"/>
                <w:lang w:val="en-US"/>
              </w:rPr>
              <w:t>The 2018 Infectious Diseases Society of America (IDSA) and Society for Healthcare Epidemiology of America (SHEA) CDI clinical practice guidelines</w:t>
            </w:r>
          </w:p>
        </w:tc>
        <w:tc>
          <w:tcPr>
            <w:tcW w:w="2551" w:type="dxa"/>
            <w:tcBorders>
              <w:top w:val="single" w:sz="4" w:space="0" w:color="auto"/>
              <w:left w:val="nil"/>
              <w:bottom w:val="single" w:sz="4" w:space="0" w:color="auto"/>
              <w:right w:val="nil"/>
            </w:tcBorders>
            <w:hideMark/>
          </w:tcPr>
          <w:p w14:paraId="0083B241" w14:textId="77777777" w:rsidR="00F422E5" w:rsidRPr="00EC3E91" w:rsidRDefault="00F422E5" w:rsidP="00C02742">
            <w:pPr>
              <w:rPr>
                <w:sz w:val="20"/>
                <w:szCs w:val="20"/>
                <w:lang w:val="en-US"/>
              </w:rPr>
            </w:pPr>
            <w:r w:rsidRPr="00EC3E91">
              <w:rPr>
                <w:sz w:val="20"/>
                <w:szCs w:val="20"/>
                <w:lang w:val="en-US"/>
              </w:rPr>
              <w:t xml:space="preserve">remind clinicians, </w:t>
            </w:r>
          </w:p>
        </w:tc>
      </w:tr>
      <w:tr w:rsidR="00F422E5" w:rsidRPr="00E119DD" w14:paraId="6BB9FF18" w14:textId="77777777" w:rsidTr="00F422E5">
        <w:trPr>
          <w:trHeight w:val="2235"/>
        </w:trPr>
        <w:tc>
          <w:tcPr>
            <w:tcW w:w="993" w:type="dxa"/>
            <w:tcBorders>
              <w:top w:val="single" w:sz="4" w:space="0" w:color="auto"/>
              <w:left w:val="nil"/>
              <w:bottom w:val="single" w:sz="4" w:space="0" w:color="auto"/>
              <w:right w:val="nil"/>
            </w:tcBorders>
          </w:tcPr>
          <w:p w14:paraId="34A90BBB" w14:textId="5E1BF22C" w:rsidR="00F422E5" w:rsidRPr="00EC3E91" w:rsidRDefault="00E92DE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{"citationItems":[{"id":"ITEM-1","itemData":{"abstract":"BACKGROUND: In the elderly, use of medications may increase the propensity for adverse drug events due to alterations in pharmacokinetic and pharma-codynamic profiles from normal aging processes. Deprescribing is the planned and supervised process of dose reduction or discontinuation of medications that may lead to harm or are no longer beneficial. While there are studies detailing strategies to deprescribe medications such as benzodi-azepines and antipsychotics in nursing homes or for patients with dementia, there is a lack of guidance to safely deprescribe chronic medications, such as antidiabetics, for older patients in the community setting.","author":[{"dropping-particle":"","family":"Hui","given":"Rita L","non-dropping-particle":"","parse-names":false,"suffix":""},{"dropping-particle":"","family":"Chang","given":"Christopher C","non-dropping-particle":"","parse-names":false,"suffix":""},{"dropping-particle":"","family":"Niu","given":"Fang","non-dropping-particle":"","parse-names":false,"suffix":""},{"dropping-particle":"","family":"Tang","given":"Yen K","non-dropping-particle":"","parse-names":false,"suffix":""},{"dropping-particle":"","family":"Harano","given":"Denise","non-dropping-particle":"","parse-names":false,"suffix":""},{"dropping-particle":"","family":"Deguzman","given":"Lynn","non-dropping-particle":"","parse-names":false,"suffix":""},{"dropping-particle":"","family":"Kao","given":"Doris J","non-dropping-particle":"","parse-names":false,"suffix":""},{"dropping-particle":"","family":"Awsare","given":"Sameer","non-dropping-particle":"","parse-names":false,"suffix":""},{"dropping-particle":"","family":"Draves","given":"Maisha","non-dropping-particle":"","parse-names":false,"suffix":""}],"container-title":"JMCP Journal of Managed Care &amp; Specialty Pharmacy","id":"ITEM-1","issue":"8","issued":{"date-parts":[["2019"]]},"number-of-pages":"927","title":"Evaluation of a Pharmacist-Managed Antidiabetic Deprescribing Program in an Integrated Health Care System","type":"report","volume":"25"},"uris":["http://www.mendeley.com/documents/?uuid=60daba58-0913-38dd-9507-f93331b5e4e6"]}],"mendeley":{"formattedCitation":"(227)","plainTextFormattedCitation":"(227)","previouslyFormattedCitation":"(227)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433D747"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3D6B088"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3E3F4745"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1C9DF131"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723AB772"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19C77AA"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AA79A48" w14:textId="77777777" w:rsidR="00F422E5" w:rsidRPr="00EC3E91" w:rsidRDefault="00F422E5" w:rsidP="00C02742">
            <w:pPr>
              <w:rPr>
                <w:sz w:val="20"/>
                <w:szCs w:val="20"/>
                <w:lang w:val="en-US"/>
              </w:rPr>
            </w:pPr>
            <w:r w:rsidRPr="00EC3E91">
              <w:rPr>
                <w:sz w:val="20"/>
                <w:szCs w:val="20"/>
                <w:lang w:val="en-US"/>
              </w:rPr>
              <w:t xml:space="preserve">Farrell B, Black C, Thompson W, et al. Deprescribing antihyperglycemic agents in older persons: evidence-based clinical practice guideline. Can Fam Physician. 2017;63(11):832-43. </w:t>
            </w:r>
          </w:p>
        </w:tc>
        <w:tc>
          <w:tcPr>
            <w:tcW w:w="2551" w:type="dxa"/>
            <w:tcBorders>
              <w:top w:val="single" w:sz="4" w:space="0" w:color="auto"/>
              <w:left w:val="nil"/>
              <w:bottom w:val="single" w:sz="4" w:space="0" w:color="auto"/>
              <w:right w:val="nil"/>
            </w:tcBorders>
            <w:hideMark/>
          </w:tcPr>
          <w:p w14:paraId="0AD6C115" w14:textId="6A5D1E2D" w:rsidR="00F422E5" w:rsidRPr="00EC3E91" w:rsidRDefault="00F422E5" w:rsidP="00C02742">
            <w:pPr>
              <w:rPr>
                <w:sz w:val="20"/>
                <w:szCs w:val="20"/>
                <w:lang w:val="en-US"/>
              </w:rPr>
            </w:pPr>
            <w:r w:rsidRPr="00EC3E91">
              <w:rPr>
                <w:sz w:val="20"/>
                <w:szCs w:val="20"/>
                <w:lang w:val="en-US"/>
              </w:rPr>
              <w:t xml:space="preserve">develop and organize </w:t>
            </w:r>
            <w:r w:rsidR="00CC4687" w:rsidRPr="00EC3E91">
              <w:rPr>
                <w:sz w:val="20"/>
                <w:szCs w:val="20"/>
                <w:lang w:val="en-US"/>
              </w:rPr>
              <w:t>quality</w:t>
            </w:r>
            <w:r w:rsidRPr="00EC3E91">
              <w:rPr>
                <w:sz w:val="20"/>
                <w:szCs w:val="20"/>
                <w:lang w:val="en-US"/>
              </w:rPr>
              <w:t xml:space="preserve"> monitoring systems </w:t>
            </w:r>
          </w:p>
        </w:tc>
      </w:tr>
      <w:tr w:rsidR="00F422E5" w:rsidRPr="00E119DD" w14:paraId="0E58613F" w14:textId="77777777" w:rsidTr="00F422E5">
        <w:trPr>
          <w:trHeight w:val="2235"/>
        </w:trPr>
        <w:tc>
          <w:tcPr>
            <w:tcW w:w="993" w:type="dxa"/>
            <w:tcBorders>
              <w:top w:val="single" w:sz="4" w:space="0" w:color="auto"/>
              <w:left w:val="nil"/>
              <w:bottom w:val="single" w:sz="4" w:space="0" w:color="auto"/>
              <w:right w:val="nil"/>
            </w:tcBorders>
          </w:tcPr>
          <w:p w14:paraId="597C2BF6" w14:textId="02B10F9C" w:rsidR="00F422E5" w:rsidRPr="00EC3E91" w:rsidRDefault="006E23E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{"citationItems":[{"id":"ITEM-1","itemData":{"DOI":"10.1007/s11096-018-0602-3","ISSN":"2210-7703","abstract":"Background: The more (inappropriate) drugs a patient uses, the higher the risk of drug related problems. To reduce these risks, medication reviews can be performed. Objective: To report changes in the prescribed number of (potentially inappropriate) drugs before and after performing a medication review in high-risk polypharmacy patients. A secondary objective was to study reasons for continuing potentially inappropriate drugs (PIDs). Setting Dutch community pharmacy and general medical practice. Methods: A retrospective longitudinal intervention study with a pre-test/post-test design and follow-up of 1 week and 3 months was performed. The study population consisted of 126 patients with polypharmacy and with additional risk for drug related problems that underwent a medication review in five community pharmacies. The medication review was performed by the pharmacist in close cooperation with the general practitioner of each corresponding patient. Main outcome measure: Number of (potentially inappropriate) drugs, and appropriateness of prescribed medicines. Results: The average number of drugs a patient used 1 day before the review was 8.7 (SD = 2.9), which decreased (p &lt; 0.05) to 8.3 (SD = 2.7) 1 week after the review, and to 8.4 (SD = 2.6) 3 months after the review. The average number of PIDs was initially 0.6 (SD = 0.8) per patient and decreased to 0.4 (SD = 0.6, p &lt; 0.05). Twenty-two of the 241 initial drug changes (9%) were deprescribed during follow-up. Registered reasons for continuing PIDs are clinical or patients’ preferences. Conclusions: Performing medication reviews in polypharmacy patients seems useful to continue at least in high-risk patients in The Netherlands. The time-consuming reviews could be limited to patients who are willing to change their medication. ","author":[{"dropping-particle":"","family":"Hurmuz","given":"Marian Z M","non-dropping-particle":"","parse-names":false,"suffix":""},{"dropping-particle":"","family":"Janus","given":"Sarah I M","non-dropping-particle":"","parse-names":false,"suffix":""},{"dropping-particle":"","family":"Manen","given":"Jeannette G","non-dropping-particle":"van","parse-names":false,"suffix":""}],"container-title":"International journal of clinical pharmacy","id":"ITEM-1","issue":"2","issued":{"date-parts":[["2018"]]},"page":"480-487","publisher":"Springer International Publishing","publisher-place":"Cham","title":"Changes in medicine prescription following a medication review in older high-risk patients with polypharmacy","type":"article-journal","volume":"40"},"uris":["http://www.mendeley.com/documents/?uuid=c601d810-f122-42b1-a5a9-0ddc69886e85"]}],"mendeley":{"formattedCitation":"(228)","plainTextFormattedCitation":"(228)","previouslyFormattedCitation":"(228)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BAF5A1B" w14:textId="77777777" w:rsidR="00F422E5" w:rsidRPr="00EC3E91" w:rsidRDefault="00F422E5" w:rsidP="00C02742">
            <w:pPr>
              <w:rPr>
                <w:sz w:val="20"/>
                <w:szCs w:val="20"/>
                <w:lang w:val="en-US"/>
              </w:rPr>
            </w:pPr>
            <w:r w:rsidRPr="00EC3E91">
              <w:rPr>
                <w:sz w:val="20"/>
                <w:szCs w:val="20"/>
                <w:lang w:val="en-US"/>
              </w:rPr>
              <w:t>The Netherlands</w:t>
            </w:r>
          </w:p>
        </w:tc>
        <w:tc>
          <w:tcPr>
            <w:tcW w:w="993" w:type="dxa"/>
            <w:tcBorders>
              <w:top w:val="single" w:sz="4" w:space="0" w:color="auto"/>
              <w:left w:val="nil"/>
              <w:bottom w:val="single" w:sz="4" w:space="0" w:color="auto"/>
              <w:right w:val="nil"/>
            </w:tcBorders>
            <w:hideMark/>
          </w:tcPr>
          <w:p w14:paraId="61207A33"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35FCDFCD"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1229D2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7F4C227"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3C94735"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BBD8B74" w14:textId="77777777" w:rsidR="00F422E5" w:rsidRPr="00EC3E91" w:rsidRDefault="00F422E5" w:rsidP="00C02742">
            <w:pPr>
              <w:rPr>
                <w:sz w:val="20"/>
                <w:szCs w:val="20"/>
                <w:lang w:val="en-US"/>
              </w:rPr>
            </w:pPr>
            <w:r w:rsidRPr="00EC3E91">
              <w:rPr>
                <w:sz w:val="20"/>
                <w:szCs w:val="20"/>
                <w:lang w:val="en-US"/>
              </w:rPr>
              <w:t>Multidisciplinary Guideline Polypharmacy in the Elderly from Dutch General Practitioners, Dutch Geriatric Society, Dutch Order of Medical Specialists.</w:t>
            </w:r>
            <w:r w:rsidRPr="00EC3E91">
              <w:rPr>
                <w:sz w:val="20"/>
                <w:szCs w:val="20"/>
                <w:lang w:val="en-US"/>
              </w:rPr>
              <w:br/>
            </w:r>
            <w:r w:rsidRPr="00EC3E91">
              <w:rPr>
                <w:sz w:val="20"/>
                <w:szCs w:val="20"/>
                <w:lang w:val="en-US"/>
              </w:rPr>
              <w:b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419BBAC1" w14:textId="7E8EC2E6" w:rsidR="00F422E5" w:rsidRPr="00EC3E91" w:rsidRDefault="00F422E5" w:rsidP="00C02742">
            <w:pPr>
              <w:rPr>
                <w:sz w:val="20"/>
                <w:szCs w:val="20"/>
                <w:lang w:val="en-US"/>
              </w:rPr>
            </w:pPr>
            <w:r w:rsidRPr="00EC3E91">
              <w:rPr>
                <w:sz w:val="20"/>
                <w:szCs w:val="20"/>
                <w:lang w:val="en-US"/>
              </w:rPr>
              <w:t xml:space="preserve">develop and organize </w:t>
            </w:r>
            <w:r w:rsidR="00CC4687" w:rsidRPr="00EC3E91">
              <w:rPr>
                <w:sz w:val="20"/>
                <w:szCs w:val="20"/>
                <w:lang w:val="en-US"/>
              </w:rPr>
              <w:t>quality</w:t>
            </w:r>
            <w:r w:rsidRPr="00EC3E91">
              <w:rPr>
                <w:sz w:val="20"/>
                <w:szCs w:val="20"/>
                <w:lang w:val="en-US"/>
              </w:rPr>
              <w:t xml:space="preserve"> monitoring system</w:t>
            </w:r>
          </w:p>
        </w:tc>
      </w:tr>
      <w:tr w:rsidR="00F422E5" w:rsidRPr="00E119DD" w14:paraId="0DCB9AF9" w14:textId="77777777" w:rsidTr="00F422E5">
        <w:trPr>
          <w:trHeight w:val="2235"/>
        </w:trPr>
        <w:tc>
          <w:tcPr>
            <w:tcW w:w="993" w:type="dxa"/>
            <w:tcBorders>
              <w:top w:val="single" w:sz="4" w:space="0" w:color="auto"/>
              <w:left w:val="nil"/>
              <w:bottom w:val="single" w:sz="4" w:space="0" w:color="auto"/>
              <w:right w:val="nil"/>
            </w:tcBorders>
          </w:tcPr>
          <w:p w14:paraId="6F976D46" w14:textId="0B8116D3" w:rsidR="00F422E5" w:rsidRPr="00EC3E91" w:rsidRDefault="005E681F"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{"citationItems":[{"id":"ITEM-1","itemData":{"ISSN":"1535-2900","abstract":"PURPOSE: The results and methods of a pharmacist-driven multifaceted educational intervention on the appropriate management of asymptomatic bacteriuria (ABU) within an emergency department (ED) are reported. METHODS: A retrospective, single-center cohort study was conducted to evaluate the effects of an educational intervention aimed at reducing the rates of mismanaged ABU within an ED at a Level 1 trauma center. The education involved a multifaceted approach directed by pharmacists and involved a handout and algorithm communicated through in-person discussions, emails, and general distribution. In order to evaluate the effectiveness of this education the preintervention and postintervention rates of inappropriate treatments were determined through a retrospective chart review. The primary outcome was the difference in the frequency of inappropriately treated ABU between the preintervention and postintervention periods. RESULTS: A total of 268 patients were included in the study for review (134 in each group). There was a 16.5% reduction in the frequency of patients that had ABU inappropriately treated as a urinary tract infection in the postintervention period compared with the preintervention period (31 [23.1%] versus 53 [39.6%], p = 0.004). CONCLUSION: Pharmacist-driven education was effecitive in reducing the rates of inappropriately used antibiotics for ABU within an ED.","author":[{"dropping-particle":"","family":"James","given":"D","non-dropping-particle":"","parse-names":false,"suffix":""},{"dropping-particle":"","family":"Lopez","given":"L","non-dropping-particle":"","parse-names":false,"suffix":""}],"container-title":"American Journal of Health-System Pharmacy","id":"ITEM-1","issued":{"date-parts":[["2019"]]},"language":"English","page":"S41-S48","publisher-place":"James, Daniel. Department of Pharmacy, Grant Medical Center, OhioHealth, Columbus, OH. Lopez, Lauren. Department of Pharmacy, Grant Medical Center, OhioHealth, Columbus, OH.","title":"Impact of a pharmacist-driven education initiative on treatment of asymptomatic bacteriuria","type":"article-journal","volume":"76"},"uris":["http://www.mendeley.com/documents/?uuid=21861550-5761-3235-a357-aec281de6073"]}],"mendeley":{"formattedCitation":"(229)","plainTextFormattedCitation":"(229)","previouslyFormattedCitation":"(229)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(229)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F4809E6"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9B06C96"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0427A86"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163642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D074282"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3A8F2A20" w14:textId="77777777" w:rsidR="00F422E5" w:rsidRPr="00EC3E91" w:rsidRDefault="00F422E5" w:rsidP="00C02742">
            <w:pPr>
              <w:rPr>
                <w:sz w:val="20"/>
                <w:szCs w:val="20"/>
                <w:lang w:val="en-US"/>
              </w:rPr>
            </w:pPr>
            <w:r w:rsidRPr="00EC3E91">
              <w:rPr>
                <w:sz w:val="20"/>
                <w:szCs w:val="20"/>
                <w:lang w:val="en-US"/>
              </w:rPr>
              <w:t xml:space="preserve">Inappropriate use of antibiotics </w:t>
            </w:r>
          </w:p>
        </w:tc>
        <w:tc>
          <w:tcPr>
            <w:tcW w:w="3970" w:type="dxa"/>
            <w:tcBorders>
              <w:top w:val="single" w:sz="4" w:space="0" w:color="auto"/>
              <w:left w:val="nil"/>
              <w:bottom w:val="single" w:sz="4" w:space="0" w:color="auto"/>
              <w:right w:val="nil"/>
            </w:tcBorders>
            <w:hideMark/>
          </w:tcPr>
          <w:p w14:paraId="214FF09C" w14:textId="77777777" w:rsidR="00F422E5" w:rsidRPr="00EC3E91" w:rsidRDefault="00F422E5" w:rsidP="00C02742">
            <w:pPr>
              <w:rPr>
                <w:sz w:val="20"/>
                <w:szCs w:val="20"/>
                <w:lang w:val="en-US"/>
              </w:rPr>
            </w:pPr>
            <w:r w:rsidRPr="00EC3E91">
              <w:rPr>
                <w:sz w:val="20"/>
                <w:szCs w:val="20"/>
                <w:lang w:val="en-US"/>
              </w:rPr>
              <w:t xml:space="preserve">Infectious Diseases Society of America guidelines for the diagnosis and treatment of asymptomatic bacteriuria in adults. </w:t>
            </w:r>
          </w:p>
        </w:tc>
        <w:tc>
          <w:tcPr>
            <w:tcW w:w="2551" w:type="dxa"/>
            <w:tcBorders>
              <w:top w:val="single" w:sz="4" w:space="0" w:color="auto"/>
              <w:left w:val="nil"/>
              <w:bottom w:val="single" w:sz="4" w:space="0" w:color="auto"/>
              <w:right w:val="nil"/>
            </w:tcBorders>
            <w:hideMark/>
          </w:tcPr>
          <w:p w14:paraId="12CE4221" w14:textId="77777777" w:rsidR="00F422E5" w:rsidRPr="00EC3E91" w:rsidRDefault="00F422E5" w:rsidP="00C02742">
            <w:pPr>
              <w:rPr>
                <w:sz w:val="20"/>
                <w:szCs w:val="20"/>
                <w:lang w:val="en-US"/>
              </w:rPr>
            </w:pPr>
            <w:r w:rsidRPr="00EC3E91">
              <w:rPr>
                <w:sz w:val="20"/>
                <w:szCs w:val="20"/>
                <w:lang w:val="en-US"/>
              </w:rPr>
              <w:t xml:space="preserve">develop educational materials, distribute educational materials, make training dynamic </w:t>
            </w:r>
          </w:p>
        </w:tc>
      </w:tr>
      <w:tr w:rsidR="00F422E5" w:rsidRPr="00E119DD" w14:paraId="258B0E2F" w14:textId="77777777" w:rsidTr="00F422E5">
        <w:trPr>
          <w:trHeight w:val="2235"/>
        </w:trPr>
        <w:tc>
          <w:tcPr>
            <w:tcW w:w="993" w:type="dxa"/>
            <w:tcBorders>
              <w:top w:val="single" w:sz="4" w:space="0" w:color="auto"/>
              <w:left w:val="nil"/>
              <w:bottom w:val="single" w:sz="4" w:space="0" w:color="auto"/>
              <w:right w:val="nil"/>
            </w:tcBorders>
          </w:tcPr>
          <w:p w14:paraId="5704F1A9" w14:textId="58CC1351" w:rsidR="00F422E5" w:rsidRPr="00EC3E91" w:rsidRDefault="005E681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{"citationItems":[{"id":"ITEM-1","itemData":{"ISSN":"2226-4787","abstract":"Long-term use of benzodiazepines (BZDs) is known to induce tolerance and dependence, and increase the risk of falls-related injuries in older adults. We present a study carried out in a French nursing home that concerns the implementation of a BZD withdrawal program reassessed at one year. BZD deprescription was achieved by gradual cessation of doses. A secondary benefit of this program was assessed by comparing the number of falls among residents before and after withdrawal. The number of falls was recorded over a six-month period prior to the onset of withdrawal (T1) and then over a six-month period after reassessment at one year (T2). At the beginning, 31 (28.7%) of the patients were under BZD. Total deprescription was obtained for 11 patients. The number of falls per patient over the T1 period was not different between the two groups (future non-withdrawn and withdrawn patients in BZD): 2.1 ± 1.3 and 2.3 ± 0.6 falls per resident, respectively. Conversely, the number of falls per patient was significantly decreased in the population completely withdrawn in BZD between the T1 and T2 periods (2.3 ± 0.6 vs. 0.5 ± 0.2 falls, p = 0.01). The results show that BZD deprescription, through a gradual reduction of doses, is possible to achieve.","author":[{"dropping-particle":"","family":"Javelot","given":"H","non-dropping-particle":"","parse-names":false,"suffix":""},{"dropping-particle":"","family":"Marquis","given":"A","non-dropping-particle":"","parse-names":false,"suffix":""},{"dropping-particle":"","family":"Antoine-Bernard","given":"E","non-dropping-particle":"","parse-names":false,"suffix":""},{"dropping-particle":"","family":"Grandidier","given":"J","non-dropping-particle":"","parse-names":false,"suffix":""},{"dropping-particle":"","family":"Weiner","given":"L","non-dropping-particle":"","parse-names":false,"suffix":""},{"dropping-particle":"","family":"Javelot","given":"T","non-dropping-particle":"","parse-names":false,"suffix":""},{"dropping-particle":"","family":"Michel","given":"B","non-dropping-particle":"","parse-names":false,"suffix":""}],"container-title":"Pharmacy","id":"ITEM-1","issue":"2","issued":{"date-parts":[["2018"]]},"language":"English","publisher-place":"H. Javelot, Maison Hospitalière de Baccarat, Baccarat, France","title":"Benzodiazepines withdrawal: Initial outcomes and long-term impact on falls in a French nursing home","type":"article-journal","volume":"6"},"uris":["http://www.mendeley.com/documents/?uuid=1c53fc22-35bc-35c7-8e95-318c69337808"]}],"mendeley":{"formattedCitation":"(230)","plainTextFormattedCitation":"(230)","previouslyFormattedCitation":"(230)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3B7CADD" w14:textId="77777777" w:rsidR="00F422E5" w:rsidRPr="00EC3E91" w:rsidRDefault="00F422E5" w:rsidP="00C02742">
            <w:pPr>
              <w:rPr>
                <w:sz w:val="20"/>
                <w:szCs w:val="20"/>
                <w:lang w:val="en-US"/>
              </w:rPr>
            </w:pPr>
            <w:r w:rsidRPr="00EC3E91">
              <w:rPr>
                <w:sz w:val="20"/>
                <w:szCs w:val="20"/>
                <w:lang w:val="en-US"/>
              </w:rPr>
              <w:t xml:space="preserve">France </w:t>
            </w:r>
          </w:p>
        </w:tc>
        <w:tc>
          <w:tcPr>
            <w:tcW w:w="993" w:type="dxa"/>
            <w:tcBorders>
              <w:top w:val="single" w:sz="4" w:space="0" w:color="auto"/>
              <w:left w:val="nil"/>
              <w:bottom w:val="single" w:sz="4" w:space="0" w:color="auto"/>
              <w:right w:val="nil"/>
            </w:tcBorders>
            <w:hideMark/>
          </w:tcPr>
          <w:p w14:paraId="6CEE84C2"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1567E5B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DE44BD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A3F2178"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72F3DDAB" w14:textId="77777777" w:rsidR="00F422E5" w:rsidRPr="00EC3E91" w:rsidRDefault="00F422E5" w:rsidP="00C02742">
            <w:pPr>
              <w:rPr>
                <w:sz w:val="20"/>
                <w:szCs w:val="20"/>
                <w:lang w:val="en-US"/>
              </w:rPr>
            </w:pPr>
            <w:r w:rsidRPr="00EC3E91">
              <w:rPr>
                <w:sz w:val="20"/>
                <w:szCs w:val="20"/>
                <w:lang w:val="en-US"/>
              </w:rPr>
              <w:t>Inappropriate prescribing of benzodiazepines</w:t>
            </w:r>
          </w:p>
        </w:tc>
        <w:tc>
          <w:tcPr>
            <w:tcW w:w="3970" w:type="dxa"/>
            <w:tcBorders>
              <w:top w:val="single" w:sz="4" w:space="0" w:color="auto"/>
              <w:left w:val="nil"/>
              <w:bottom w:val="single" w:sz="4" w:space="0" w:color="auto"/>
              <w:right w:val="nil"/>
            </w:tcBorders>
            <w:hideMark/>
          </w:tcPr>
          <w:p w14:paraId="108BEA9A" w14:textId="77777777" w:rsidR="00F422E5" w:rsidRPr="00EC3E91" w:rsidRDefault="00F422E5" w:rsidP="00C02742">
            <w:pPr>
              <w:rPr>
                <w:sz w:val="20"/>
                <w:szCs w:val="20"/>
                <w:lang w:val="en-US"/>
              </w:rPr>
            </w:pPr>
            <w:r w:rsidRPr="00EC3E91">
              <w:rPr>
                <w:sz w:val="20"/>
                <w:szCs w:val="20"/>
                <w:lang w:val="en-US"/>
              </w:rPr>
              <w:t>Procedures for stopping benzodiazepines and similar drugs in older patients. The French National Health Authority (HAS) guidelines.</w:t>
            </w:r>
          </w:p>
        </w:tc>
        <w:tc>
          <w:tcPr>
            <w:tcW w:w="2551" w:type="dxa"/>
            <w:tcBorders>
              <w:top w:val="single" w:sz="4" w:space="0" w:color="auto"/>
              <w:left w:val="nil"/>
              <w:bottom w:val="single" w:sz="4" w:space="0" w:color="auto"/>
              <w:right w:val="nil"/>
            </w:tcBorders>
            <w:hideMark/>
          </w:tcPr>
          <w:p w14:paraId="62B3C4A0" w14:textId="77777777" w:rsidR="00F422E5" w:rsidRPr="00EC3E91" w:rsidRDefault="00F422E5" w:rsidP="00C02742">
            <w:pPr>
              <w:rPr>
                <w:sz w:val="20"/>
                <w:szCs w:val="20"/>
                <w:lang w:val="en-US"/>
              </w:rPr>
            </w:pPr>
            <w:r w:rsidRPr="00EC3E91">
              <w:rPr>
                <w:sz w:val="20"/>
                <w:szCs w:val="20"/>
                <w:lang w:val="en-US"/>
              </w:rPr>
              <w:t>develop and organize quality monitoring system, develop educational materials,</w:t>
            </w:r>
          </w:p>
        </w:tc>
      </w:tr>
      <w:tr w:rsidR="00F422E5" w:rsidRPr="00EC3E91" w14:paraId="44DD4E8C" w14:textId="77777777" w:rsidTr="00F422E5">
        <w:trPr>
          <w:trHeight w:val="2235"/>
        </w:trPr>
        <w:tc>
          <w:tcPr>
            <w:tcW w:w="993" w:type="dxa"/>
            <w:tcBorders>
              <w:top w:val="single" w:sz="4" w:space="0" w:color="auto"/>
              <w:left w:val="nil"/>
              <w:bottom w:val="single" w:sz="4" w:space="0" w:color="auto"/>
              <w:right w:val="nil"/>
            </w:tcBorders>
          </w:tcPr>
          <w:p w14:paraId="62ABF5AB" w14:textId="7D4CDC58" w:rsidR="00F422E5" w:rsidRPr="00EC3E91" w:rsidRDefault="00A252C6"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{"citationItems":[{"id":"ITEM-1","itemData":{"DOI":"10.1097/JXX.0000000000000050","ISSN":"2327-6924","abstract":"Frequent laboratory testing may be necessary at times for critically ill patients. However, the practice of indiscriminate laboratory test ordering is common.\nThe purpose of this quality improvement project was to assess the effectiveness of the acute care nurse practitioner (ACNP) in reducing the number of unwarranted laboratory tests ordered for ICU patients. To determine whether the presence of an ACNP would make a difference, an ACNP was present on daily ICU multidisciplinary rounds to facilitate the discussion of the laboratory testing needs for each patient for the following 24-hour period.\nEighty-one patients were enrolled in the project, 41 in the comparison and 40 in the intervention group. No significant differences were noted between the two groups. The project demonstrated that although there was an increase in tests ordered for the intervention group, the increase was brought about by an increase in specific individual tests rather than an increase in panels of laboratory tests. A reduction in patient cost was observed for the number of tests ordered. No increase in adverse events was noted.\nAcute care nurse practitioner presence on multidisciplinary rounds may be an effective method to change the practice toward the ordering of tests based on clinical indication.","author":[{"dropping-particle":"","family":"Jefferson","given":"Brian K","non-dropping-particle":"","parse-names":false,"suffix":""},{"dropping-particle":"","family":"King","given":"Joan E","non-dropping-particle":"","parse-names":false,"suffix":""}],"container-title":"Journal of the American Association of Nurse Practitioners","id":"ITEM-1","issue":"5","issued":{"date-parts":[["2018"]]},"page":"285-292","publisher-place":"United States","title":"Impact of the acute care nurse practitioner in reducing the number of unwarranted daily laboratory tests in the intensive care unit","type":"article-journal","volume":"30"},"uris":["http://www.mendeley.com/documents/?uuid=d3d83b24-0852-413d-9458-cf4f500d15bd"]}],"mendeley":{"formattedCitation":"(231)","plainTextFormattedCitation":"(231)","previouslyFormattedCitation":"(231)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9FC7DBB"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6705C4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F90040C"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2F849C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A33363B"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39B42E3B" w14:textId="77777777" w:rsidR="00F422E5" w:rsidRPr="00EC3E91" w:rsidRDefault="00F422E5" w:rsidP="00C02742">
            <w:pPr>
              <w:rPr>
                <w:sz w:val="20"/>
                <w:szCs w:val="20"/>
                <w:lang w:val="en-US"/>
              </w:rPr>
            </w:pPr>
            <w:r w:rsidRPr="00EC3E91">
              <w:rPr>
                <w:sz w:val="20"/>
                <w:szCs w:val="20"/>
                <w:lang w:val="en-US"/>
              </w:rPr>
              <w:t>Inappropriate laboratory testing</w:t>
            </w:r>
          </w:p>
        </w:tc>
        <w:tc>
          <w:tcPr>
            <w:tcW w:w="3970" w:type="dxa"/>
            <w:tcBorders>
              <w:top w:val="single" w:sz="4" w:space="0" w:color="auto"/>
              <w:left w:val="nil"/>
              <w:bottom w:val="single" w:sz="4" w:space="0" w:color="auto"/>
              <w:right w:val="nil"/>
            </w:tcBorders>
            <w:hideMark/>
          </w:tcPr>
          <w:p w14:paraId="505E5B22"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Official American thoracic Society/American Association of critical care nurses/American College of chest physicians/Society of critical care medicine policy Statement: The choosing wisely top 5 list in critical care medicine</w:t>
            </w:r>
          </w:p>
        </w:tc>
        <w:tc>
          <w:tcPr>
            <w:tcW w:w="2551" w:type="dxa"/>
            <w:tcBorders>
              <w:top w:val="single" w:sz="4" w:space="0" w:color="auto"/>
              <w:left w:val="nil"/>
              <w:bottom w:val="single" w:sz="4" w:space="0" w:color="auto"/>
              <w:right w:val="nil"/>
            </w:tcBorders>
            <w:hideMark/>
          </w:tcPr>
          <w:p w14:paraId="4EDB0F0D" w14:textId="1251A47F" w:rsidR="00F422E5" w:rsidRPr="00EC3E91" w:rsidRDefault="00F422E5" w:rsidP="00C02742">
            <w:pPr>
              <w:rPr>
                <w:sz w:val="20"/>
                <w:szCs w:val="20"/>
                <w:lang w:val="en-US"/>
              </w:rPr>
            </w:pPr>
            <w:r w:rsidRPr="00EC3E91">
              <w:rPr>
                <w:sz w:val="20"/>
                <w:szCs w:val="20"/>
                <w:lang w:val="en-US"/>
              </w:rPr>
              <w:t xml:space="preserve">assess and redesign workflow, </w:t>
            </w:r>
            <w:r w:rsidR="000534E1">
              <w:rPr>
                <w:sz w:val="20"/>
                <w:szCs w:val="20"/>
                <w:lang w:val="en-US"/>
              </w:rPr>
              <w:t>develop educational materials, remind clinicians</w:t>
            </w:r>
            <w:r w:rsidRPr="00EC3E91">
              <w:rPr>
                <w:sz w:val="20"/>
                <w:szCs w:val="20"/>
                <w:lang w:val="en-US"/>
              </w:rPr>
              <w:t xml:space="preserve">. Use advisory boards and workgroups. </w:t>
            </w:r>
          </w:p>
        </w:tc>
      </w:tr>
      <w:tr w:rsidR="00F422E5" w:rsidRPr="00E119DD" w14:paraId="3765430D" w14:textId="77777777" w:rsidTr="00F422E5">
        <w:trPr>
          <w:trHeight w:val="2235"/>
        </w:trPr>
        <w:tc>
          <w:tcPr>
            <w:tcW w:w="993" w:type="dxa"/>
            <w:tcBorders>
              <w:top w:val="single" w:sz="4" w:space="0" w:color="auto"/>
              <w:left w:val="nil"/>
              <w:bottom w:val="single" w:sz="4" w:space="0" w:color="auto"/>
              <w:right w:val="nil"/>
            </w:tcBorders>
          </w:tcPr>
          <w:p w14:paraId="791B2F1E" w14:textId="4F8F60E8" w:rsidR="00F422E5" w:rsidRPr="00EC3E91" w:rsidRDefault="005765A3"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{"citationItems":[{"id":"ITEM-1","itemData":{"ISSN":"0025-7079","abstract":"Background: The opioid overdose epidemic has been declared a public health emergency. Women are more likely than men to be prescribed opioid medications. Some states have adopted policies to improve opioid prescribing, including prescription drug monitoring programs (PDMPs) and pain clinic laws. Objective: Among reproductive-aged women, we examined the association of mandatory use laws for PDMPs in Kentucky (concurrent with a pain clinic law) and New York with overdose involving prescription opioids or heroin and opioid use disorder (OUD). Study Design, Subjects, and Outcome Measures: We conducted interrupted time series analyses estimating outcome changes after policy implementation in Kentucky and New York, compared with geographically close states without these policies (comparison states), using 2010–2014 State Inpatient and State Emergency Department Databases. Outcomes included rates of inpatient discharges and emergency department visits for overdoses involving prescription opioids or heroin and OUD among reproductive-aged women. Results: Relative to comparison states, following Kentucky’s policy change, we found an immediate postpolicy decrease and a decreasing trend in the rate of overdoses involving prescription opioids, an immediate postpolicy increase in the rate of overdoses involving heroin, and a decreasing trend in the OUD rate (P&lt;0.01); New York’s policy change was not associated with the assessed outcomes. Conclusions: PDMPs and pain clinic laws, such as those implemented in Kentucky, may be promising strategies to reduce the adverse impacts of high-risk opioid prescribing among reproductive-aged women. As states continue efforts to improve inappropriate opioid prescribing, similar strategies as those adopted in Kentucky merit consideration.","author":[{"dropping-particle":"","family":"Ji","given":"Xu","non-dropping-particle":"","parse-names":false,"suffix":""},{"dropping-particle":"","family":"Haight","given":"Sarah C","non-dropping-particle":"","parse-names":false,"suffix":""},{"dropping-particle":"","family":"Ko","given":"Jean Y","non-dropping-particle":"","parse-names":false,"suffix":""},{"dropping-particle":"","family":"Cox","given":"Shanna","non-dropping-particle":"","parse-names":false,"suffix":""},{"dropping-particle":"","family":"Barfield","given":"Wanda D","non-dropping-particle":"","parse-names":false,"suffix":""},{"dropping-particle":"","family":"Zhang","given":"Kun","non-dropping-particle":"","parse-names":false,"suffix":""},{"dropping-particle":"","family":"Guy","given":"Gery P Jr","non-dropping-particle":"","parse-names":false,"suffix":""},{"dropping-particle":"","family":"Li","given":"Rui","non-dropping-particle":"","parse-names":false,"suffix":""}],"container-title":"Medical Care","id":"ITEM-1","issue":"2","issued":{"date-parts":[["2021"]]},"title":"Association Between State Policies on Improving Opioid Prescribing in 2 States and Opioid Overdose Rates Among Reproductive-aged Women","type":"article-journal","volume":"59"},"uris":["http://www.mendeley.com/documents/?uuid=4d31806c-97ef-33ca-a125-239d624c7aed"]}],"mendeley":{"formattedCitation":"(232)","plainTextFormattedCitation":"(232)","previouslyFormattedCitation":"(232)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2EB7F12"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F76A20B"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453344EE"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AE83C7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A65AC68"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4993C435" w14:textId="77777777" w:rsidR="00F422E5" w:rsidRPr="00EC3E91" w:rsidRDefault="00F422E5" w:rsidP="00C02742">
            <w:pPr>
              <w:rPr>
                <w:sz w:val="20"/>
                <w:szCs w:val="20"/>
                <w:lang w:val="en-US"/>
              </w:rPr>
            </w:pPr>
            <w:r w:rsidRPr="00EC3E91">
              <w:rPr>
                <w:sz w:val="20"/>
                <w:szCs w:val="20"/>
                <w:lang w:val="en-US"/>
              </w:rPr>
              <w:t>Inappropriate opioid prescription</w:t>
            </w:r>
          </w:p>
        </w:tc>
        <w:tc>
          <w:tcPr>
            <w:tcW w:w="3970" w:type="dxa"/>
            <w:tcBorders>
              <w:top w:val="single" w:sz="4" w:space="0" w:color="auto"/>
              <w:left w:val="nil"/>
              <w:bottom w:val="single" w:sz="4" w:space="0" w:color="auto"/>
              <w:right w:val="nil"/>
            </w:tcBorders>
            <w:hideMark/>
          </w:tcPr>
          <w:p w14:paraId="44DB0876" w14:textId="77777777" w:rsidR="00F422E5" w:rsidRPr="00EC3E91" w:rsidRDefault="00F422E5" w:rsidP="00C02742">
            <w:pPr>
              <w:rPr>
                <w:sz w:val="20"/>
                <w:szCs w:val="20"/>
                <w:lang w:val="en-US"/>
              </w:rPr>
            </w:pPr>
            <w:r w:rsidRPr="00EC3E91">
              <w:rPr>
                <w:sz w:val="20"/>
                <w:szCs w:val="20"/>
                <w:lang w:val="en-US"/>
              </w:rPr>
              <w:t xml:space="preserve">American College of Obstetricians Gynecologists (ACOG). Committee opinion No. 711: Opioid use and opioid use disorder in pregnancy. </w:t>
            </w:r>
          </w:p>
        </w:tc>
        <w:tc>
          <w:tcPr>
            <w:tcW w:w="2551" w:type="dxa"/>
            <w:tcBorders>
              <w:top w:val="single" w:sz="4" w:space="0" w:color="auto"/>
              <w:left w:val="nil"/>
              <w:bottom w:val="single" w:sz="4" w:space="0" w:color="auto"/>
              <w:right w:val="nil"/>
            </w:tcBorders>
            <w:hideMark/>
          </w:tcPr>
          <w:p w14:paraId="21E05D3A" w14:textId="77777777" w:rsidR="00F422E5" w:rsidRPr="00EC3E91" w:rsidRDefault="00F422E5" w:rsidP="00C02742">
            <w:pPr>
              <w:rPr>
                <w:sz w:val="20"/>
                <w:szCs w:val="20"/>
                <w:lang w:val="en-US"/>
              </w:rPr>
            </w:pPr>
            <w:r w:rsidRPr="00EC3E91">
              <w:rPr>
                <w:sz w:val="20"/>
                <w:szCs w:val="20"/>
                <w:lang w:val="en-US"/>
              </w:rPr>
              <w:t>[policy and regulations]</w:t>
            </w:r>
          </w:p>
        </w:tc>
      </w:tr>
      <w:tr w:rsidR="00F422E5" w:rsidRPr="00E119DD" w14:paraId="1F58EFC9" w14:textId="77777777" w:rsidTr="00F422E5">
        <w:trPr>
          <w:trHeight w:val="2235"/>
        </w:trPr>
        <w:tc>
          <w:tcPr>
            <w:tcW w:w="993" w:type="dxa"/>
            <w:tcBorders>
              <w:top w:val="single" w:sz="4" w:space="0" w:color="auto"/>
              <w:left w:val="nil"/>
              <w:bottom w:val="single" w:sz="4" w:space="0" w:color="auto"/>
              <w:right w:val="nil"/>
            </w:tcBorders>
          </w:tcPr>
          <w:p w14:paraId="42CA206A" w14:textId="11995469" w:rsidR="00F422E5" w:rsidRPr="00EC3E91" w:rsidRDefault="005765A3"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{"citationItems":[{"id":"ITEM-1","itemData":{"ISSN":"1437-7780 1341-321X","abstract":"Introduction: Preauthorization and prospective audit and feedback system are reported to be effective for the achievement of appropriate use of intravenous antimicrobials, but few reports on oral antimicrobials are available, especially for adults. Methods: The prescription of oral third-generation cephalosporins (oral 3rd Ceph) for inpatients and outpatients from 2013 to 2018 was investigated. The study period was divided into three phases. First, prescription support to suggest discontinuation of antimicrobials for unnecessary prescriptions, and alternative antimicrobials for inappropriate prescriptions were provided. Next, we continued prescription monitoring, and observed the trends of antimicrobial prescription without support. Finally, we have introduced prescription reporting system to promote the appropriate use of oral 3rd Ceph. In each phase, we evaluated days of therapy per 1000 patient-days and prescriptions per 1000 visits as an index of effectiveness of our interventions. Results: The total annual amount of oral 3rd Ceph usage decreased significantly over time between phases, respectively. During the same period, the incidence rate of methicillin-resistant Staphylococcus aureus (MRSA), extended spectrum β-lactamase (ESBL)-producing bacteria, and AmpC β-lactamase (AmpC)-producing bacteria was not changed significantly, indicating that oral 3rd Ceph usage was reduced without a concomitant increase of the drug-resistant bacteria. Simultaneously, the annual usage of other broad-spectrum antimicrobial agents such as oral fluoroquinolones and oral macrolides also decreased, which indicated these antimicrobials were not prescribed as an alternative for oral 3rd Ceph. Conclusions: The combination of prescription support activity and treatment reporting system for oral antimicrobial agents is an effective method for promoting appropriate oral antimicrobial use.","author":[{"dropping-particle":"","family":"Kato","given":"T","non-dropping-particle":"","parse-names":false,"suffix":""},{"dropping-particle":"","family":"Tanaka","given":"I","non-dropping-particle":"","parse-names":false,"suffix":""},{"dropping-particle":"","family":"Seyama","given":"Y","non-dropping-particle":"","parse-names":false,"suffix":""},{"dropping-particle":"","family":"Sekikawa","given":"R","non-dropping-particle":"","parse-names":false,"suffix":""},{"dropping-particle":"","family":"Suzuki","given":"S","non-dropping-particle":"","parse-names":false,"suffix":""},{"dropping-particle":"","family":"Nagasawa","given":"M","non-dropping-particle":"","parse-names":false,"suffix":""},{"dropping-particle":"","family":"Hino","given":"S","non-dropping-particle":"","parse-names":false,"suffix":""}],"container-title":"Journal of Infection and Chemotherapy","id":"ITEM-1","issue":"3","issued":{"date-parts":[["2021"]]},"language":"English","page":"419-423","publisher-place":"T. Kato, Department of Pharmacy, Musashino Red Cross Hospital, 1-26-1, Kyonancho, Musashino-shi, Tokyo, Japan","title":"The effectiveness of prescription support and treatment reporting system on the appropriate usage of oral third-generation cephalosporins","type":"article-journal","volume":"27"},"uris":["http://www.mendeley.com/documents/?uuid=689c7510-3d4a-3f98-9d58-756d72a3e082"]}],"mendeley":{"formattedCitation":"(233)","plainTextFormattedCitation":"(233)","previouslyFormattedCitation":"(233)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F4A626A" w14:textId="77777777" w:rsidR="00F422E5" w:rsidRPr="00EC3E91" w:rsidRDefault="00F422E5" w:rsidP="00C02742">
            <w:pPr>
              <w:rPr>
                <w:sz w:val="20"/>
                <w:szCs w:val="20"/>
                <w:lang w:val="en-US"/>
              </w:rPr>
            </w:pPr>
            <w:r w:rsidRPr="00EC3E91">
              <w:rPr>
                <w:sz w:val="20"/>
                <w:szCs w:val="20"/>
                <w:lang w:val="en-US"/>
              </w:rPr>
              <w:t>Japan</w:t>
            </w:r>
          </w:p>
        </w:tc>
        <w:tc>
          <w:tcPr>
            <w:tcW w:w="993" w:type="dxa"/>
            <w:tcBorders>
              <w:top w:val="single" w:sz="4" w:space="0" w:color="auto"/>
              <w:left w:val="nil"/>
              <w:bottom w:val="single" w:sz="4" w:space="0" w:color="auto"/>
              <w:right w:val="nil"/>
            </w:tcBorders>
            <w:hideMark/>
          </w:tcPr>
          <w:p w14:paraId="43AE6987"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51344E6"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1F46F1C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FB5A73E"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6DDFAD1"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3CEC2986" w14:textId="77777777" w:rsidR="00F422E5" w:rsidRPr="00EC3E91" w:rsidRDefault="00F422E5" w:rsidP="00C02742">
            <w:pPr>
              <w:rPr>
                <w:sz w:val="20"/>
                <w:szCs w:val="20"/>
                <w:lang w:val="en-US"/>
              </w:rPr>
            </w:pPr>
            <w:r w:rsidRPr="00EC3E91">
              <w:rPr>
                <w:sz w:val="20"/>
                <w:szCs w:val="20"/>
                <w:lang w:val="en-US"/>
              </w:rPr>
              <w:t>World Health Organization (WHO). Global action plan on antimicrobial resistance.</w:t>
            </w:r>
            <w:r w:rsidRPr="00EC3E91">
              <w:rPr>
                <w:sz w:val="20"/>
                <w:szCs w:val="20"/>
                <w:lang w:val="en-US"/>
              </w:rPr>
              <w:br/>
            </w:r>
            <w:r w:rsidRPr="00EC3E91">
              <w:rPr>
                <w:sz w:val="20"/>
                <w:szCs w:val="20"/>
                <w:lang w:val="en-US"/>
              </w:rPr>
              <w:br/>
              <w:t>Ministry of Health, Labor and Welfare. Antimicrobial resistance action plan</w:t>
            </w:r>
          </w:p>
        </w:tc>
        <w:tc>
          <w:tcPr>
            <w:tcW w:w="2551" w:type="dxa"/>
            <w:tcBorders>
              <w:top w:val="single" w:sz="4" w:space="0" w:color="auto"/>
              <w:left w:val="nil"/>
              <w:bottom w:val="single" w:sz="4" w:space="0" w:color="auto"/>
              <w:right w:val="nil"/>
            </w:tcBorders>
            <w:hideMark/>
          </w:tcPr>
          <w:p w14:paraId="4B01CE6C" w14:textId="10E91A8C" w:rsidR="00F422E5" w:rsidRPr="00EC3E91" w:rsidRDefault="00F422E5" w:rsidP="00C02742">
            <w:pPr>
              <w:rPr>
                <w:sz w:val="20"/>
                <w:szCs w:val="20"/>
                <w:lang w:val="en-US"/>
              </w:rPr>
            </w:pPr>
            <w:r w:rsidRPr="00EC3E91">
              <w:rPr>
                <w:sz w:val="20"/>
                <w:szCs w:val="20"/>
                <w:lang w:val="en-US"/>
              </w:rPr>
              <w:t>conduct educational outreach visits, develop and organize quality monitoring system, [</w:t>
            </w:r>
            <w:r w:rsidR="00A81C36">
              <w:rPr>
                <w:sz w:val="20"/>
                <w:szCs w:val="20"/>
                <w:lang w:val="en-US"/>
              </w:rPr>
              <w:t>ACCOUNTABILITY TOOL</w:t>
            </w:r>
            <w:r w:rsidRPr="00EC3E91">
              <w:rPr>
                <w:sz w:val="20"/>
                <w:szCs w:val="20"/>
                <w:lang w:val="en-US"/>
              </w:rPr>
              <w:t>]</w:t>
            </w:r>
          </w:p>
        </w:tc>
      </w:tr>
      <w:tr w:rsidR="00F422E5" w:rsidRPr="00E119DD" w14:paraId="39AEA9FB" w14:textId="77777777" w:rsidTr="00F422E5">
        <w:trPr>
          <w:trHeight w:val="2235"/>
        </w:trPr>
        <w:tc>
          <w:tcPr>
            <w:tcW w:w="993" w:type="dxa"/>
            <w:tcBorders>
              <w:top w:val="single" w:sz="4" w:space="0" w:color="auto"/>
              <w:left w:val="nil"/>
              <w:bottom w:val="single" w:sz="4" w:space="0" w:color="auto"/>
              <w:right w:val="nil"/>
            </w:tcBorders>
          </w:tcPr>
          <w:p w14:paraId="31F3B0BC" w14:textId="26AF0454" w:rsidR="00F422E5" w:rsidRPr="00EC3E91" w:rsidRDefault="005B1C5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{"citationItems":[{"id":"ITEM-1","itemData":{"DOI":"10.1177/2150132719890227","ISSN":"2150-1327","abstract":"Background: Older persons with frailty take multiple medications and are vulnerable to inappropriate prescribing. Objective: This study assesses the impact of a team-based, pharmacist-led structured medication review process in primary care on the appropriateness of medications taken by older adults living with frailty. Methods: This was a quasi-experimental pretest-posttest design in 6 primary care practices within an academic clinic in Edmonton, Alberta, Canada. We enrolled community dwelling older adults 65 years and older with frailty who have polypharmacy and/or 2 or more chronic conditions (ie, high-risk group for drug-related issues). The intervention was a structured pharmacist-led medication review using evidence-based explicit criteria (ie, Beers and STOPP/START criteria) and implicit criteria (ie, pharmacist expertise) for potentially inappropriate prescribing, done in the context of a primary care team-based seniors’ program. We measured the changes in the number of medications pre- and postmedication review, number of medications satisfying explicit criteria of START and STOPP/Beers and determined the association with frailty level. Data were analyzed using descriptive and inferential statistics (a priori significance level of P &lt; .05). Results: A total of 54 participants (61.1% females, mean age 81.7 years [SD = 6.74]) enrolled April 2017 to May 2018 and 52 participants completed the medication review process (2 lost to hospitalization). Drug-related problems noted on medication review were untreated conditions (61.1%), inappropriate medications (57.4%), and unnecessary therapy (40.7%). No significant changes in total number of medications taken by patients before and after, but the intervention significantly decreased number of inappropriate medications (1.15 meds pre to 0.9 meds post; P = .006). Conclusion: A pharmacist-led medication review is a strategy that can be implemented in primary care to address inappropriate medications. ","author":[{"dropping-particle":"","family":"Khera","given":"Sheny","non-dropping-particle":"","parse-names":false,"suffix":""},{"dropping-particle":"","family":"Abbasi","given":"Marjan","non-dropping-particle":"","parse-names":false,"suffix":""},{"dropping-particle":"","family":"Dabravolskaj","given":"Julia","non-dropping-particle":"","parse-names":false,"suffix":""},{"dropping-particle":"","family":"Sadowski","given":"Cheryl A","non-dropping-particle":"","parse-names":false,"suffix":""},{"dropping-particle":"","family":"Yua","given":"Hannah","non-dropping-particle":"","parse-names":false,"suffix":""},{"dropping-particle":"","family":"Chevalier","given":"Bernadette","non-dropping-particle":"","parse-names":false,"suffix":""}],"container-title":"Journal of primary care &amp; community health","id":"ITEM-1","issued":{"date-parts":[["2019"]]},"page":"2150132719890227-2150132719890227","publisher":"SAGE Publications","publisher-place":"Los Angeles, CA","title":"Appropriateness of Medications in Older Adults Living With Frailty: Impact of a Pharmacist-Led Structured Medication Review Process in Primary Care","type":"article-journal","volume":"10"},"uris":["http://www.mendeley.com/documents/?uuid=9017e27f-f847-4301-9ded-87b28b02e478"]}],"mendeley":{"formattedCitation":"(234)","plainTextFormattedCitation":"(234)","previouslyFormattedCitation":"(234)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CCFF768"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01534C31"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739EAD91"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975959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EF918FA"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53FF51A"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11AACED3"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t>Beers Criteria</w:t>
            </w:r>
          </w:p>
        </w:tc>
        <w:tc>
          <w:tcPr>
            <w:tcW w:w="2551" w:type="dxa"/>
            <w:tcBorders>
              <w:top w:val="single" w:sz="4" w:space="0" w:color="auto"/>
              <w:left w:val="nil"/>
              <w:bottom w:val="single" w:sz="4" w:space="0" w:color="auto"/>
              <w:right w:val="nil"/>
            </w:tcBorders>
            <w:hideMark/>
          </w:tcPr>
          <w:p w14:paraId="60CD291A"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distribute educational materials </w:t>
            </w:r>
          </w:p>
        </w:tc>
      </w:tr>
      <w:tr w:rsidR="00F422E5" w:rsidRPr="00E119DD" w14:paraId="7A7CE889" w14:textId="77777777" w:rsidTr="00F422E5">
        <w:trPr>
          <w:trHeight w:val="2235"/>
        </w:trPr>
        <w:tc>
          <w:tcPr>
            <w:tcW w:w="993" w:type="dxa"/>
            <w:tcBorders>
              <w:top w:val="single" w:sz="4" w:space="0" w:color="auto"/>
              <w:left w:val="nil"/>
              <w:bottom w:val="single" w:sz="4" w:space="0" w:color="auto"/>
              <w:right w:val="nil"/>
            </w:tcBorders>
          </w:tcPr>
          <w:p w14:paraId="7CBBCC5C" w14:textId="54219AC0" w:rsidR="00F422E5" w:rsidRPr="00EC3E91" w:rsidRDefault="005C5EE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{"citationItems":[{"id":"ITEM-1","itemData":{"DOI":"10.1136/bmjgh-2019-001422","abstract":"Background Antibiotic use in primary care can drive antimicrobial resistance (AMR) in the community. However, our understanding of antibiotic prescribing in low- and middle-income countries (LMICs) stems mostly from hospital-based studies or prescription/sales records, with little information available on routine primary care practices. We used an innovative, paper-to-digital documentation approach to deliver routine data and understand antibiotic use for common infections in low-resource primary healthcare clinics (PHCs).Methods Rubber stamps were introduced in nine private sector PHCs serving Nairobi’s informal settlements to ‘print-on-demand’ clinical documentation templates into paper charts. The intervention included one mobile phone per PHC to take and share images of filled templates, guideline compilation booklets and monthly continuing medical education (CME) sessions. Templates for upper respiratory tract (URTI), urinary tract (UTI), sexually transmitted (STI) and gastrointestinal infection (GI) management were used in eight PHCs. Information in templates from 889 patient encounters was digitised from smartphone images, analysed, and fed back to clinicians during monthly CME sessions. UTI charts (n=130 and 96, respectively) were audited preintervention and postintervention for quality of clinical documentation and management.Results Antibiotics were prescribed in 94.3%±1.6% of all patient encounters (97.3% in URTI, 94.2% in UTI, 91.6% in STI and 91.3% in GI), with 1.4±0.4 antibiotics prescribed per encounter. Clinicians considered antibiotic use appropriate in only 58.6% of URTI and 47.2% of GI cases. While feedback did not affect the number of antibiotics prescribed for UTIs, the use of nitrofurantoin, an appropriate, narrow-spectrum antibiotic, increased (9.2% to 29.9%; p&amp;amp;lt;0.0001) and use of broad spectrum quinolones decreased (30.0% to 16.1%; p&amp;amp;lt;0.05).Conclusion Antibiotic use for common infections is high in private sector PHCs in Kenya, with both knowledge and ‘know-do’ gaps contributing to inappropriate prescription. Paper-based templates in combination with smartphone technologies can sustainably deliver routine primary care case management data to support the battle against AMR.","author":[{"dropping-particle":"","family":"Kleczka","given":"Bernadette","non-dropping-particle":"","parse-names":false,"suffix":""},{"dropping-particle":"","family":"Kumar","given":"Pratap","non-dropping-particle":"","parse-names":false,"suffix":""},{"dropping-particle":"","family":"Njeru","given":"Mercy Karimi","non-dropping-particle":"","parse-names":false,"suffix":""},{"dropping-particle":"","family":"Musiega","given":"Anita","non-dropping-particle":"","parse-names":false,"suffix":""},{"dropping-particle":"","family":"Wekesa","given":"Phoebe","non-dropping-particle":"","parse-names":false,"suffix":""},{"dropping-particle":"","family":"Rabut","given":"Grace","non-dropping-particle":"","parse-names":false,"suffix":""},{"dropping-particle":"","family":"Marx","given":"Michael","non-dropping-particle":"","parse-names":false,"suffix":""}],"container-title":"BMJ Global Health","id":"ITEM-1","issue":"5","issued":{"date-parts":[["2019","9","1"]]},"page":"e001422","title":"Using rubber stamps and mobile phones to help understand and change antibiotic prescribing behaviour in private sector primary healthcare clinics in Kenya","type":"article-journal","volume":"4"},"uris":["http://www.mendeley.com/documents/?uuid=108caf0e-0cfb-4da0-842b-fd9a80c11ec5"]}],"mendeley":{"formattedCitation":"(235)","plainTextFormattedCitation":"(235)","previouslyFormattedCitation":"(235)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B9BDEE1" w14:textId="77777777" w:rsidR="00F422E5" w:rsidRPr="00EC3E91" w:rsidRDefault="00F422E5" w:rsidP="00C02742">
            <w:pPr>
              <w:rPr>
                <w:sz w:val="20"/>
                <w:szCs w:val="20"/>
                <w:lang w:val="en-US"/>
              </w:rPr>
            </w:pPr>
            <w:r w:rsidRPr="00EC3E91">
              <w:rPr>
                <w:sz w:val="20"/>
                <w:szCs w:val="20"/>
                <w:lang w:val="en-US"/>
              </w:rPr>
              <w:t>Kenya</w:t>
            </w:r>
          </w:p>
        </w:tc>
        <w:tc>
          <w:tcPr>
            <w:tcW w:w="993" w:type="dxa"/>
            <w:tcBorders>
              <w:top w:val="single" w:sz="4" w:space="0" w:color="auto"/>
              <w:left w:val="nil"/>
              <w:bottom w:val="single" w:sz="4" w:space="0" w:color="auto"/>
              <w:right w:val="nil"/>
            </w:tcBorders>
            <w:hideMark/>
          </w:tcPr>
          <w:p w14:paraId="35C24883"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79649D35"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3EFEF5E" w14:textId="138EF9D1" w:rsidR="00F422E5" w:rsidRPr="00EC3E91" w:rsidRDefault="00F422E5" w:rsidP="00C02742">
            <w:pPr>
              <w:rPr>
                <w:sz w:val="20"/>
                <w:szCs w:val="20"/>
                <w:lang w:val="en-US"/>
              </w:rPr>
            </w:pPr>
            <w:r w:rsidRPr="00EC3E91">
              <w:rPr>
                <w:sz w:val="20"/>
                <w:szCs w:val="20"/>
                <w:lang w:val="en-US"/>
              </w:rPr>
              <w:t xml:space="preserve">Efficacy/Effectiveness, </w:t>
            </w:r>
            <w:r w:rsidR="00CD1A69"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46BEBF64"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1EC13BCB" w14:textId="77777777" w:rsidR="00F422E5" w:rsidRPr="00EC3E91" w:rsidRDefault="00F422E5" w:rsidP="00C02742">
            <w:pPr>
              <w:rPr>
                <w:sz w:val="20"/>
                <w:szCs w:val="20"/>
                <w:lang w:val="en-US"/>
              </w:rPr>
            </w:pPr>
            <w:r w:rsidRPr="00EC3E91">
              <w:rPr>
                <w:sz w:val="20"/>
                <w:szCs w:val="20"/>
                <w:lang w:val="en-US"/>
              </w:rPr>
              <w:t xml:space="preserve">Inappropriate antibiotic prescription </w:t>
            </w:r>
          </w:p>
        </w:tc>
        <w:tc>
          <w:tcPr>
            <w:tcW w:w="3970" w:type="dxa"/>
            <w:tcBorders>
              <w:top w:val="single" w:sz="4" w:space="0" w:color="auto"/>
              <w:left w:val="nil"/>
              <w:bottom w:val="single" w:sz="4" w:space="0" w:color="auto"/>
              <w:right w:val="nil"/>
            </w:tcBorders>
            <w:hideMark/>
          </w:tcPr>
          <w:p w14:paraId="761F93C3" w14:textId="77777777" w:rsidR="00F422E5" w:rsidRPr="00EC3E91" w:rsidRDefault="00F422E5" w:rsidP="00C02742">
            <w:pPr>
              <w:rPr>
                <w:sz w:val="20"/>
                <w:szCs w:val="20"/>
                <w:lang w:val="en-US"/>
              </w:rPr>
            </w:pPr>
            <w:r w:rsidRPr="00EC3E91">
              <w:rPr>
                <w:sz w:val="20"/>
                <w:szCs w:val="20"/>
                <w:lang w:val="en-US"/>
              </w:rPr>
              <w:t>Scottish Intercollegiate Guidelines Network (SIGN) Guideline No 88 2012</w:t>
            </w:r>
            <w:r w:rsidRPr="00EC3E91">
              <w:rPr>
                <w:sz w:val="20"/>
                <w:szCs w:val="20"/>
                <w:lang w:val="en-US"/>
              </w:rPr>
              <w:br/>
            </w:r>
            <w:r w:rsidRPr="00EC3E91">
              <w:rPr>
                <w:sz w:val="20"/>
                <w:szCs w:val="20"/>
                <w:lang w:val="en-US"/>
              </w:rPr>
              <w:br/>
              <w:t xml:space="preserve">Urinary tract infections in pregnancy: old and new unresolved diagnostic and therapeutic problems. </w:t>
            </w:r>
            <w:r w:rsidRPr="00EC3E91">
              <w:rPr>
                <w:sz w:val="20"/>
                <w:szCs w:val="20"/>
                <w:lang w:val="en-US"/>
              </w:rPr>
              <w:br/>
            </w:r>
            <w:r w:rsidRPr="00EC3E91">
              <w:rPr>
                <w:sz w:val="20"/>
                <w:szCs w:val="20"/>
                <w:lang w:val="en-US"/>
              </w:rPr>
              <w:br/>
              <w:t>Treatment of non-neurogenic male LUTS. European association of urology, 2017.</w:t>
            </w:r>
            <w:r w:rsidRPr="00EC3E91">
              <w:rPr>
                <w:sz w:val="20"/>
                <w:szCs w:val="20"/>
                <w:lang w:val="en-US"/>
              </w:rPr>
              <w:br/>
            </w:r>
            <w:r w:rsidRPr="00EC3E91">
              <w:rPr>
                <w:sz w:val="20"/>
                <w:szCs w:val="20"/>
                <w:lang w:val="en-US"/>
              </w:rPr>
              <w:br/>
              <w:t xml:space="preserve"> Clinical guidelines from Ministry of Medical Services &amp; Ministry of Public Health and Sanitation</w:t>
            </w:r>
          </w:p>
        </w:tc>
        <w:tc>
          <w:tcPr>
            <w:tcW w:w="2551" w:type="dxa"/>
            <w:tcBorders>
              <w:top w:val="single" w:sz="4" w:space="0" w:color="auto"/>
              <w:left w:val="nil"/>
              <w:bottom w:val="single" w:sz="4" w:space="0" w:color="auto"/>
              <w:right w:val="nil"/>
            </w:tcBorders>
            <w:hideMark/>
          </w:tcPr>
          <w:p w14:paraId="3474A8CF" w14:textId="77777777" w:rsidR="00F422E5" w:rsidRPr="00EC3E91" w:rsidRDefault="00F422E5" w:rsidP="00C02742">
            <w:pPr>
              <w:rPr>
                <w:sz w:val="20"/>
                <w:szCs w:val="20"/>
                <w:lang w:val="en-US"/>
              </w:rPr>
            </w:pPr>
            <w:r w:rsidRPr="00EC3E91">
              <w:rPr>
                <w:sz w:val="20"/>
                <w:szCs w:val="20"/>
                <w:lang w:val="en-US"/>
              </w:rPr>
              <w:t xml:space="preserve">develop and implement tool for quality monitoring, develop educational materials </w:t>
            </w:r>
          </w:p>
        </w:tc>
      </w:tr>
      <w:tr w:rsidR="00F422E5" w:rsidRPr="00E119DD" w14:paraId="06454E4F" w14:textId="77777777" w:rsidTr="00F422E5">
        <w:trPr>
          <w:trHeight w:val="2235"/>
        </w:trPr>
        <w:tc>
          <w:tcPr>
            <w:tcW w:w="993" w:type="dxa"/>
            <w:tcBorders>
              <w:top w:val="single" w:sz="4" w:space="0" w:color="auto"/>
              <w:left w:val="nil"/>
              <w:bottom w:val="single" w:sz="4" w:space="0" w:color="auto"/>
              <w:right w:val="nil"/>
            </w:tcBorders>
          </w:tcPr>
          <w:p w14:paraId="24F1B9B8" w14:textId="33CA3421" w:rsidR="00F422E5" w:rsidRPr="00EC3E91" w:rsidRDefault="006B01F9"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{"citationItems":[{"id":"ITEM-1","itemData":{"DOI":"10.1177/2042098619832471","ISSN":"2042-0986","abstract":"Background:Our aim in this research was to establish whether integrating an electronically generated calculation and report on the Drug Burden Index (DBI) in the Home Medicines Review (HMR) setting...","author":[{"dropping-particle":"","family":"Kouladjian O’Donnell","given":"Lisa","non-dropping-particle":"","parse-names":false,"suffix":""},{"dropping-particle":"","family":"Gnjidic","given":"Danijela","non-dropping-particle":"","parse-names":false,"suffix":""},{"dropping-particle":"","family":"Chen","given":"Timothy F.","non-dropping-particle":"","parse-names":false,"suffix":""},{"dropping-particle":"","family":"Hilmer","given":"Sarah N.","non-dropping-particle":"","parse-names":false,"suffix":""}],"container-title":"Therapeutic Advances in Drug Safety","id":"ITEM-1","issued":{"date-parts":[["2019","1"]]},"page":"204209861983247","publisher":"SAGE Publications","title":"Integration of an electronic Drug Burden Index risk assessment tool into Home Medicines Reviews: deprescribing anticholinergic and sedative medications","type":"article-journal","volume":"10"},"uris":["http://www.mendeley.com/documents/?uuid=f2f8520f-6f24-3291-8238-3d0a0315467a"]}],"mendeley":{"formattedCitation":"(236)","plainTextFormattedCitation":"(236)","previouslyFormattedCitation":"(236)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86E9BB0"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76579297"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89F9B07"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3E0B0BDF" w14:textId="7376C576" w:rsidR="00F422E5" w:rsidRPr="00EC3E91" w:rsidRDefault="00CD1A69"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48D349EB"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6CC7A964"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2BA462F" w14:textId="1146842C" w:rsidR="00F422E5" w:rsidRPr="00EC3E91" w:rsidRDefault="00CD1A69"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7F233F6E" w14:textId="77777777" w:rsidR="00F422E5" w:rsidRPr="00EC3E91" w:rsidRDefault="00F422E5" w:rsidP="00C02742">
            <w:pPr>
              <w:rPr>
                <w:sz w:val="20"/>
                <w:szCs w:val="20"/>
                <w:lang w:val="en-US"/>
              </w:rPr>
            </w:pPr>
            <w:r w:rsidRPr="00EC3E91">
              <w:rPr>
                <w:sz w:val="20"/>
                <w:szCs w:val="20"/>
                <w:lang w:val="en-US"/>
              </w:rPr>
              <w:t xml:space="preserve">conduct educational meetings, develop educational materials </w:t>
            </w:r>
          </w:p>
        </w:tc>
      </w:tr>
      <w:tr w:rsidR="00F422E5" w:rsidRPr="00E119DD" w14:paraId="1138F987" w14:textId="77777777" w:rsidTr="00F422E5">
        <w:trPr>
          <w:trHeight w:val="2235"/>
        </w:trPr>
        <w:tc>
          <w:tcPr>
            <w:tcW w:w="993" w:type="dxa"/>
            <w:tcBorders>
              <w:top w:val="single" w:sz="4" w:space="0" w:color="auto"/>
              <w:left w:val="nil"/>
              <w:bottom w:val="single" w:sz="4" w:space="0" w:color="auto"/>
              <w:right w:val="nil"/>
            </w:tcBorders>
          </w:tcPr>
          <w:p w14:paraId="2BD9DD2E" w14:textId="4D9AC7B5" w:rsidR="00F422E5" w:rsidRPr="00EC3E91" w:rsidRDefault="006B01F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{"citationItems":[{"id":"ITEM-1","itemData":{"ISSN":"2044-5415","abstract":"Background Little is known about how to discourage clinicians from ordering low-value services. Our objective was to test whether clinicians committing their future selves (ie, precommitting) to follow Choosing Wisely recommendations with decision supports could decrease potentially low-value orders. Methods We conducted a 12-month stepped wedge cluster randomised trial among 45 primary care physicians and advanced practice providers in six adult primary care clinics of a US community group practice.Clinicians were invited to precommit to Choosing Wisely recommendations against imaging for uncomplicated low back pain, imaging for uncomplicated headaches and unnecessary antibiotics for acute sinusitis. Clinicians who precommitted received 1–6 months of point-of-care precommitment reminders as well as patient education handouts and weekly emails with resources to support communication about low-value services.The primary outcome was the difference between control and intervention period percentages of visits with potentially low-value orders. Secondary outcomes were differences between control and intervention period percentages of visits with possible alternate orders, and differences between control and 3-month postintervention follow-up period percentages of visits with potentially low-value orders. Results The intervention was not associated with a change in the percentage of visits with potentially low-value orders overall, for headaches or for acute sinusitis, but was associated with a 1.7% overall increase in alternate orders (p=0.01). For low back pain, the intervention was associated with a 1.2% decrease in the percentage of visits with potentially low-value orders (p=0.001) and a 1.9% increase in the percentage of visits with alternate orders (p=0.007). No changes were sustained in follow-up. Conclusion Clinician precommitment to follow Choosing Wisely recommendations was associated with a small, unsustained decrease in potentially low-value orders for only one of three targeted conditions and may have increased alternate orders.","author":[{"dropping-particle":"","family":"Kullgren","given":"J T","non-dropping-particle":"","parse-names":false,"suffix":""},{"dropping-particle":"","family":"Krupka","given":"E","non-dropping-particle":"","parse-names":false,"suffix":""},{"dropping-particle":"","family":"Schachter","given":"A","non-dropping-particle":"","parse-names":false,"suffix":""},{"dropping-particle":"","family":"Linden","given":"A","non-dropping-particle":"","parse-names":false,"suffix":""},{"dropping-particle":"","family":"Miller","given":"J","non-dropping-particle":"","parse-names":false,"suffix":""},{"dropping-particle":"","family":"Acharya","given":"Y","non-dropping-particle":"","parse-names":false,"suffix":""},{"dropping-particle":"","family":"Alford","given":"J","non-dropping-particle":"","parse-names":false,"suffix":""},{"dropping-particle":"","family":"Duffy","given":"R","non-dropping-particle":"","parse-names":false,"suffix":""},{"dropping-particle":"","family":"Adler-Milstein","given":"J","non-dropping-particle":"","parse-names":false,"suffix":""}],"container-title":"BMJ Quality and Safety","id":"ITEM-1","issue":"5","issued":{"date-parts":[["2018"]]},"language":"English","page":"355-364","publisher-place":"J.T. Kullgren, Center for Clinical Management Research, VA Ann Arbor Healthcare System, University of Michigan, PO Box 130170, Ann Arbor, MI, United States","title":"Precommitting to choose wisely about low-value services: A stepped wedge cluster randomised trial","type":"article-journal","volume":"27"},"uris":["http://www.mendeley.com/documents/?uuid=29338908-0b02-3294-8c57-0ee82fc9b492"]}],"mendeley":{"formattedCitation":"(237)","plainTextFormattedCitation":"(237)","previouslyFormattedCitation":"(237)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006F531"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5F93D95"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45BC3C5E" w14:textId="6C1F8C00" w:rsidR="00F422E5" w:rsidRPr="00EC3E91" w:rsidRDefault="00CD1A69" w:rsidP="00C02742">
            <w:pPr>
              <w:rPr>
                <w:sz w:val="20"/>
                <w:szCs w:val="20"/>
                <w:lang w:val="en-US"/>
              </w:rPr>
            </w:pPr>
            <w:r w:rsidRPr="00EC3E91">
              <w:rPr>
                <w:sz w:val="20"/>
                <w:szCs w:val="20"/>
                <w:lang w:val="en-US"/>
              </w:rPr>
              <w:t>Mixed Quasi</w:t>
            </w:r>
            <w:r w:rsidR="00F422E5" w:rsidRPr="00EC3E91">
              <w:rPr>
                <w:sz w:val="20"/>
                <w:szCs w:val="20"/>
                <w:lang w:val="en-US"/>
              </w:rPr>
              <w:t>-experimental</w:t>
            </w:r>
          </w:p>
        </w:tc>
        <w:tc>
          <w:tcPr>
            <w:tcW w:w="851" w:type="dxa"/>
            <w:tcBorders>
              <w:top w:val="single" w:sz="4" w:space="0" w:color="auto"/>
              <w:left w:val="nil"/>
              <w:bottom w:val="single" w:sz="4" w:space="0" w:color="auto"/>
              <w:right w:val="nil"/>
            </w:tcBorders>
            <w:hideMark/>
          </w:tcPr>
          <w:p w14:paraId="6164C7A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24D1668" w14:textId="77777777" w:rsidR="00F422E5" w:rsidRPr="00EC3E91" w:rsidRDefault="00F422E5" w:rsidP="00C02742">
            <w:pPr>
              <w:rPr>
                <w:sz w:val="20"/>
                <w:szCs w:val="20"/>
                <w:lang w:val="en-US"/>
              </w:rPr>
            </w:pPr>
            <w:r w:rsidRPr="00EC3E91">
              <w:rPr>
                <w:sz w:val="20"/>
                <w:szCs w:val="20"/>
                <w:lang w:val="en-US"/>
              </w:rPr>
              <w:t xml:space="preserve">imaging and Antibiotics </w:t>
            </w:r>
          </w:p>
        </w:tc>
        <w:tc>
          <w:tcPr>
            <w:tcW w:w="2126" w:type="dxa"/>
            <w:tcBorders>
              <w:top w:val="single" w:sz="4" w:space="0" w:color="auto"/>
              <w:left w:val="nil"/>
              <w:bottom w:val="single" w:sz="4" w:space="0" w:color="auto"/>
              <w:right w:val="nil"/>
            </w:tcBorders>
            <w:hideMark/>
          </w:tcPr>
          <w:p w14:paraId="12617677" w14:textId="77777777" w:rsidR="00F422E5" w:rsidRPr="00EC3E91" w:rsidRDefault="00F422E5" w:rsidP="00C02742">
            <w:pPr>
              <w:rPr>
                <w:sz w:val="20"/>
                <w:szCs w:val="20"/>
                <w:lang w:val="en-US"/>
              </w:rPr>
            </w:pPr>
            <w:r w:rsidRPr="00EC3E91">
              <w:rPr>
                <w:sz w:val="20"/>
                <w:szCs w:val="20"/>
                <w:lang w:val="en-US"/>
              </w:rPr>
              <w:t xml:space="preserve">Unnecessary imaging for lower back pain and headache and inappropriate use of antibiotics </w:t>
            </w:r>
          </w:p>
        </w:tc>
        <w:tc>
          <w:tcPr>
            <w:tcW w:w="3970" w:type="dxa"/>
            <w:tcBorders>
              <w:top w:val="single" w:sz="4" w:space="0" w:color="auto"/>
              <w:left w:val="nil"/>
              <w:bottom w:val="single" w:sz="4" w:space="0" w:color="auto"/>
              <w:right w:val="nil"/>
            </w:tcBorders>
            <w:hideMark/>
          </w:tcPr>
          <w:p w14:paraId="400A6F40" w14:textId="77777777" w:rsidR="00F422E5" w:rsidRPr="00EC3E91" w:rsidRDefault="00F422E5" w:rsidP="00C02742">
            <w:pPr>
              <w:rPr>
                <w:sz w:val="20"/>
                <w:szCs w:val="20"/>
                <w:lang w:val="en-US"/>
              </w:rPr>
            </w:pPr>
            <w:r w:rsidRPr="00EC3E91">
              <w:rPr>
                <w:sz w:val="20"/>
                <w:szCs w:val="20"/>
                <w:lang w:val="en-US"/>
              </w:rPr>
              <w:t xml:space="preserve">Choosing wisely </w:t>
            </w:r>
          </w:p>
        </w:tc>
        <w:tc>
          <w:tcPr>
            <w:tcW w:w="2551" w:type="dxa"/>
            <w:tcBorders>
              <w:top w:val="single" w:sz="4" w:space="0" w:color="auto"/>
              <w:left w:val="nil"/>
              <w:bottom w:val="single" w:sz="4" w:space="0" w:color="auto"/>
              <w:right w:val="nil"/>
            </w:tcBorders>
            <w:hideMark/>
          </w:tcPr>
          <w:p w14:paraId="6B5AB0AE" w14:textId="77777777" w:rsidR="00F422E5" w:rsidRPr="00EC3E91" w:rsidRDefault="00F422E5" w:rsidP="00C02742">
            <w:pPr>
              <w:rPr>
                <w:sz w:val="20"/>
                <w:szCs w:val="20"/>
                <w:lang w:val="en-US"/>
              </w:rPr>
            </w:pPr>
            <w:r w:rsidRPr="00EC3E91">
              <w:rPr>
                <w:sz w:val="20"/>
                <w:szCs w:val="20"/>
                <w:lang w:val="en-US"/>
              </w:rPr>
              <w:t xml:space="preserve">obtain formal commitment, remind clinicians, develop educational materials. </w:t>
            </w:r>
          </w:p>
        </w:tc>
      </w:tr>
      <w:tr w:rsidR="00F422E5" w:rsidRPr="00EC3E91" w14:paraId="459536FA" w14:textId="77777777" w:rsidTr="00F422E5">
        <w:trPr>
          <w:trHeight w:val="2235"/>
        </w:trPr>
        <w:tc>
          <w:tcPr>
            <w:tcW w:w="993" w:type="dxa"/>
            <w:tcBorders>
              <w:top w:val="single" w:sz="4" w:space="0" w:color="auto"/>
              <w:left w:val="nil"/>
              <w:bottom w:val="single" w:sz="4" w:space="0" w:color="auto"/>
              <w:right w:val="nil"/>
            </w:tcBorders>
          </w:tcPr>
          <w:p w14:paraId="51C95C53" w14:textId="7095E2A0" w:rsidR="00F422E5" w:rsidRPr="00EC3E91" w:rsidRDefault="007B5B6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{"citationItems":[{"id":"ITEM-1","itemData":{"DOI":"10.1016/S1473-3099(19)30709-1","ISSN":"1473-3099","author":[{"dropping-particle":"","family":"Laan","given":"Bart J","non-dropping-particle":"","parse-names":false,"suffix":""},{"dropping-particle":"","family":"Maaskant","given":"Jolanda M","non-dropping-particle":"","parse-names":false,"suffix":""},{"dropping-particle":"","family":"Spijkerman","given":"Ingrid J B","non-dropping-particle":"","parse-names":false,"suffix":""},{"dropping-particle":"","family":"Borgert","given":"Marjon J","non-dropping-particle":"","parse-names":false,"suffix":""},{"dropping-particle":"","family":"Godfried","given":"Mieke H","non-dropping-particle":"","parse-names":false,"suffix":""},{"dropping-particle":"","family":"Pasmooij","given":"Berend C","non-dropping-particle":"","parse-names":false,"suffix":""},{"dropping-particle":"","family":"Opmeer","given":"Brent C","non-dropping-particle":"","parse-names":false,"suffix":""},{"dropping-particle":"","family":"Vos","given":"Margreet C","non-dropping-particle":"","parse-names":false,"suffix":""},{"dropping-particle":"","family":"Geerlings","given":"Suzanne E","non-dropping-particle":"","parse-names":false,"suffix":""}],"container-title":"The Lancet Infectious Diseases","id":"ITEM-1","issue":"7","issued":{"date-parts":[["2020","7","1"]]},"page":"864-872","publisher":"Elsevier","title":"De-implementation strategy to reduce inappropriate use of intravenous and urinary catheters (RICAT): a multicentre, prospective, interrupted time-series and before and after study","type":"article-journal","volume":"20"},"uris":["http://www.mendeley.com/documents/?uuid=9d2c741b-180d-32a9-9f98-60226f4708d8"]}],"mendeley":{"formattedCitation":"(238)","plainTextFormattedCitation":"(238)","previouslyFormattedCitation":"(238)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4E7C368" w14:textId="77777777" w:rsidR="00F422E5" w:rsidRPr="00EC3E91" w:rsidRDefault="00F422E5" w:rsidP="00C02742">
            <w:pPr>
              <w:rPr>
                <w:sz w:val="20"/>
                <w:szCs w:val="20"/>
                <w:lang w:val="en-US"/>
              </w:rPr>
            </w:pPr>
            <w:r w:rsidRPr="00EC3E91">
              <w:rPr>
                <w:sz w:val="20"/>
                <w:szCs w:val="20"/>
                <w:lang w:val="en-US"/>
              </w:rPr>
              <w:t>Netherlands</w:t>
            </w:r>
          </w:p>
        </w:tc>
        <w:tc>
          <w:tcPr>
            <w:tcW w:w="993" w:type="dxa"/>
            <w:tcBorders>
              <w:top w:val="single" w:sz="4" w:space="0" w:color="auto"/>
              <w:left w:val="nil"/>
              <w:bottom w:val="single" w:sz="4" w:space="0" w:color="auto"/>
              <w:right w:val="nil"/>
            </w:tcBorders>
            <w:hideMark/>
          </w:tcPr>
          <w:p w14:paraId="3A402BCC"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ADD01BB"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1B984DD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CEFAC1E" w14:textId="7CB2ADE1" w:rsidR="00F422E5" w:rsidRPr="00EC3E91" w:rsidRDefault="00F422E5" w:rsidP="00C02742">
            <w:pPr>
              <w:rPr>
                <w:sz w:val="20"/>
                <w:szCs w:val="20"/>
                <w:lang w:val="en-US"/>
              </w:rPr>
            </w:pPr>
            <w:r w:rsidRPr="00EC3E91">
              <w:rPr>
                <w:sz w:val="20"/>
                <w:szCs w:val="20"/>
                <w:lang w:val="en-US"/>
              </w:rPr>
              <w:t xml:space="preserve">Surgical and </w:t>
            </w:r>
            <w:r w:rsidR="00CD1A69" w:rsidRPr="00EC3E91">
              <w:rPr>
                <w:sz w:val="20"/>
                <w:szCs w:val="20"/>
                <w:lang w:val="en-US"/>
              </w:rPr>
              <w:t>non-surgical</w:t>
            </w:r>
            <w:r w:rsidRPr="00EC3E91">
              <w:rPr>
                <w:sz w:val="20"/>
                <w:szCs w:val="20"/>
                <w:lang w:val="en-US"/>
              </w:rPr>
              <w:t xml:space="preserve"> procedures</w:t>
            </w:r>
          </w:p>
        </w:tc>
        <w:tc>
          <w:tcPr>
            <w:tcW w:w="2126" w:type="dxa"/>
            <w:tcBorders>
              <w:top w:val="single" w:sz="4" w:space="0" w:color="auto"/>
              <w:left w:val="nil"/>
              <w:bottom w:val="single" w:sz="4" w:space="0" w:color="auto"/>
              <w:right w:val="nil"/>
            </w:tcBorders>
            <w:hideMark/>
          </w:tcPr>
          <w:p w14:paraId="51AAC168" w14:textId="77777777" w:rsidR="00F422E5" w:rsidRPr="00EC3E91" w:rsidRDefault="00F422E5" w:rsidP="00C02742">
            <w:pPr>
              <w:rPr>
                <w:sz w:val="20"/>
                <w:szCs w:val="20"/>
                <w:lang w:val="en-US"/>
              </w:rPr>
            </w:pPr>
            <w:r w:rsidRPr="00EC3E91">
              <w:rPr>
                <w:sz w:val="20"/>
                <w:szCs w:val="20"/>
                <w:lang w:val="en-US"/>
              </w:rPr>
              <w:t>Inappropriate use of peripheral intravenous catheters and urinary catheters</w:t>
            </w:r>
          </w:p>
        </w:tc>
        <w:tc>
          <w:tcPr>
            <w:tcW w:w="3970" w:type="dxa"/>
            <w:tcBorders>
              <w:top w:val="single" w:sz="4" w:space="0" w:color="auto"/>
              <w:left w:val="nil"/>
              <w:bottom w:val="single" w:sz="4" w:space="0" w:color="auto"/>
              <w:right w:val="nil"/>
            </w:tcBorders>
            <w:hideMark/>
          </w:tcPr>
          <w:p w14:paraId="1ECA89B3" w14:textId="77777777" w:rsidR="00F422E5" w:rsidRPr="00EC3E91" w:rsidRDefault="00F422E5" w:rsidP="00C02742">
            <w:pPr>
              <w:rPr>
                <w:sz w:val="20"/>
                <w:szCs w:val="20"/>
                <w:lang w:val="en-US"/>
              </w:rPr>
            </w:pPr>
            <w:r w:rsidRPr="00EC3E91">
              <w:rPr>
                <w:sz w:val="20"/>
                <w:szCs w:val="20"/>
                <w:lang w:val="en-US"/>
              </w:rPr>
              <w:t>Diagnosis, prevention, and treatment of catheter-associated urinary tract infection in adults: 2009 international clinical practice guidelines from the Infectious Diseases Society of America</w:t>
            </w:r>
          </w:p>
        </w:tc>
        <w:tc>
          <w:tcPr>
            <w:tcW w:w="2551" w:type="dxa"/>
            <w:tcBorders>
              <w:top w:val="single" w:sz="4" w:space="0" w:color="auto"/>
              <w:left w:val="nil"/>
              <w:bottom w:val="single" w:sz="4" w:space="0" w:color="auto"/>
              <w:right w:val="nil"/>
            </w:tcBorders>
            <w:hideMark/>
          </w:tcPr>
          <w:p w14:paraId="5B11667A" w14:textId="7412545C" w:rsidR="00F422E5" w:rsidRPr="00EC3E91" w:rsidRDefault="00F422E5" w:rsidP="00C02742">
            <w:pPr>
              <w:rPr>
                <w:sz w:val="20"/>
                <w:szCs w:val="20"/>
                <w:lang w:val="en-US"/>
              </w:rPr>
            </w:pPr>
            <w:r w:rsidRPr="00EC3E91">
              <w:rPr>
                <w:sz w:val="20"/>
                <w:szCs w:val="20"/>
                <w:lang w:val="en-US"/>
              </w:rPr>
              <w:t>identify and prepare champions, audit and provide feedback, conduct educational meeting, develop educational materials,</w:t>
            </w:r>
            <w:r w:rsidR="00F04BEA">
              <w:rPr>
                <w:sz w:val="20"/>
                <w:szCs w:val="20"/>
                <w:lang w:val="en-US"/>
              </w:rPr>
              <w:t xml:space="preserve"> assess and redesign workflow</w:t>
            </w:r>
            <w:r w:rsidRPr="00EC3E91">
              <w:rPr>
                <w:sz w:val="20"/>
                <w:szCs w:val="20"/>
                <w:lang w:val="en-US"/>
              </w:rPr>
              <w:t>. Assess readiness for change and identify barriers and facilitators</w:t>
            </w:r>
            <w:r w:rsidR="00F04BEA">
              <w:rPr>
                <w:sz w:val="20"/>
                <w:szCs w:val="20"/>
                <w:lang w:val="en-US"/>
              </w:rPr>
              <w:t>.</w:t>
            </w:r>
            <w:r w:rsidRPr="00EC3E91">
              <w:rPr>
                <w:sz w:val="20"/>
                <w:szCs w:val="20"/>
                <w:lang w:val="en-US"/>
              </w:rPr>
              <w:t xml:space="preserve"> </w:t>
            </w:r>
          </w:p>
        </w:tc>
      </w:tr>
      <w:tr w:rsidR="00F422E5" w:rsidRPr="00E119DD" w14:paraId="5A295A07" w14:textId="77777777" w:rsidTr="00F422E5">
        <w:trPr>
          <w:trHeight w:val="2235"/>
        </w:trPr>
        <w:tc>
          <w:tcPr>
            <w:tcW w:w="993" w:type="dxa"/>
            <w:tcBorders>
              <w:top w:val="single" w:sz="4" w:space="0" w:color="auto"/>
              <w:left w:val="nil"/>
              <w:bottom w:val="single" w:sz="4" w:space="0" w:color="auto"/>
              <w:right w:val="nil"/>
            </w:tcBorders>
          </w:tcPr>
          <w:p w14:paraId="086AFACD" w14:textId="1949501B" w:rsidR="00F422E5" w:rsidRPr="00EC3E91" w:rsidRDefault="007B5B6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{"citationItems":[{"id":"ITEM-1","itemData":{"DOI":"10.1136/bmjoq-2020-001076","abstract":"Importance Electronic health record (EHR) clinical decision support (CDS) tools can provide evidence-based feedback at the point of care to reduce low-value imaging. Success of these tools has been limited partly due to lack of engagement by busy clinicians.Objective Measure the impact of a time-saving quality improvement intervention to increase engagement with a CDS tool for low back pain imaging ordering.Design, setting and participants We conducted a quasi-experimental difference-in-differences analysis at (BLINDED), examining back pain imaging orders from 29 May 2015 to 07 January 2016. The intervention site was (BLINDED) Emergency Medicine/Urgent Care Center (n=5736) and control sites included all other (BLINDED) hospitals and clinics (n=1621). In May 2015, the Department of Health Services installed a CDS tool that triggered a survey when clinicians ordered an imaging test, generating an ‘appropriateness score’ based on the American College of Radiology guidelines. Clinicians often bypassed the tool, resulting in ‘unscored’ tests.Intervention To increase clinician engagement with the tool and decrease the rate of unscored imaging tests, a new policy was implemented at the intervention site on 15 August 2015. If clinicians completed the CDS survey and scored an appropriateness score &amp;amp;gt;3, they could forego a previously mandatory telephone call for pre-imaging utilisation review with the radiology department.Main outcomes and measures We used EHR data to measure pre–post-intervention differences in: (1) percentage of unscored tests and (2) percentage of tests with high appropriateness scores (&amp;amp;gt;7).Results Percentage of unscored tests decreased from 69.4% to 10.4% at the intervention site and from 50.6% to 34.8% at the control sites (between-group difference: −23.3%, p&amp;amp;lt;0.001). Percentage of high scoring tests increased from 26.5% to 75.0% at the intervention site and from 17.2% to 22.7% at the control sites (between-group difference: 19%, p&amp;amp;lt;0.001).Conclusion Workflow time-saving interventions may increase physician engagement with CDS tools and have potential to improve practice patterns.","author":[{"dropping-particle":"","family":"Lee","given":"Bryanna","non-dropping-particle":"","parse-names":false,"suffix":""},{"dropping-particle":"","family":"Mafi","given":"John","non-dropping-particle":"","parse-names":false,"suffix":""},{"dropping-particle":"","family":"Patel","given":"Maitraya K","non-dropping-particle":"","parse-names":false,"suffix":""},{"dropping-particle":"","family":"Sorensen","given":"Andrea","non-dropping-particle":"","parse-names":false,"suffix":""},{"dropping-particle":"","family":"Vangala","given":"Sitaram","non-dropping-particle":"","parse-names":false,"suffix":""},{"dropping-particle":"","family":"Wei","given":"Eric","non-dropping-particle":"","parse-names":false,"suffix":""},{"dropping-particle":"","family":"Sarkisian","given":"Catherine","non-dropping-particle":"","parse-names":false,"suffix":""}],"container-title":"BMJ Open Quality","id":"ITEM-1","issue":"1","issued":{"date-parts":[["2021","2","1"]]},"page":"e001076","title":"Quality improvement time-saving intervention to increase use of a clinical decision support tool to reduce low-value diagnostic imaging in a safety net health system","type":"article-journal","volume":"10"},"uris":["http://www.mendeley.com/documents/?uuid=d747c78f-793c-3edc-94ac-6d863dfbe890"]}],"mendeley":{"formattedCitation":"(239)","plainTextFormattedCitation":"(239)","previouslyFormattedCitation":"(239)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(239)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B24461E"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9A2B6D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24DADC0"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90F6F7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0335A4F"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6D1C3FC5" w14:textId="77777777" w:rsidR="00F422E5" w:rsidRPr="00EC3E91" w:rsidRDefault="00F422E5" w:rsidP="00C02742">
            <w:pPr>
              <w:rPr>
                <w:sz w:val="20"/>
                <w:szCs w:val="20"/>
                <w:lang w:val="en-US"/>
              </w:rPr>
            </w:pPr>
            <w:r w:rsidRPr="00EC3E91">
              <w:rPr>
                <w:sz w:val="20"/>
                <w:szCs w:val="20"/>
                <w:lang w:val="en-US"/>
              </w:rPr>
              <w:t>Imaging for low back pain</w:t>
            </w:r>
          </w:p>
        </w:tc>
        <w:tc>
          <w:tcPr>
            <w:tcW w:w="3970" w:type="dxa"/>
            <w:tcBorders>
              <w:top w:val="single" w:sz="4" w:space="0" w:color="auto"/>
              <w:left w:val="nil"/>
              <w:bottom w:val="single" w:sz="4" w:space="0" w:color="auto"/>
              <w:right w:val="nil"/>
            </w:tcBorders>
            <w:hideMark/>
          </w:tcPr>
          <w:p w14:paraId="6FC755CF" w14:textId="77777777" w:rsidR="00F422E5" w:rsidRPr="00EC3E91" w:rsidRDefault="00F422E5" w:rsidP="00C02742">
            <w:pPr>
              <w:rPr>
                <w:sz w:val="20"/>
                <w:szCs w:val="20"/>
                <w:lang w:val="en-US"/>
              </w:rPr>
            </w:pPr>
            <w:r w:rsidRPr="00EC3E91">
              <w:rPr>
                <w:sz w:val="20"/>
                <w:szCs w:val="20"/>
                <w:lang w:val="en-US"/>
              </w:rPr>
              <w:t>National clinical guidelines for non-surgical treatment of patients with recent onset low back pain or lumbar radiculopathy</w:t>
            </w:r>
            <w:r w:rsidRPr="00EC3E91">
              <w:rPr>
                <w:sz w:val="20"/>
                <w:szCs w:val="20"/>
                <w:lang w:val="en-US"/>
              </w:rPr>
              <w:br/>
            </w:r>
            <w:r w:rsidRPr="00EC3E91">
              <w:rPr>
                <w:sz w:val="20"/>
                <w:szCs w:val="20"/>
                <w:lang w:val="en-US"/>
              </w:rPr>
              <w:br/>
              <w:t xml:space="preserve"> Diagnosis and treatment of low back pain: a joint clinical practice guideline from the American College of physicians and the American pain Society.</w:t>
            </w:r>
          </w:p>
        </w:tc>
        <w:tc>
          <w:tcPr>
            <w:tcW w:w="2551" w:type="dxa"/>
            <w:tcBorders>
              <w:top w:val="single" w:sz="4" w:space="0" w:color="auto"/>
              <w:left w:val="nil"/>
              <w:bottom w:val="single" w:sz="4" w:space="0" w:color="auto"/>
              <w:right w:val="nil"/>
            </w:tcBorders>
            <w:hideMark/>
          </w:tcPr>
          <w:p w14:paraId="4D33E01B" w14:textId="77777777" w:rsidR="00F422E5" w:rsidRPr="00EC3E91" w:rsidRDefault="00F422E5" w:rsidP="00C02742">
            <w:pPr>
              <w:rPr>
                <w:sz w:val="20"/>
                <w:szCs w:val="20"/>
                <w:lang w:val="en-US"/>
              </w:rPr>
            </w:pPr>
            <w:r w:rsidRPr="00EC3E91">
              <w:rPr>
                <w:sz w:val="20"/>
                <w:szCs w:val="20"/>
                <w:lang w:val="en-US"/>
              </w:rPr>
              <w:t xml:space="preserve">remind clinicians </w:t>
            </w:r>
          </w:p>
        </w:tc>
      </w:tr>
      <w:tr w:rsidR="00F422E5" w:rsidRPr="00E119DD" w14:paraId="793CBCF2" w14:textId="77777777" w:rsidTr="00F422E5">
        <w:trPr>
          <w:trHeight w:val="2235"/>
        </w:trPr>
        <w:tc>
          <w:tcPr>
            <w:tcW w:w="993" w:type="dxa"/>
            <w:tcBorders>
              <w:top w:val="single" w:sz="4" w:space="0" w:color="auto"/>
              <w:left w:val="nil"/>
              <w:bottom w:val="single" w:sz="4" w:space="0" w:color="auto"/>
              <w:right w:val="nil"/>
            </w:tcBorders>
          </w:tcPr>
          <w:p w14:paraId="7F6F9FCC" w14:textId="15B5EFF0" w:rsidR="00F422E5" w:rsidRPr="00EC3E91" w:rsidRDefault="0098720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{"citationItems":[{"id":"ITEM-1","itemData":{"DOI":"10.1136/bmjoq-2018-000483","abstract":"Objective To determine if an educational intervention can decrease the inappropriate antibiotic treatment of long-term care (LTC) residents with asymptomatic bacteriuria (ASB).Design Prospective chart audit between May and July 2017.Setting Seven LTC facilities in Regina, Saskatchewan, Canada.Participants Chart audits were performed on all LTC residents over 18 years of age with a positive urine culture. Educational sessions and tools were available to all clinical staff at participating LTC facilities.Intervention Fifteen-minute educational sessions were provided to LTC facility staff outlining the harms of unnecessary antibiotic use, antibiotic resistance and the diagnostic criteria of a urinary tract infection (UTI). Educational sessions were complimented with posters and pocket cards that summarised UTI diagnostic criteria.Main outcome measure The primary outcome measure was the number of residents who received inappropriate antibiotic treatment for ASB. Secondary outcome measures included the appropriateness of urine culture tests, number of tests and cost associated with inappropriate treatments.Results In the preintervention period, 172 urine culture and sensitivity (UC&amp;amp;amp;S) tests were performed, 62 (36.0%) were positive and 50/62 (80.6%) residents had ASB based on chart review. In the postintervention period, 151 UC&amp;amp;amp;S tests were performed, 50 (33.1%) were positive and 35/50 (70.0%) residents had ASB. There was a statistically significant decrease in the number of residents treated with antibiotics for ASB, from 45/50 (90%) preintervention to 22/35 (62.9%) postintervention (χ2=9.087, p=0.003).Conclusions An educational intervention was associated with a statistically significant decrease in inappropriate antibiotic treatment of LTC residents with ASB.","author":[{"dropping-particle":"","family":"Lee","given":"Christine","non-dropping-particle":"","parse-names":false,"suffix":""},{"dropping-particle":"","family":"Phillips","given":"Casey","non-dropping-particle":"","parse-names":false,"suffix":""},{"dropping-particle":"","family":"Vanstone","given":"Jason Robert","non-dropping-particle":"","parse-names":false,"suffix":""}],"container-title":"BMJ Open Quality","id":"ITEM-1","issue":"4","issued":{"date-parts":[["2018","12","1"]]},"page":"e000483","title":"Educational intervention to reduce treatment of asymptomatic bacteriuria in long-term care","type":"article-journal","volume":"7"},"uris":["http://www.mendeley.com/documents/?uuid=7bb6cad7-fa60-303d-8796-1684d3cdb3a0"]}],"mendeley":{"formattedCitation":"(240)","plainTextFormattedCitation":"(240)","previouslyFormattedCitation":"(240)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8524C78"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084C7F13"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79B3A988"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C7BB7F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14E9990"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2F6600C1" w14:textId="4FF45842" w:rsidR="00F422E5" w:rsidRPr="00EC3E91" w:rsidRDefault="00F422E5" w:rsidP="00C02742">
            <w:pPr>
              <w:rPr>
                <w:sz w:val="20"/>
                <w:szCs w:val="20"/>
                <w:lang w:val="en-US"/>
              </w:rPr>
            </w:pPr>
            <w:r w:rsidRPr="00EC3E91">
              <w:rPr>
                <w:sz w:val="20"/>
                <w:szCs w:val="20"/>
                <w:lang w:val="en-US"/>
              </w:rPr>
              <w:t xml:space="preserve">Inappropriate antibiotic </w:t>
            </w:r>
            <w:r w:rsidR="00CD1A69" w:rsidRPr="00EC3E91">
              <w:rPr>
                <w:sz w:val="20"/>
                <w:szCs w:val="20"/>
                <w:lang w:val="en-US"/>
              </w:rPr>
              <w:t>use for</w:t>
            </w:r>
            <w:r w:rsidRPr="00EC3E91">
              <w:rPr>
                <w:sz w:val="20"/>
                <w:szCs w:val="20"/>
                <w:lang w:val="en-US"/>
              </w:rPr>
              <w:t xml:space="preserve"> long term care facility residents with asymptomatic bacteriuria</w:t>
            </w:r>
          </w:p>
        </w:tc>
        <w:tc>
          <w:tcPr>
            <w:tcW w:w="3970" w:type="dxa"/>
            <w:tcBorders>
              <w:top w:val="single" w:sz="4" w:space="0" w:color="auto"/>
              <w:left w:val="nil"/>
              <w:bottom w:val="single" w:sz="4" w:space="0" w:color="auto"/>
              <w:right w:val="nil"/>
            </w:tcBorders>
            <w:hideMark/>
          </w:tcPr>
          <w:p w14:paraId="7737C4FA" w14:textId="77777777" w:rsidR="00F422E5" w:rsidRPr="00EC3E91" w:rsidRDefault="00F422E5" w:rsidP="00C02742">
            <w:pPr>
              <w:rPr>
                <w:sz w:val="20"/>
                <w:szCs w:val="20"/>
                <w:lang w:val="en-US"/>
              </w:rPr>
            </w:pPr>
            <w:r w:rsidRPr="00EC3E91">
              <w:rPr>
                <w:sz w:val="20"/>
                <w:szCs w:val="20"/>
                <w:lang w:val="en-US"/>
              </w:rPr>
              <w:t>Infectious Diseases Society of America guidelines for the diagnosis and treatment of asymptomatic bacteriuria in adults</w:t>
            </w:r>
            <w:r w:rsidRPr="00EC3E91">
              <w:rPr>
                <w:sz w:val="20"/>
                <w:szCs w:val="20"/>
                <w:lang w:val="en-US"/>
              </w:rPr>
              <w:br/>
            </w:r>
            <w:r w:rsidRPr="00EC3E91">
              <w:rPr>
                <w:sz w:val="20"/>
                <w:szCs w:val="20"/>
                <w:lang w:val="en-US"/>
              </w:rPr>
              <w:br/>
              <w:t>Choosing Wisely Canada</w:t>
            </w:r>
            <w:r w:rsidRPr="00EC3E91">
              <w:rPr>
                <w:sz w:val="20"/>
                <w:szCs w:val="20"/>
                <w:lang w:val="en-US"/>
              </w:rPr>
              <w:br/>
            </w:r>
            <w:r w:rsidRPr="00EC3E91">
              <w:rPr>
                <w:sz w:val="20"/>
                <w:szCs w:val="20"/>
                <w:lang w:val="en-US"/>
              </w:rPr>
              <w:br/>
              <w:t xml:space="preserve">Guidelines for the Prevention and Treatment of Urinary Tract Infections (UTIs) in Continuing Care Settings. </w:t>
            </w:r>
          </w:p>
        </w:tc>
        <w:tc>
          <w:tcPr>
            <w:tcW w:w="2551" w:type="dxa"/>
            <w:tcBorders>
              <w:top w:val="single" w:sz="4" w:space="0" w:color="auto"/>
              <w:left w:val="nil"/>
              <w:bottom w:val="single" w:sz="4" w:space="0" w:color="auto"/>
              <w:right w:val="nil"/>
            </w:tcBorders>
            <w:hideMark/>
          </w:tcPr>
          <w:p w14:paraId="318C94FF" w14:textId="77777777" w:rsidR="00F422E5" w:rsidRPr="00EC3E91" w:rsidRDefault="00F422E5" w:rsidP="00C02742">
            <w:pPr>
              <w:rPr>
                <w:sz w:val="20"/>
                <w:szCs w:val="20"/>
                <w:lang w:val="en-US"/>
              </w:rPr>
            </w:pPr>
            <w:r w:rsidRPr="00EC3E91">
              <w:rPr>
                <w:sz w:val="20"/>
                <w:szCs w:val="20"/>
                <w:lang w:val="en-US"/>
              </w:rPr>
              <w:t xml:space="preserve">audit and provide feedback, conduct educational meeting, develop educational materials, </w:t>
            </w:r>
          </w:p>
        </w:tc>
      </w:tr>
      <w:tr w:rsidR="00F422E5" w:rsidRPr="00E119DD" w14:paraId="1DBB12F3" w14:textId="77777777" w:rsidTr="00F422E5">
        <w:trPr>
          <w:trHeight w:val="2235"/>
        </w:trPr>
        <w:tc>
          <w:tcPr>
            <w:tcW w:w="993" w:type="dxa"/>
            <w:tcBorders>
              <w:top w:val="single" w:sz="4" w:space="0" w:color="auto"/>
              <w:left w:val="nil"/>
              <w:bottom w:val="single" w:sz="4" w:space="0" w:color="auto"/>
              <w:right w:val="nil"/>
            </w:tcBorders>
          </w:tcPr>
          <w:p w14:paraId="2A29869A" w14:textId="3BB3D34F" w:rsidR="00F422E5" w:rsidRPr="00EC3E91" w:rsidRDefault="001903AA"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{"citationItems":[{"id":"ITEM-1","itemData":{"ISSN":"1741-7015","abstract":"Background: The World Health Organisation (WHO) recommends parasitological diagnosis of malaria before treatment, but use of malaria rapid diagnostic tests (mRDTs) by community health workers (CHWs) has not been fully tested within health services in south and central Asia. mRDTs could allow CHWs to diagnose malaria accurately, improving treatment of febrile illness.Methods: A cluster randomised trial in community health services was undertaken in Afghanistan. The primary outcome was the proportion of suspected malaria cases correctly treated for polymerase chain reaction (PCR)-confirmed malaria and PCR negative cases receiving no antimalarial drugs measured at the level of the patient. CHWs from 22 clusters (clinics) received standard training on clinical diagnosis and treatment of malaria; 11 clusters randomised to the intervention arm received additional training and were provided with mRDTs. CHWs enrolled cases of suspected malaria, and the mRDT results and treatments were compared to blind-read PCR diagnosis.Results: In total, 256 CHWs enrolled 2400 patients with 2154 (89.8%) evaluated. In the intervention arm, 75.3% (828/1099) were treated appropriately vs. 17.5% (185/1055) in the control arm (cluster adjusted risk ratio: 3.72, 95% confidence interval 2.40-5.77; p &lt; 0.001). In the control arm, 85.9% (164/191) with confirmed Plasmodium vivax received chloroquine compared to 45.1% (70/155) in the intervention arm (p &lt; 0.001). Overuse of chloroquine in the control arm resulted in 87.6% (813/928) of those with no malaria (PCR negative) being treated vs. 10.0% (95/947) in the intervention arm, p &lt; 0.001. In the intervention arm, 71.4% (30/42) of patients with P. falciparum did not receive artemisinin-based combination therapy, partly because operational sensitivity of the RDTs was low (53.2%, 38.1-67.9). There was high concordance between recorded RDT result and CHW prescription decisions: 826/950 (87.0%) with a negative test were not prescribed an antimalarial. Co-trimoxazole was prescribed to 62.7% of malaria negative patients in the intervention arm and 15.0% in the control arm.Conclusions: While introducing mRDT reduced overuse of antimalarials, this action came with risks that need to be considered before use at scale: an appreciable proportion of malaria cases will be missed by those using current mRDTs. Higher sensitivity tests could be used to detect all cases. Overtreatment with antimalarial drugs in the control arm was replaced with increased…","author":[{"dropping-particle":"","family":"Leslie","given":"Toby","non-dropping-particle":"","parse-names":false,"suffix":""},{"dropping-particle":"","family":"Rowland","given":"Mark","non-dropping-particle":"","parse-names":false,"suffix":""},{"dropping-particle":"","family":"Mikhail","given":"Amy","non-dropping-particle":"","parse-names":false,"suffix":""},{"dropping-particle":"","family":"Cundill","given":"Bonnie","non-dropping-particle":"","parse-names":false,"suffix":""},{"dropping-particle":"","family":"Willey","given":"Barbara","non-dropping-particle":"","parse-names":false,"suffix":""},{"dropping-particle":"","family":"Alokozai","given":"Asif","non-dropping-particle":"","parse-names":false,"suffix":""},{"dropping-particle":"","family":"Mayan","given":"Ismail","non-dropping-particle":"","parse-names":false,"suffix":""},{"dropping-particle":"","family":"Hasanzai","given":"Anwar","non-dropping-particle":"","parse-names":false,"suffix":""},{"dropping-particle":"","family":"Baktash","given":"Sayed Habibullah","non-dropping-particle":"","parse-names":false,"suffix":""},{"dropping-particle":"","family":"Mohammed","given":"Nader","non-dropping-particle":"","parse-names":false,"suffix":""},{"dropping-particle":"","family":"Wood","given":"Molly","non-dropping-particle":"","parse-names":false,"suffix":""},{"dropping-particle":"","family":"Rahimi","given":"Habib-u-Rahman","non-dropping-particle":"","parse-names":false,"suffix":""},{"dropping-particle":"","family":"Laurent","given":"Baptiste","non-dropping-particle":"","parse-names":false,"suffix":""},{"dropping-particle":"","family":"Buhler","given":"Cyril","non-dropping-particle":"","parse-names":false,"suffix":""},{"dropping-particle":"","family":"Whitty","given":"Christopher J M","non-dropping-particle":"","parse-names":false,"suffix":""}],"container-title":"BMC Medicine","id":"ITEM-1","issued":{"date-parts":[["2017"]]},"page":"1-11","publisher-place":"London School of Hygiene &amp; Tropical Medicine, London WC1H 7HT, UK Health Protection and Research Organisation, Kabul, Afghanistan HealthNet-TPO, Kabul, Afghanistan Merlin, Kunduz, Afghanistan Diagnostics, Paris, France","title":"Use of malaria rapid diagnostic tests by community health workers in Afghanistan: cluster randomised trial","type":"article-journal","volume":"15"},"uris":["http://www.mendeley.com/documents/?uuid=45aa9f50-36bd-3087-984d-a54e9d2be9b2"]}],"mendeley":{"formattedCitation":"(241)","plainTextFormattedCitation":"(241)","previouslyFormattedCitation":"(241)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61D90FF" w14:textId="77777777" w:rsidR="00F422E5" w:rsidRPr="00EC3E91" w:rsidRDefault="00F422E5" w:rsidP="00C02742">
            <w:pPr>
              <w:rPr>
                <w:sz w:val="20"/>
                <w:szCs w:val="20"/>
                <w:lang w:val="en-US"/>
              </w:rPr>
            </w:pPr>
            <w:r w:rsidRPr="00EC3E91">
              <w:rPr>
                <w:sz w:val="20"/>
                <w:szCs w:val="20"/>
                <w:lang w:val="en-US"/>
              </w:rPr>
              <w:t>Afghanistan</w:t>
            </w:r>
          </w:p>
        </w:tc>
        <w:tc>
          <w:tcPr>
            <w:tcW w:w="993" w:type="dxa"/>
            <w:tcBorders>
              <w:top w:val="single" w:sz="4" w:space="0" w:color="auto"/>
              <w:left w:val="nil"/>
              <w:bottom w:val="single" w:sz="4" w:space="0" w:color="auto"/>
              <w:right w:val="nil"/>
            </w:tcBorders>
            <w:hideMark/>
          </w:tcPr>
          <w:p w14:paraId="07505251"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2F72B270"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5E34315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35537AA" w14:textId="77777777" w:rsidR="00F422E5" w:rsidRPr="00EC3E91" w:rsidRDefault="00F422E5" w:rsidP="00C02742">
            <w:pPr>
              <w:rPr>
                <w:sz w:val="20"/>
                <w:szCs w:val="20"/>
                <w:lang w:val="en-US"/>
              </w:rPr>
            </w:pPr>
            <w:r w:rsidRPr="00EC3E91">
              <w:rPr>
                <w:sz w:val="20"/>
                <w:szCs w:val="20"/>
                <w:lang w:val="en-US"/>
              </w:rPr>
              <w:t>Antibiotics, 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4745278F" w14:textId="77777777" w:rsidR="00F422E5" w:rsidRPr="00EC3E91" w:rsidRDefault="00F422E5" w:rsidP="00C02742">
            <w:pPr>
              <w:rPr>
                <w:sz w:val="20"/>
                <w:szCs w:val="20"/>
                <w:lang w:val="en-US"/>
              </w:rPr>
            </w:pPr>
            <w:r w:rsidRPr="00EC3E91">
              <w:rPr>
                <w:sz w:val="20"/>
                <w:szCs w:val="20"/>
                <w:lang w:val="en-US"/>
              </w:rPr>
              <w:t>Inappropriate prescribing of antimalarials and antibiotics</w:t>
            </w:r>
          </w:p>
        </w:tc>
        <w:tc>
          <w:tcPr>
            <w:tcW w:w="3970" w:type="dxa"/>
            <w:tcBorders>
              <w:top w:val="single" w:sz="4" w:space="0" w:color="auto"/>
              <w:left w:val="nil"/>
              <w:bottom w:val="single" w:sz="4" w:space="0" w:color="auto"/>
              <w:right w:val="nil"/>
            </w:tcBorders>
            <w:hideMark/>
          </w:tcPr>
          <w:p w14:paraId="430B78A2" w14:textId="77777777" w:rsidR="00F422E5" w:rsidRPr="00EC3E91" w:rsidRDefault="00F422E5" w:rsidP="00C02742">
            <w:pPr>
              <w:rPr>
                <w:sz w:val="20"/>
                <w:szCs w:val="20"/>
                <w:lang w:val="en-US"/>
              </w:rPr>
            </w:pPr>
            <w:r w:rsidRPr="00EC3E91">
              <w:rPr>
                <w:sz w:val="20"/>
                <w:szCs w:val="20"/>
                <w:lang w:val="en-US"/>
              </w:rPr>
              <w:t>World Health Organization (WHO). Universal access to malaria diagnostic testing — an operational manual.</w:t>
            </w:r>
          </w:p>
        </w:tc>
        <w:tc>
          <w:tcPr>
            <w:tcW w:w="2551" w:type="dxa"/>
            <w:tcBorders>
              <w:top w:val="single" w:sz="4" w:space="0" w:color="auto"/>
              <w:left w:val="nil"/>
              <w:bottom w:val="single" w:sz="4" w:space="0" w:color="auto"/>
              <w:right w:val="nil"/>
            </w:tcBorders>
            <w:hideMark/>
          </w:tcPr>
          <w:p w14:paraId="2A1FB6F8" w14:textId="77777777" w:rsidR="00F422E5" w:rsidRPr="00EC3E91" w:rsidRDefault="00F422E5" w:rsidP="00C02742">
            <w:pPr>
              <w:rPr>
                <w:sz w:val="20"/>
                <w:szCs w:val="20"/>
                <w:lang w:val="en-US"/>
              </w:rPr>
            </w:pPr>
            <w:r w:rsidRPr="00EC3E91">
              <w:rPr>
                <w:sz w:val="20"/>
                <w:szCs w:val="20"/>
                <w:lang w:val="en-US"/>
              </w:rPr>
              <w:t xml:space="preserve">conduct educational meeting, develop educational materials, changes in physical structure and equipment </w:t>
            </w:r>
          </w:p>
        </w:tc>
      </w:tr>
      <w:tr w:rsidR="00F422E5" w:rsidRPr="00E119DD" w14:paraId="1004B43F" w14:textId="77777777" w:rsidTr="00F422E5">
        <w:trPr>
          <w:trHeight w:val="2235"/>
        </w:trPr>
        <w:tc>
          <w:tcPr>
            <w:tcW w:w="993" w:type="dxa"/>
            <w:tcBorders>
              <w:top w:val="single" w:sz="4" w:space="0" w:color="auto"/>
              <w:left w:val="nil"/>
              <w:bottom w:val="single" w:sz="4" w:space="0" w:color="auto"/>
              <w:right w:val="nil"/>
            </w:tcBorders>
          </w:tcPr>
          <w:p w14:paraId="2CD2B95D" w14:textId="0C1FAE67" w:rsidR="00F422E5" w:rsidRPr="00EC3E91" w:rsidRDefault="00B10A00"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{"citationItems":[{"id":"ITEM-1","itemData":{"ISSN":"1542-6270 1060-0280","abstract":"Background: Proton pump inhibitors (PPIs) have been identified as a significant risk factor for the development of Clostridium difficile infection (CDI). Probiotics given concurrently with antibiotics have been shown to have a moderate impact on preventing CDI. Objective: To evaluate the effectiveness of hospital-wide interventions designed to reduce PPI use and increase probiotics and whether these interventions were associated with a change in the incidence of hospital onset (HO)-CDI. Methods: This retrospective cohort study compared 2 fiscal years: July 2013 to June 2014 (FY14) and July 2014 to June 2015 (FY15). In July of FY15, global educational initiatives were launched targeting PPIs. Additionally, a HO-CDI prevention bundle was added to antibiotic-containing order sets targeting probiotics. Overall PPI use, probiotic use, and incidence of HO-CDI were recorded and compared for each cohort. Charts were also reviewed for patients who developed HO-CDI for the presence and appropriateness of a PPI and presence of probiotics. Results: The interventions resulted in a decrease in PPI use by 14% or 96 doses/1000 patient days (TPD; P = 0.0002) and a reduction in IV PPI use by 31% or 71 doses/TPD (P = 0.0008). Probiotic use increased by 130% or 126 doses/TPD (P = 0.0006). The incidence of HO-CDI decreased by 20% or 0.1 cases/TPD (P = 0.04). Conclusions: A collaborative, multifaceted educational initiative directed at highlighting the risks associated with PPI use was effective in reducing PPI prescribing. The implementation of a probiotic bundle added to antibiotic order sets was effective in increasing probiotic use. These interventions were associated with a decrease in incidence of HO-CDI.","author":[{"dropping-particle":"","family":"Lewis","given":"P O","non-dropping-particle":"","parse-names":false,"suffix":""},{"dropping-particle":"","family":"Lundberg","given":"T S","non-dropping-particle":"","parse-names":false,"suffix":""},{"dropping-particle":"","family":"Tharp","given":"J L","non-dropping-particle":"","parse-names":false,"suffix":""},{"dropping-particle":"","family":"Runnels","given":"C W","non-dropping-particle":"","parse-names":false,"suffix":""}],"container-title":"Annals of Pharmacotherapy","id":"ITEM-1","issue":"10","issued":{"date-parts":[["2017"]]},"language":"English","page":"848-854","publisher-place":"P.O. Lewis, Department of Pharmacy, Johnson City Medical Center, 400 N State of Franklin Rd, Johnson City, TN, United States","title":"Implementation of Global Strategies to Prevent Hospital-Onset Clostridium difficile Infection: Targeting Proton Pump Inhibitors and Probiotics","type":"article-journal","volume":"51"},"uris":["http://www.mendeley.com/documents/?uuid=3be1b32b-d977-30aa-9ecd-bcda81bfe425"]}],"mendeley":{"formattedCitation":"(242)","plainTextFormattedCitation":"(242)","previouslyFormattedCitation":"(242)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B1DEA65"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5B5F4B7"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079EA06"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00139DF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BA069B3"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24039E65" w14:textId="77777777" w:rsidR="00F422E5" w:rsidRPr="00EC3E91" w:rsidRDefault="00F422E5" w:rsidP="00C02742">
            <w:pPr>
              <w:rPr>
                <w:sz w:val="20"/>
                <w:szCs w:val="20"/>
                <w:lang w:val="en-US"/>
              </w:rPr>
            </w:pPr>
            <w:r w:rsidRPr="00EC3E91">
              <w:rPr>
                <w:sz w:val="20"/>
                <w:szCs w:val="20"/>
                <w:lang w:val="en-US"/>
              </w:rPr>
              <w:t>Inappropriate PPI prescriptions</w:t>
            </w:r>
          </w:p>
        </w:tc>
        <w:tc>
          <w:tcPr>
            <w:tcW w:w="3970" w:type="dxa"/>
            <w:tcBorders>
              <w:top w:val="single" w:sz="4" w:space="0" w:color="auto"/>
              <w:left w:val="nil"/>
              <w:bottom w:val="single" w:sz="4" w:space="0" w:color="auto"/>
              <w:right w:val="nil"/>
            </w:tcBorders>
            <w:hideMark/>
          </w:tcPr>
          <w:p w14:paraId="39E049D3" w14:textId="77777777" w:rsidR="00F422E5" w:rsidRPr="00EC3E91" w:rsidRDefault="00F422E5" w:rsidP="00C02742">
            <w:pPr>
              <w:rPr>
                <w:sz w:val="20"/>
                <w:szCs w:val="20"/>
                <w:lang w:val="en-US"/>
              </w:rPr>
            </w:pPr>
            <w:r w:rsidRPr="00EC3E91">
              <w:rPr>
                <w:sz w:val="20"/>
                <w:szCs w:val="20"/>
                <w:lang w:val="en-US"/>
              </w:rPr>
              <w:t>Food and Drug Administration. FDA Drug Safety Communication: Clostridium difficile -associated diarrhea can be associated with stomach acid drugs known as proton pump inhibitors (PPIs).</w:t>
            </w:r>
          </w:p>
        </w:tc>
        <w:tc>
          <w:tcPr>
            <w:tcW w:w="2551" w:type="dxa"/>
            <w:tcBorders>
              <w:top w:val="single" w:sz="4" w:space="0" w:color="auto"/>
              <w:left w:val="nil"/>
              <w:bottom w:val="single" w:sz="4" w:space="0" w:color="auto"/>
              <w:right w:val="nil"/>
            </w:tcBorders>
            <w:hideMark/>
          </w:tcPr>
          <w:p w14:paraId="6C7CEFB4" w14:textId="77777777" w:rsidR="00F422E5" w:rsidRPr="00EC3E91" w:rsidRDefault="00F422E5" w:rsidP="00C02742">
            <w:pPr>
              <w:rPr>
                <w:sz w:val="20"/>
                <w:szCs w:val="20"/>
                <w:lang w:val="en-US"/>
              </w:rPr>
            </w:pPr>
            <w:r w:rsidRPr="00EC3E91">
              <w:rPr>
                <w:sz w:val="20"/>
                <w:szCs w:val="20"/>
                <w:lang w:val="en-US"/>
              </w:rPr>
              <w:t xml:space="preserve">develop educational materials, audit and provide feedback, change physical structure and equipment, conduct educational meeting, develop and organize quality monitoring system, </w:t>
            </w:r>
          </w:p>
        </w:tc>
      </w:tr>
      <w:tr w:rsidR="00F422E5" w:rsidRPr="00E119DD" w14:paraId="610AF370" w14:textId="77777777" w:rsidTr="00F422E5">
        <w:trPr>
          <w:trHeight w:val="2235"/>
        </w:trPr>
        <w:tc>
          <w:tcPr>
            <w:tcW w:w="993" w:type="dxa"/>
            <w:tcBorders>
              <w:top w:val="single" w:sz="4" w:space="0" w:color="auto"/>
              <w:left w:val="nil"/>
              <w:bottom w:val="single" w:sz="4" w:space="0" w:color="auto"/>
              <w:right w:val="nil"/>
            </w:tcBorders>
          </w:tcPr>
          <w:p w14:paraId="1F837F13" w14:textId="179F831B" w:rsidR="00F422E5" w:rsidRPr="00EC3E91" w:rsidRDefault="00AA581D" w:rsidP="00C02742">
            <w:pPr>
              <w:rPr>
                <w:sz w:val="20"/>
                <w:szCs w:val="20"/>
                <w:lang w:val="en-US"/>
              </w:rPr>
            </w:pPr>
            <w:r w:rsidRPr="00EC3E91">
              <w:rPr>
                <w:sz w:val="20"/>
                <w:szCs w:val="20"/>
                <w:lang w:val="en-US"/>
              </w:rPr>
              <w:lastRenderedPageBreak/>
              <w:fldChar w:fldCharType="begin" w:fldLock="1"/>
            </w:r>
            <w:r w:rsidR="00DA54B9">
              <w:rPr>
                <w:sz w:val="20"/>
                <w:szCs w:val="20"/>
                <w:lang w:val="en-US"/>
              </w:rPr>
              <w:instrText>ADDIN CSL_CITATION {"citationItems":[{"id":"ITEM-1","itemData":{"DOI":"10.1093/jac/dkz062","ISSN":"0305-7453","abstract":"Data surveillance and policy interventions can optimize antibiotic use, but few studies have focused on the changes in antibiotic use after a strict antibiotic stewardship policy was implemented in China in 2012.Based on the Center for Antibacterial Surveillance, data were collected from general hospitals in two provinces of China. Using indicators (e.g. percentage of antibiotic use and proportion of antibiotic costs) recommended by the WHO, this study aimed to identify trends and patterns of systemic antibiotic (Anatomical Therapeutic Chemical code J01) use in hospitals in 2012–16 and to explore inappropriate antibiotic use.This study obtained 282479 outpatient prescriptions and 86070 inpatient records from 52 hospitals. The percentage of antibiotic use in outpatients and non-surgical and surgical inpatients significantly declined from 20.17%, 41.92% and 74.15% in 2012 to 12.94%, 33.88% and 69.03% in 2016, respectively. Among antibiotic prescriptions and records, the percentage of antibiotic combination therapy, the percentage of antibiotic use for prophylaxis and the proportion of antibiotic costs showed a decreasing trend over time. However, in 2016, the percentage of antibiotic use for surgical prophylaxis was still &gt;80%, with more than one-third involving inappropriate timing of antibiotic usage according to the predefined criteria. In non-surgical inpatients, the usage rates in acute upper respiratory infections, diarrhoea in children &lt;5 years and fever or cough symptoms all exceeded 55%.A significant downward trend in antibiotic use was identified in China’s hospitals, which indicates that policy intervention might reduce the overuse of antibiotics. Furthermore, strengthening appropriate antibiotic use should be the focus of antibiotic stewardship.","author":[{"dropping-particle":"","family":"Li","given":"Hui","non-dropping-particle":"","parse-names":false,"suffix":""},{"dropping-particle":"","family":"Yan","given":"Shijiao","non-dropping-particle":"","parse-names":false,"suffix":""},{"dropping-particle":"","family":"Li","given":"Dandan","non-dropping-particle":"","parse-names":false,"suffix":""},{"dropping-particle":"","family":"Gong","given":"Yanhong","non-dropping-particle":"","parse-names":false,"suffix":""},{"dropping-particle":"","family":"Lu","given":"Zuxun","non-dropping-particle":"","parse-names":false,"suffix":""},{"dropping-particle":"","family":"Yin","given":"Xiaoxv","non-dropping-particle":"","parse-names":false,"suffix":""}],"container-title":"Journal of Antimicrobial Chemotherapy","id":"ITEM-1","issue":"6","issued":{"date-parts":[["2019","6","1"]]},"page":"1731-1740","title":"Trends and patterns of outpatient and inpatient antibiotic use in China’s hospitals: data from the Center for Antibacterial Surveillance, 2012–16","type":"article-journal","volume":"74"},"uris":["http://www.mendeley.com/documents/?uuid=45903e99-ff27-3eed-a115-22bbbe3bfadb"]}],"mendeley":{"formattedCitation":"(243)","plainTextFormattedCitation":"(243)","previouslyFormattedCitation":"(243)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2AEB97F"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540EFC73"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5DF7B446"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2CBBBDF"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5CF316B4"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4BAD62D" w14:textId="77777777" w:rsidR="00F422E5" w:rsidRPr="00EC3E91" w:rsidRDefault="00F422E5" w:rsidP="00C02742">
            <w:pPr>
              <w:rPr>
                <w:sz w:val="20"/>
                <w:szCs w:val="20"/>
                <w:lang w:val="en-US"/>
              </w:rPr>
            </w:pPr>
            <w:r w:rsidRPr="00EC3E91">
              <w:rPr>
                <w:sz w:val="20"/>
                <w:szCs w:val="20"/>
                <w:lang w:val="en-US"/>
              </w:rPr>
              <w:t>Excessive use of antibiotics</w:t>
            </w:r>
          </w:p>
        </w:tc>
        <w:tc>
          <w:tcPr>
            <w:tcW w:w="3970" w:type="dxa"/>
            <w:tcBorders>
              <w:top w:val="single" w:sz="4" w:space="0" w:color="auto"/>
              <w:left w:val="nil"/>
              <w:bottom w:val="single" w:sz="4" w:space="0" w:color="auto"/>
              <w:right w:val="nil"/>
            </w:tcBorders>
            <w:hideMark/>
          </w:tcPr>
          <w:p w14:paraId="3EB76493" w14:textId="7749AA0A" w:rsidR="00F422E5" w:rsidRPr="00EC3E91" w:rsidRDefault="00F422E5" w:rsidP="00C02742">
            <w:pPr>
              <w:rPr>
                <w:sz w:val="20"/>
                <w:szCs w:val="20"/>
                <w:lang w:val="en-US"/>
              </w:rPr>
            </w:pPr>
            <w:r w:rsidRPr="00EC3E91">
              <w:rPr>
                <w:sz w:val="20"/>
                <w:szCs w:val="20"/>
                <w:lang w:val="en-US"/>
              </w:rPr>
              <w:t>WHO 2015. Antimicrobial Resistance: Draft Global Action Plan on Antimicrobial Resistance</w:t>
            </w:r>
            <w:r w:rsidRPr="00EC3E91">
              <w:rPr>
                <w:sz w:val="20"/>
                <w:szCs w:val="20"/>
                <w:lang w:val="en-US"/>
              </w:rPr>
              <w:br/>
            </w:r>
            <w:r w:rsidRPr="00EC3E91">
              <w:rPr>
                <w:sz w:val="20"/>
                <w:szCs w:val="20"/>
                <w:lang w:val="en-US"/>
              </w:rPr>
              <w:br/>
              <w:t xml:space="preserve">WHO 2016. WHO Methodology for A Global </w:t>
            </w:r>
            <w:r w:rsidR="000D2886" w:rsidRPr="00EC3E91">
              <w:rPr>
                <w:sz w:val="20"/>
                <w:szCs w:val="20"/>
                <w:lang w:val="en-US"/>
              </w:rPr>
              <w:t>Program</w:t>
            </w:r>
            <w:r w:rsidRPr="00EC3E91">
              <w:rPr>
                <w:sz w:val="20"/>
                <w:szCs w:val="20"/>
                <w:lang w:val="en-US"/>
              </w:rPr>
              <w:t xml:space="preserve"> on Surveillance of Antimicrobial </w:t>
            </w:r>
            <w:r w:rsidR="000D2886" w:rsidRPr="00EC3E91">
              <w:rPr>
                <w:sz w:val="20"/>
                <w:szCs w:val="20"/>
                <w:lang w:val="en-US"/>
              </w:rPr>
              <w:t>Consumption</w:t>
            </w:r>
          </w:p>
        </w:tc>
        <w:tc>
          <w:tcPr>
            <w:tcW w:w="2551" w:type="dxa"/>
            <w:tcBorders>
              <w:top w:val="single" w:sz="4" w:space="0" w:color="auto"/>
              <w:left w:val="nil"/>
              <w:bottom w:val="single" w:sz="4" w:space="0" w:color="auto"/>
              <w:right w:val="nil"/>
            </w:tcBorders>
            <w:hideMark/>
          </w:tcPr>
          <w:p w14:paraId="1C9A285B" w14:textId="77777777" w:rsidR="00F422E5" w:rsidRPr="00EC3E91" w:rsidRDefault="00F422E5" w:rsidP="00C02742">
            <w:pPr>
              <w:rPr>
                <w:sz w:val="20"/>
                <w:szCs w:val="20"/>
                <w:lang w:val="en-US"/>
              </w:rPr>
            </w:pPr>
            <w:r w:rsidRPr="00EC3E91">
              <w:rPr>
                <w:sz w:val="20"/>
                <w:szCs w:val="20"/>
                <w:lang w:val="en-US"/>
              </w:rPr>
              <w:t>[policy and regulations]</w:t>
            </w:r>
          </w:p>
        </w:tc>
      </w:tr>
      <w:tr w:rsidR="00F422E5" w:rsidRPr="00E119DD" w14:paraId="3FB75CE5" w14:textId="77777777" w:rsidTr="00F422E5">
        <w:trPr>
          <w:trHeight w:val="2235"/>
        </w:trPr>
        <w:tc>
          <w:tcPr>
            <w:tcW w:w="993" w:type="dxa"/>
            <w:tcBorders>
              <w:top w:val="single" w:sz="4" w:space="0" w:color="auto"/>
              <w:left w:val="nil"/>
              <w:bottom w:val="single" w:sz="4" w:space="0" w:color="auto"/>
              <w:right w:val="nil"/>
            </w:tcBorders>
          </w:tcPr>
          <w:p w14:paraId="7C29FB5B" w14:textId="3536431C" w:rsidR="00F422E5" w:rsidRPr="00EC3E91" w:rsidRDefault="00E217D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cgh.2019.12.015","ISSN":"1542-3565","author":[{"dropping-particle":"","family":"Lin","given":"Derek","non-dropping-particle":"","parse-names":false,"suffix":""},{"dropping-particle":"","family":"Eke","given":"Chiemeziem","non-dropping-particle":"","parse-names":false,"suffix":""},{"dropping-particle":"","family":"Cai","given":"Cecilia","non-dropping-particle":"","parse-names":false,"suffix":""},{"dropping-particle":"","family":"Thrift","given":"Aaron P","non-dropping-particle":"","parse-names":false,"suffix":""},{"dropping-particle":"","family":"Shukla","given":"Richa","non-dropping-particle":"","parse-names":false,"suffix":""}],"container-title":"Clinical gastroenterology and hepatology","id":"ITEM-1","issue":"4","issued":{"date-parts":[["2020"]]},"page":"763-766.e2","publisher":"Elsevier Inc","publisher-place":"NEW YORK","title":"Decreasing Overall and Inappropriate Proton Pump Inhibitor Use: Perspective From a Large Safety-Net Healthcare System","type":"article-journal","volume":"18"},"uris":["http://www.mendeley.com/documents/?uuid=141dee2c-7c9a-4959-ac90-86ad25bd213d"]}],"mendeley":{"formattedCitation":"(244)","plainTextFormattedCitation":"(244)","previouslyFormattedCitation":"(244)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19CD2EF"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85504D9"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60A7D392"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16C609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5C2E89C"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31627B65" w14:textId="77777777" w:rsidR="00F422E5" w:rsidRPr="00EC3E91" w:rsidRDefault="00F422E5" w:rsidP="00C02742">
            <w:pPr>
              <w:rPr>
                <w:sz w:val="20"/>
                <w:szCs w:val="20"/>
                <w:lang w:val="en-US"/>
              </w:rPr>
            </w:pPr>
            <w:r w:rsidRPr="00EC3E91">
              <w:rPr>
                <w:sz w:val="20"/>
                <w:szCs w:val="20"/>
                <w:lang w:val="en-US"/>
              </w:rPr>
              <w:t>Inappropriate PPI use</w:t>
            </w:r>
          </w:p>
        </w:tc>
        <w:tc>
          <w:tcPr>
            <w:tcW w:w="3970" w:type="dxa"/>
            <w:tcBorders>
              <w:top w:val="single" w:sz="4" w:space="0" w:color="auto"/>
              <w:left w:val="nil"/>
              <w:bottom w:val="single" w:sz="4" w:space="0" w:color="auto"/>
              <w:right w:val="nil"/>
            </w:tcBorders>
            <w:hideMark/>
          </w:tcPr>
          <w:p w14:paraId="2A24998D" w14:textId="77777777" w:rsidR="00F422E5" w:rsidRPr="00EC3E91" w:rsidRDefault="00F422E5" w:rsidP="00C02742">
            <w:pPr>
              <w:rPr>
                <w:sz w:val="20"/>
                <w:szCs w:val="20"/>
                <w:lang w:val="en-US"/>
              </w:rPr>
            </w:pPr>
            <w:r w:rsidRPr="00EC3E91">
              <w:rPr>
                <w:sz w:val="20"/>
                <w:szCs w:val="20"/>
                <w:lang w:val="en-US"/>
              </w:rPr>
              <w:t>The risks and benefits of long-term use of proton pump inhibitors: expert review and best practice advice from the American Gastroenterological Association</w:t>
            </w:r>
          </w:p>
        </w:tc>
        <w:tc>
          <w:tcPr>
            <w:tcW w:w="2551" w:type="dxa"/>
            <w:tcBorders>
              <w:top w:val="single" w:sz="4" w:space="0" w:color="auto"/>
              <w:left w:val="nil"/>
              <w:bottom w:val="single" w:sz="4" w:space="0" w:color="auto"/>
              <w:right w:val="nil"/>
            </w:tcBorders>
            <w:hideMark/>
          </w:tcPr>
          <w:p w14:paraId="5923711D" w14:textId="77777777" w:rsidR="00F422E5" w:rsidRPr="00EC3E91" w:rsidRDefault="00F422E5" w:rsidP="00C02742">
            <w:pPr>
              <w:rPr>
                <w:sz w:val="20"/>
                <w:szCs w:val="20"/>
                <w:lang w:val="en-US"/>
              </w:rPr>
            </w:pPr>
            <w:r w:rsidRPr="00EC3E91">
              <w:rPr>
                <w:sz w:val="20"/>
                <w:szCs w:val="20"/>
                <w:lang w:val="en-US"/>
              </w:rPr>
              <w:t xml:space="preserve">conduct educational meeting, develop educational materials, distribute educational materials, make training dynamic </w:t>
            </w:r>
          </w:p>
        </w:tc>
      </w:tr>
      <w:tr w:rsidR="00F422E5" w:rsidRPr="00E119DD" w14:paraId="510B128E" w14:textId="77777777" w:rsidTr="00F422E5">
        <w:trPr>
          <w:trHeight w:val="2235"/>
        </w:trPr>
        <w:tc>
          <w:tcPr>
            <w:tcW w:w="993" w:type="dxa"/>
            <w:tcBorders>
              <w:top w:val="single" w:sz="4" w:space="0" w:color="auto"/>
              <w:left w:val="nil"/>
              <w:bottom w:val="single" w:sz="4" w:space="0" w:color="auto"/>
              <w:right w:val="nil"/>
            </w:tcBorders>
          </w:tcPr>
          <w:p w14:paraId="7873A497" w14:textId="15C6563D" w:rsidR="00F422E5" w:rsidRPr="00EC3E91" w:rsidRDefault="00E217DC"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{"citationItems":[{"id":"ITEM-1","itemData":{"DOI":"10.1093/ofid/ofaa182","ISSN":"2328-8957","abstract":"Fluoroquinolones are antibiotics prescribed in the outpatient setting, though they have serious side effects. This study evaluates the impact of stewardship interventions on total and inappropriate prescribing of fluoroquinolones in outpatient settings in a large county hospital and health system.In an effort to decrease inappropriate outpatient fluoroquinolone usage, a multimodal antimicrobial stewardship initiative was implemented in November 2016. Education regarding the risks, benefits, and appropriate uses of fluoroquinolones was provided to providers in different outpatient settings, Food and Drug Administration warnings were added to all oral fluoroquinolone orders, an outpatient order set for cystitis treatment was created, and fluoroquinolone susceptibilities were suppressed when appropriate. Charts from October 2016, 2017, and 2018 were retrospectively reviewed if the patient encounter occurred in primary care clinics, emergency departments, or urgent care centers within Parkland Health &amp; Hospital System and a fluoroquinolone was prescribed. Inappropriate use was defined as a fluoroquinolone prescription for cystitis, bronchitis, or sinusitis in a patient without a history of Pseudomonas aeruginosa or multidrug-resistant organisms and without drug allergies that precluded use of other oral antibiotics.Total fluoroquinolone prescriptions per 1000 patient visits decreased significantly by 39% (P &lt; .01), and inappropriate fluoroquinolone use decreased from 53% to 34% (P &lt; .01). More than 90% of inappropriate fluoroquinolone prescriptions were given for cystitis, while bronchitis and sinusitis accounted for only 4.4% and 1.6% of inappropriate indications, respectively.A multimodal stewardship initiative appears to effectively reduce both total and inappropriate outpatient fluoroquinolone prescriptions.","author":[{"dropping-particle":"","family":"Lin","given":"Kevin","non-dropping-particle":"","parse-names":false,"suffix":""},{"dropping-particle":"","family":"Zahlanie","given":"Yorgo","non-dropping-particle":"","parse-names":false,"suffix":""},{"dropping-particle":"","family":"Ortwine","given":"Jessica K","non-dropping-particle":"","parse-names":false,"suffix":""},{"dropping-particle":"","family":"Mang","given":"Norman S","non-dropping-particle":"","parse-names":false,"suffix":""},{"dropping-particle":"","family":"Wei","given":"Wenjing","non-dropping-particle":"","parse-names":false,"suffix":""},{"dropping-particle":"","family":"Brown","given":"L Steven","non-dropping-particle":"","parse-names":false,"suffix":""},{"dropping-particle":"","family":"Prokesch","given":"Bonnie C","non-dropping-particle":"","parse-names":false,"suffix":""}],"container-title":"Open Forum Infectious Diseases","id":"ITEM-1","issue":"6","issued":{"date-parts":[["2020","6","1"]]},"page":"ofaa182","title":"Decreased Outpatient Fluoroquinolone Prescribing Using a Multimodal Antimicrobial Stewardship Initiative","type":"article-journal","volume":"7"},"uris":["http://www.mendeley.com/documents/?uuid=90d240ca-1437-3869-96df-7b68a6e89d66"]}],"mendeley":{"formattedCitation":"(245)","plainTextFormattedCitation":"(245)","previouslyFormattedCitation":"(245)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77E282D"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DD7E872"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EFD0354"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3B7583E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65245AE"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3D47FB5A" w14:textId="77777777" w:rsidR="00F422E5" w:rsidRPr="00EC3E91" w:rsidRDefault="00F422E5" w:rsidP="00C02742">
            <w:pPr>
              <w:rPr>
                <w:sz w:val="20"/>
                <w:szCs w:val="20"/>
                <w:lang w:val="en-US"/>
              </w:rPr>
            </w:pPr>
            <w:r w:rsidRPr="00EC3E91">
              <w:rPr>
                <w:sz w:val="20"/>
                <w:szCs w:val="20"/>
                <w:lang w:val="en-US"/>
              </w:rPr>
              <w:t xml:space="preserve">Inappropriate use of antibiotics </w:t>
            </w:r>
          </w:p>
        </w:tc>
        <w:tc>
          <w:tcPr>
            <w:tcW w:w="3970" w:type="dxa"/>
            <w:tcBorders>
              <w:top w:val="single" w:sz="4" w:space="0" w:color="auto"/>
              <w:left w:val="nil"/>
              <w:bottom w:val="single" w:sz="4" w:space="0" w:color="auto"/>
              <w:right w:val="nil"/>
            </w:tcBorders>
            <w:hideMark/>
          </w:tcPr>
          <w:p w14:paraId="0D828F0E" w14:textId="77777777" w:rsidR="00F422E5" w:rsidRPr="00EC3E91" w:rsidRDefault="00F422E5" w:rsidP="00C02742">
            <w:pPr>
              <w:rPr>
                <w:sz w:val="20"/>
                <w:szCs w:val="20"/>
                <w:lang w:val="en-US"/>
              </w:rPr>
            </w:pPr>
            <w:r w:rsidRPr="00EC3E91">
              <w:rPr>
                <w:sz w:val="20"/>
                <w:szCs w:val="20"/>
                <w:lang w:val="en-US"/>
              </w:rPr>
              <w:t xml:space="preserve">Clinical practice guidelines for Clostridium difficile infection in adults and children: 2017 update by the Infectious Diseases Society of America (IDSA) and Society for Healthcare Epidemiology of America (SHEA). </w:t>
            </w:r>
          </w:p>
        </w:tc>
        <w:tc>
          <w:tcPr>
            <w:tcW w:w="2551" w:type="dxa"/>
            <w:tcBorders>
              <w:top w:val="single" w:sz="4" w:space="0" w:color="auto"/>
              <w:left w:val="nil"/>
              <w:bottom w:val="single" w:sz="4" w:space="0" w:color="auto"/>
              <w:right w:val="nil"/>
            </w:tcBorders>
            <w:hideMark/>
          </w:tcPr>
          <w:p w14:paraId="64B6BA04" w14:textId="77777777" w:rsidR="00F422E5" w:rsidRPr="00EC3E91" w:rsidRDefault="00F422E5" w:rsidP="00C02742">
            <w:pPr>
              <w:rPr>
                <w:sz w:val="20"/>
                <w:szCs w:val="20"/>
                <w:lang w:val="en-US"/>
              </w:rPr>
            </w:pPr>
            <w:r w:rsidRPr="00EC3E91">
              <w:rPr>
                <w:sz w:val="20"/>
                <w:szCs w:val="20"/>
                <w:lang w:val="en-US"/>
              </w:rPr>
              <w:t>conduct educational meeting, remind clinicians, change physical structure and equipment</w:t>
            </w:r>
          </w:p>
        </w:tc>
      </w:tr>
      <w:tr w:rsidR="00F422E5" w:rsidRPr="00EC3E91" w14:paraId="6C3731C2" w14:textId="77777777" w:rsidTr="00F422E5">
        <w:trPr>
          <w:trHeight w:val="2235"/>
        </w:trPr>
        <w:tc>
          <w:tcPr>
            <w:tcW w:w="993" w:type="dxa"/>
            <w:tcBorders>
              <w:top w:val="single" w:sz="4" w:space="0" w:color="auto"/>
              <w:left w:val="nil"/>
              <w:bottom w:val="single" w:sz="4" w:space="0" w:color="auto"/>
              <w:right w:val="nil"/>
            </w:tcBorders>
          </w:tcPr>
          <w:p w14:paraId="30D3A907" w14:textId="1AB9B723" w:rsidR="00F422E5" w:rsidRPr="00EC3E91" w:rsidRDefault="0045162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{"citationItems":[{"id":"ITEM-1","itemData":{"DOI":"10.1016/j.mayocpiqo.2021.06.010","ISSN":"2542-4548","author":[{"dropping-particle":"","family":"Low","given":"Cari E","non-dropping-particle":"","parse-names":false,"suffix":""},{"dropping-particle":"","family":"Sanchez Pellecer","given":"Daniel E","non-dropping-particle":"","parse-names":false,"suffix":""},{"dropping-particle":"","family":"Santivasi","given":"Wil L","non-dropping-particle":"","parse-names":false,"suffix":""},{"dropping-particle":"","family":"Thompson","given":"Virginia H","non-dropping-particle":"","parse-names":false,"suffix":""},{"dropping-particle":"","family":"Elwood","given":"Theresa","non-dropping-particle":"","parse-names":false,"suffix":""},{"dropping-particle":"","family":"Davidson","given":"Ashly J","non-dropping-particle":"","parse-names":false,"suffix":""},{"dropping-particle":"","family":"Tlusty","given":"Julie A","non-dropping-particle":"","parse-names":false,"suffix":""},{"dropping-particle":"","family":"Feely","given":"Molly A","non-dropping-particle":"","parse-names":false,"suffix":""},{"dropping-particle":"","family":"Ingram","given":"Cory","non-dropping-particle":"","parse-names":false,"suffix":""}],"container-title":"Mayo Clinic Proceedings: Innovations, Quality &amp; Outcomes","id":"ITEM-1","issue":"4","issued":{"date-parts":[["2021","8","1"]]},"page":"721-726","publisher":"Elsevier","title":"Deprescribing in Hospice Patients: Discontinuing Aspirin, Multivitamins, and Statins","type":"article-journal","volume":"5"},"uris":["http://www.mendeley.com/documents/?uuid=062347eb-304d-3b51-b8f7-ddee722b53ef"]}],"mendeley":{"formattedCitation":"(246)","plainTextFormattedCitation":"(246)","previouslyFormattedCitation":"(246)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3084A68"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01B61F5"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2589B63E" w14:textId="752DFCBC" w:rsidR="00F422E5" w:rsidRPr="00EC3E91" w:rsidRDefault="000D2886" w:rsidP="00C02742">
            <w:pPr>
              <w:rPr>
                <w:sz w:val="20"/>
                <w:szCs w:val="20"/>
                <w:lang w:val="en-US"/>
              </w:rPr>
            </w:pPr>
            <w:r w:rsidRPr="00EC3E91">
              <w:rPr>
                <w:sz w:val="20"/>
                <w:szCs w:val="20"/>
                <w:lang w:val="en-US"/>
              </w:rPr>
              <w:t>Mixed Quasi</w:t>
            </w:r>
            <w:r w:rsidR="00F422E5" w:rsidRPr="00EC3E91">
              <w:rPr>
                <w:sz w:val="20"/>
                <w:szCs w:val="20"/>
                <w:lang w:val="en-US"/>
              </w:rPr>
              <w:t>-experimental</w:t>
            </w:r>
          </w:p>
        </w:tc>
        <w:tc>
          <w:tcPr>
            <w:tcW w:w="851" w:type="dxa"/>
            <w:tcBorders>
              <w:top w:val="single" w:sz="4" w:space="0" w:color="auto"/>
              <w:left w:val="nil"/>
              <w:bottom w:val="single" w:sz="4" w:space="0" w:color="auto"/>
              <w:right w:val="nil"/>
            </w:tcBorders>
            <w:hideMark/>
          </w:tcPr>
          <w:p w14:paraId="2F2131E1"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78357E9"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74D050F2"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6BE42CE" w14:textId="77777777" w:rsidR="00F422E5" w:rsidRPr="00EC3E91" w:rsidRDefault="00F422E5" w:rsidP="00C02742">
            <w:pPr>
              <w:rPr>
                <w:sz w:val="20"/>
                <w:szCs w:val="20"/>
                <w:lang w:val="en-US"/>
              </w:rPr>
            </w:pPr>
            <w:r w:rsidRPr="00EC3E91">
              <w:rPr>
                <w:sz w:val="20"/>
                <w:szCs w:val="20"/>
                <w:lang w:val="en-US"/>
              </w:rPr>
              <w:t>2019 ACC/AHA Guideline on the Primary Prevention of Cardiovascular Disease: a report of the American College of Cardiology/American Heart Association Task Force on Clinical Practice Guidelines</w:t>
            </w:r>
          </w:p>
        </w:tc>
        <w:tc>
          <w:tcPr>
            <w:tcW w:w="2551" w:type="dxa"/>
            <w:tcBorders>
              <w:top w:val="single" w:sz="4" w:space="0" w:color="auto"/>
              <w:left w:val="nil"/>
              <w:bottom w:val="single" w:sz="4" w:space="0" w:color="auto"/>
              <w:right w:val="nil"/>
            </w:tcBorders>
            <w:hideMark/>
          </w:tcPr>
          <w:p w14:paraId="7C15D271" w14:textId="34D26D8C" w:rsidR="00F422E5" w:rsidRPr="00EC3E91" w:rsidRDefault="00F422E5" w:rsidP="00C02742">
            <w:pPr>
              <w:rPr>
                <w:sz w:val="20"/>
                <w:szCs w:val="20"/>
                <w:lang w:val="en-US"/>
              </w:rPr>
            </w:pPr>
            <w:r w:rsidRPr="00EC3E91">
              <w:rPr>
                <w:sz w:val="20"/>
                <w:szCs w:val="20"/>
                <w:lang w:val="en-US"/>
              </w:rPr>
              <w:t>[</w:t>
            </w:r>
            <w:r w:rsidR="005958C7">
              <w:rPr>
                <w:sz w:val="20"/>
                <w:szCs w:val="20"/>
                <w:lang w:val="en-US"/>
              </w:rPr>
              <w:t>COMMUNICATION TOOL</w:t>
            </w:r>
            <w:r w:rsidRPr="00EC3E91">
              <w:rPr>
                <w:sz w:val="20"/>
                <w:szCs w:val="20"/>
                <w:lang w:val="en-US"/>
              </w:rPr>
              <w:t xml:space="preserve">], conduct </w:t>
            </w:r>
            <w:r w:rsidR="000D2886" w:rsidRPr="00EC3E91">
              <w:rPr>
                <w:sz w:val="20"/>
                <w:szCs w:val="20"/>
                <w:lang w:val="en-US"/>
              </w:rPr>
              <w:t>educational</w:t>
            </w:r>
            <w:r w:rsidRPr="00EC3E91">
              <w:rPr>
                <w:sz w:val="20"/>
                <w:szCs w:val="20"/>
                <w:lang w:val="en-US"/>
              </w:rPr>
              <w:t xml:space="preserve"> meeting, develop and organize quality monitoring system. Use advisory boards and workgroups</w:t>
            </w:r>
          </w:p>
        </w:tc>
      </w:tr>
      <w:tr w:rsidR="00F422E5" w:rsidRPr="00E119DD" w14:paraId="519501BD" w14:textId="77777777" w:rsidTr="00F422E5">
        <w:trPr>
          <w:trHeight w:val="2235"/>
        </w:trPr>
        <w:tc>
          <w:tcPr>
            <w:tcW w:w="993" w:type="dxa"/>
            <w:tcBorders>
              <w:top w:val="single" w:sz="4" w:space="0" w:color="auto"/>
              <w:left w:val="nil"/>
              <w:bottom w:val="single" w:sz="4" w:space="0" w:color="auto"/>
              <w:right w:val="nil"/>
            </w:tcBorders>
          </w:tcPr>
          <w:p w14:paraId="1C7CD14C" w14:textId="62AA32C8" w:rsidR="00F422E5" w:rsidRPr="00EC3E91" w:rsidRDefault="006075CE"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{"citationItems":[{"id":"ITEM-1","itemData":{"DOI":"10.1186/s12913-018-3358-5","ISSN":"1472-6963","abstract":"Proton pump inhibitors (PPIs) remain one of the world's most frequently prescribed medications and there is a growing number of publications on correct versus incorrect use of PPIs worldwide. The objective of this observational retrospective study was to assess changes in PPI prescribing trends over the past decade and pharmacists' effect on optimizing PPI prescribing practice at a tertiary hospital in China.\nWe collected the prescriptions of PPIs in our hospital from January 2007 to December 2016. Then the rate of PPI prescribing, the defined daily doses (DDDs) and expenditures were calculated and plotted to show the change in utilization of and expenditure on PPIs. Reasons behind this change and effect of pharmacists' intervention were evaluated by investigating the rationality of PPI use through sample surveys of patients of pre-intervention (Jul.-Dec. 2015) and post-intervention (Jul.-Dec. 2016).\nIn outpatient settings, the rate of PPI prescribing remained almost constant, utilization (from 135,808 DDDs to 722,943 DDDs) and expenditure (from 1.85 million CNY to 7.96 million CNY) increased for the past ten years, dominated by oral formulations and rabeprazole. In contrast, in inpatient settings, the rate of PPI prescribing (from 20.41 to 37.21%), utilization (from 132,329 DDDs to 827,747 DDDs) and expenditure (from 3.15 million CNY to 25.29 million CNY) increased from 2007 to 2015 and then decreased, dominated by injection formulations and omeprazole. Pharmacist interventions could significantly promote the rational use of PPIs (44.00% versus 26.67%), decrease PPI use and reduce patients' charges (P &lt; 0.05).\nThe utilization of and expenditure on PPIs grew due to the increase of patients and irrational use of PPI. Pharmacist interventions help to reduce PPI utilization and expenditure and enhance rationality for inpatients, but much work should be done to regulate injection and originator formulas, and improve the rationality in the future.","author":[{"dropping-particle":"","family":"Luo","given":"Hongli","non-dropping-particle":"","parse-names":false,"suffix":""},{"dropping-particle":"","family":"Fan","given":"Qingze","non-dropping-particle":"","parse-names":false,"suffix":""},{"dropping-particle":"","family":"Xiao","given":"Shunlin","non-dropping-particle":"","parse-names":false,"suffix":""},{"dropping-particle":"","family":"Chen","given":"Kun","non-dropping-particle":"","parse-names":false,"suffix":""}],"container-title":"BMC health services research","id":"ITEM-1","issue":"1","issued":{"date-parts":[["2018"]]},"page":"537","publisher":"BioMed Central Ltd","publisher-place":"England","title":"Changes in proton pump inhibitor prescribing trend over the past decade and pharmacists' effect on prescribing practice at a tertiary hospital","type":"article-journal","volume":"18"},"uris":["http://www.mendeley.com/documents/?uuid=cfb9fbbe-b3f5-48bc-95c9-cd7bd9ff5187"]}],"mendeley":{"formattedCitation":"(247)","plainTextFormattedCitation":"(247)","previouslyFormattedCitation":"(247)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B7600C9"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7909175A"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CD1CD1B"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7B676ED"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3DFD2E26"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34E04FA8" w14:textId="77777777" w:rsidR="00F422E5" w:rsidRPr="00EC3E91" w:rsidRDefault="00F422E5" w:rsidP="00C02742">
            <w:pPr>
              <w:rPr>
                <w:sz w:val="20"/>
                <w:szCs w:val="20"/>
                <w:lang w:val="en-US"/>
              </w:rPr>
            </w:pPr>
            <w:r w:rsidRPr="00EC3E91">
              <w:rPr>
                <w:sz w:val="20"/>
                <w:szCs w:val="20"/>
                <w:lang w:val="en-US"/>
              </w:rPr>
              <w:t>Inappropriate PPI use</w:t>
            </w:r>
          </w:p>
        </w:tc>
        <w:tc>
          <w:tcPr>
            <w:tcW w:w="3970" w:type="dxa"/>
            <w:tcBorders>
              <w:top w:val="single" w:sz="4" w:space="0" w:color="auto"/>
              <w:left w:val="nil"/>
              <w:bottom w:val="single" w:sz="4" w:space="0" w:color="auto"/>
              <w:right w:val="nil"/>
            </w:tcBorders>
            <w:hideMark/>
          </w:tcPr>
          <w:p w14:paraId="1C5CB06F" w14:textId="77777777" w:rsidR="00F422E5" w:rsidRPr="00EC3E91" w:rsidRDefault="00F422E5" w:rsidP="00C02742">
            <w:pPr>
              <w:rPr>
                <w:sz w:val="20"/>
                <w:szCs w:val="20"/>
                <w:lang w:val="en-US"/>
              </w:rPr>
            </w:pPr>
            <w:r w:rsidRPr="00EC3E91">
              <w:rPr>
                <w:sz w:val="20"/>
                <w:szCs w:val="20"/>
                <w:lang w:val="en-US"/>
              </w:rPr>
              <w:t>Critical Appraisal of the Quality of Clinical Practice Guidelines for Stress Ulcer Prophylaxis. [national guidelines]</w:t>
            </w:r>
          </w:p>
        </w:tc>
        <w:tc>
          <w:tcPr>
            <w:tcW w:w="2551" w:type="dxa"/>
            <w:tcBorders>
              <w:top w:val="single" w:sz="4" w:space="0" w:color="auto"/>
              <w:left w:val="nil"/>
              <w:bottom w:val="single" w:sz="4" w:space="0" w:color="auto"/>
              <w:right w:val="nil"/>
            </w:tcBorders>
            <w:hideMark/>
          </w:tcPr>
          <w:p w14:paraId="2AE941FB" w14:textId="77777777" w:rsidR="00F422E5" w:rsidRPr="00EC3E91" w:rsidRDefault="00F422E5" w:rsidP="00C02742">
            <w:pPr>
              <w:rPr>
                <w:sz w:val="20"/>
                <w:szCs w:val="20"/>
                <w:lang w:val="en-US"/>
              </w:rPr>
            </w:pPr>
            <w:r w:rsidRPr="00EC3E91">
              <w:rPr>
                <w:sz w:val="20"/>
                <w:szCs w:val="20"/>
                <w:lang w:val="en-US"/>
              </w:rPr>
              <w:t xml:space="preserve">distribute educational materials, develop and organize quality monitoring systems, audit and provide feedback, </w:t>
            </w:r>
          </w:p>
        </w:tc>
      </w:tr>
      <w:tr w:rsidR="00F422E5" w:rsidRPr="00E119DD" w14:paraId="35FD1C7B" w14:textId="77777777" w:rsidTr="00F422E5">
        <w:trPr>
          <w:trHeight w:val="2235"/>
        </w:trPr>
        <w:tc>
          <w:tcPr>
            <w:tcW w:w="993" w:type="dxa"/>
            <w:tcBorders>
              <w:top w:val="single" w:sz="4" w:space="0" w:color="auto"/>
              <w:left w:val="nil"/>
              <w:bottom w:val="single" w:sz="4" w:space="0" w:color="auto"/>
              <w:right w:val="nil"/>
            </w:tcBorders>
          </w:tcPr>
          <w:p w14:paraId="5C709B68" w14:textId="5FDB42A5" w:rsidR="00F422E5" w:rsidRPr="00EC3E91" w:rsidRDefault="006075CE"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{"citationItems":[{"id":"ITEM-1","itemData":{"DOI":"10.1001/jamainternmed.2018.8358","ISSN":"2168-6106","abstract":"Preoperative testing for cataract surgery epitomizes low-value care and still occurs frequently, even at one of the nation’s largest safety-net health systems.To evaluate a multipronged intervention to reduce low-value preoperative care for patients undergoing cataract surgery and analyze costs from various fiscal perspectives.This study took place at 2 academic safety-net medical centers, Los Angeles County and University of Southern California (LAC-USC) (intervention, n = 469) and Harbor–UCLA (University of California, Los Angeles) (control, n = 585), from April 13, 2015, through April 12, 2016, with 12 additional months (April 13, 2016, through April 13, 2017) to assess sustainability (intervention, n = 1002; control, n = 511). To compare pre- and postintervention vs control group utilization and cost changes, logistic regression assessing time-by-group interactions was used.Using plan-do-study-act cycles, a quality improvement nurse reviewed medical records and engaged the anesthesiology and ophthalmology chiefs with data on overuse; all 3 educated staff and trainees on reducing routine preoperative care.Percentage of patients undergoing cataract surgery with preoperative medical visits, chest x-rays, laboratory tests, and electrocardiograms. Costs were estimated from LAC-USC's financially capitated perspective, and costs were simulated from fee-for-service (FFS) health system and societal perspectives.Of 1054 patients, 546 (51.8%) were female (mean [SD] age, 60.6 [11.1] years). Preoperative visits decreased from 93% to 24% in the intervention group and increased from 89% to 91% in the control group (between-group difference, −71%; 95% CI, –80% to –62%). Chest x-rays decreased from 90% to 24% in the intervention group and increased from 75% to 83% in the control group (between-group difference, −75%; 95% CI, –86% to –65%). Laboratory tests decreased from 92% to 37% in the intervention group and decreased from 98% to 97% in the control group (between-group difference, −56%; 95% CI, –64% to –48%). Electrocardiograms decreased from 95% to 29% in the intervention group and increased from 86% to 94% in the control group (between-group difference, −74%; 95% CI, –83% to −65%). During 12-month follow-up, visits increased in the intervention group to 67%, but chest x-rays (12%), laboratory tests (28%), and electrocardiograms (11%) remained low (P &lt; .001 for all time-group interactions in both periods). At LAC-USC, losses of $42 241 in year 1 were attributabl…","author":[{"dropping-particle":"","family":"Mafi","given":"John N","non-dropping-particle":"","parse-names":false,"suffix":""},{"dropping-particle":"","family":"Godoy-Travieso","given":"Patricia","non-dropping-particle":"","parse-names":false,"suffix":""},{"dropping-particle":"","family":"Wei","given":"Eric","non-dropping-particle":"","parse-names":false,"suffix":""},{"dropping-particle":"","family":"Anders","given":"Malvin","non-dropping-particle":"","parse-names":false,"suffix":""},{"dropping-particle":"","family":"Amaya","given":"Rodolfo","non-dropping-particle":"","parse-names":false,"suffix":""},{"dropping-particle":"","family":"Carrillo","given":"Carmen A","non-dropping-particle":"","parse-names":false,"suffix":""},{"dropping-particle":"","family":"Berry","given":"Jesse L","non-dropping-particle":"","parse-names":false,"suffix":""},{"dropping-particle":"","family":"Sarff","given":"Laura","non-dropping-particle":"","parse-names":false,"suffix":""},{"dropping-particle":"","family":"Daskivich","given":"Lauren","non-dropping-particle":"","parse-names":false,"suffix":""},{"dropping-particle":"","family":"Vangala","given":"Sitaram","non-dropping-particle":"","parse-names":false,"suffix":""},{"dropping-particle":"","family":"Ladapo","given":"Joseph","non-dropping-particle":"","parse-names":false,"suffix":""},{"dropping-particle":"","family":"Keeler","given":"Emmett","non-dropping-particle":"","parse-names":false,"suffix":""},{"dropping-particle":"","family":"Damberg","given":"Cheryl L","non-dropping-particle":"","parse-names":false,"suffix":""},{"dropping-particle":"","family":"Sarkisian","given":"Catherine","non-dropping-particle":"","parse-names":false,"suffix":""}],"container-title":"JAMA Internal Medicine","id":"ITEM-1","issue":"5","issued":{"date-parts":[["2019","5","1"]]},"page":"648-657","title":"Evaluation of an Intervention to Reduce Low-Value Preoperative Care for Patients Undergoing Cataract Surgery at a Safety-Net Health System","type":"article-journal","volume":"179"},"uris":["http://www.mendeley.com/documents/?uuid=497326d6-a31d-4485-99d0-924bbfbf7b62"]}],"mendeley":{"formattedCitation":"(248)","plainTextFormattedCitation":"(248)","previouslyFormattedCitation":"(248)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706C643"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9F0DE3F"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788ACB8F"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FB02162"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22FDB74C" w14:textId="4CCA1FF5" w:rsidR="00F422E5" w:rsidRPr="00EC3E91" w:rsidRDefault="00F422E5" w:rsidP="00C02742">
            <w:pPr>
              <w:rPr>
                <w:sz w:val="20"/>
                <w:szCs w:val="20"/>
                <w:lang w:val="en-US"/>
              </w:rPr>
            </w:pPr>
            <w:r w:rsidRPr="00EC3E91">
              <w:rPr>
                <w:sz w:val="20"/>
                <w:szCs w:val="20"/>
                <w:lang w:val="en-US"/>
              </w:rPr>
              <w:t xml:space="preserve">Surgical and </w:t>
            </w:r>
            <w:r w:rsidR="000D2886" w:rsidRPr="00EC3E91">
              <w:rPr>
                <w:sz w:val="20"/>
                <w:szCs w:val="20"/>
                <w:lang w:val="en-US"/>
              </w:rPr>
              <w:t>non-surgical</w:t>
            </w:r>
            <w:r w:rsidRPr="00EC3E91">
              <w:rPr>
                <w:sz w:val="20"/>
                <w:szCs w:val="20"/>
                <w:lang w:val="en-US"/>
              </w:rPr>
              <w:t xml:space="preserve"> procedures</w:t>
            </w:r>
          </w:p>
        </w:tc>
        <w:tc>
          <w:tcPr>
            <w:tcW w:w="2126" w:type="dxa"/>
            <w:tcBorders>
              <w:top w:val="single" w:sz="4" w:space="0" w:color="auto"/>
              <w:left w:val="nil"/>
              <w:bottom w:val="single" w:sz="4" w:space="0" w:color="auto"/>
              <w:right w:val="nil"/>
            </w:tcBorders>
            <w:hideMark/>
          </w:tcPr>
          <w:p w14:paraId="7A6D9A79" w14:textId="77777777" w:rsidR="00F422E5" w:rsidRPr="00EC3E91" w:rsidRDefault="00F422E5" w:rsidP="00C02742">
            <w:pPr>
              <w:rPr>
                <w:sz w:val="20"/>
                <w:szCs w:val="20"/>
                <w:lang w:val="en-US"/>
              </w:rPr>
            </w:pPr>
            <w:r w:rsidRPr="00EC3E91">
              <w:rPr>
                <w:sz w:val="20"/>
                <w:szCs w:val="20"/>
                <w:lang w:val="en-US"/>
              </w:rPr>
              <w:t>Preoperative care for patients undergoing cataract surgery</w:t>
            </w:r>
          </w:p>
        </w:tc>
        <w:tc>
          <w:tcPr>
            <w:tcW w:w="3970" w:type="dxa"/>
            <w:tcBorders>
              <w:top w:val="single" w:sz="4" w:space="0" w:color="auto"/>
              <w:left w:val="nil"/>
              <w:bottom w:val="single" w:sz="4" w:space="0" w:color="auto"/>
              <w:right w:val="nil"/>
            </w:tcBorders>
            <w:hideMark/>
          </w:tcPr>
          <w:p w14:paraId="59CC192E" w14:textId="77777777" w:rsidR="00F422E5" w:rsidRPr="00EC3E91" w:rsidRDefault="00F422E5" w:rsidP="00C02742">
            <w:pPr>
              <w:rPr>
                <w:sz w:val="20"/>
                <w:szCs w:val="20"/>
                <w:lang w:val="en-US"/>
              </w:rPr>
            </w:pPr>
            <w:r w:rsidRPr="00EC3E91">
              <w:rPr>
                <w:sz w:val="20"/>
                <w:szCs w:val="20"/>
                <w:lang w:val="en-US"/>
              </w:rPr>
              <w:t>Choosing Wisely</w:t>
            </w:r>
          </w:p>
        </w:tc>
        <w:tc>
          <w:tcPr>
            <w:tcW w:w="2551" w:type="dxa"/>
            <w:tcBorders>
              <w:top w:val="single" w:sz="4" w:space="0" w:color="auto"/>
              <w:left w:val="nil"/>
              <w:bottom w:val="single" w:sz="4" w:space="0" w:color="auto"/>
              <w:right w:val="nil"/>
            </w:tcBorders>
            <w:hideMark/>
          </w:tcPr>
          <w:p w14:paraId="05EED20E" w14:textId="77777777" w:rsidR="00F422E5" w:rsidRPr="00EC3E91" w:rsidRDefault="00F422E5" w:rsidP="00C02742">
            <w:pPr>
              <w:rPr>
                <w:sz w:val="20"/>
                <w:szCs w:val="20"/>
                <w:lang w:val="en-US"/>
              </w:rPr>
            </w:pPr>
            <w:r w:rsidRPr="00EC3E91">
              <w:rPr>
                <w:sz w:val="20"/>
                <w:szCs w:val="20"/>
                <w:lang w:val="en-US"/>
              </w:rPr>
              <w:t>conduct educational meeting, develop and organize quality monitoring system</w:t>
            </w:r>
          </w:p>
        </w:tc>
      </w:tr>
      <w:tr w:rsidR="00F422E5" w:rsidRPr="00E119DD" w14:paraId="4399D99A" w14:textId="77777777" w:rsidTr="00F422E5">
        <w:trPr>
          <w:trHeight w:val="2235"/>
        </w:trPr>
        <w:tc>
          <w:tcPr>
            <w:tcW w:w="993" w:type="dxa"/>
            <w:tcBorders>
              <w:top w:val="single" w:sz="4" w:space="0" w:color="auto"/>
              <w:left w:val="nil"/>
              <w:bottom w:val="single" w:sz="4" w:space="0" w:color="auto"/>
              <w:right w:val="nil"/>
            </w:tcBorders>
          </w:tcPr>
          <w:p w14:paraId="4A3A79C4" w14:textId="0AEEB748" w:rsidR="00F422E5" w:rsidRPr="00EC3E91" w:rsidRDefault="00D1490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{"citationItems":[{"id":"ITEM-1","itemData":{"DOI":"10.1016/J.IJANTIMICAG.2020.106255","ISSN":"0924-8579","PMID":"33279582","abstract":"Objectives: To assess the impact of an antifungal stewardship (AFS) program on appropriate use, consumption and acquisition costs of antifungals, and on clinical outcomes (in-hospital-mortality, in-hospital-length-of-stay). Methods: The study was conducted at a 535-bed tertiary-care hospital and had three consecutive periods. A) Observational period (10 months): all antifungal prescriptions were prospectively evaluated. B) Educational intervention to increase the awareness on proper antifungals use. C) Implementation of a non-compulsory AFS program (10 months) based on prospective audit and feedback. Interrupted time series analysis has been used to assess the impact of the intervention. Results: During the pre-interventional period 198 AF prescriptions for 147 patients, have been evaluated compared to 181 prescriptions in 138 patients during the AFS period. Statistical analysis showed a significant immediate drop of inappropriate prescriptions after intervention with a significantly declining trend thereafter, and a significant drop of the total consumption of antifungals immediately after the intervention with a significant declining trend thereafter. All-cause, in-hospital- mortality was stable during the pre-intervention period with a significant declining trend after the AFS program implementation, although no immediate intervention effect could be established. Comparison of pre-and post-interventional periods showed significant reduction in acquisition costs (-26.8%, p&lt;0.001) but no difference regarding the total number of bed-days (107,654 vs. 102,382), and mean length of hospital-stay (5.19 vs. 4.96 days, p=NS). Conclusions: The implementation of a non-compulsory AFS program resulted in significant improvement in the quality of prescriptions and reduction in antifungals consumption and acquisitions costs, without affecting the overall in-hospital-mortality and mean in-hospital-length-of-stay.","author":[{"dropping-particle":"","family":"Markogiannakis","given":"Antonios","non-dropping-particle":"","parse-names":false,"suffix":""},{"dropping-particle":"","family":"Korantanis","given":"Konstantinos","non-dropping-particle":"","parse-names":false,"suffix":""},{"dropping-particle":"","family":"Gamaletsou","given":"Maria N.","non-dropping-particle":"","parse-names":false,"suffix":""},{"dropping-particle":"","family":"Samarkos","given":"Michael","non-dropping-particle":"","parse-names":false,"suffix":""},{"dropping-particle":"","family":"Psichogiou","given":"Mina","non-dropping-particle":"","parse-names":false,"suffix":""},{"dropping-particle":"","family":"Daikos","given":"George","non-dropping-particle":"","parse-names":false,"suffix":""},{"dropping-particle":"V.","family":"Sipsas","given":"Nikolaos","non-dropping-particle":"","parse-names":false,"suffix":""}],"container-title":"International Journal of Antimicrobial Agents","id":"ITEM-1","issue":"1","issued":{"date-parts":[["2021","1","1"]]},"page":"106255","publisher":"Elsevier","title":"Impact of a non-compulsory antifungal stewardship program on overuse and misuse of antifungal agents in a tertiary care hospital","type":"article-journal","volume":"57"},"uris":["http://www.mendeley.com/documents/?uuid=5475590d-c94f-3343-b750-f0ada715905e"]}],"mendeley":{"formattedCitation":"(249)","plainTextFormattedCitation":"(249)","previouslyFormattedCitation":"(249)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(249)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05E414D" w14:textId="77777777" w:rsidR="00F422E5" w:rsidRPr="00EC3E91" w:rsidRDefault="00F422E5" w:rsidP="00C02742">
            <w:pPr>
              <w:rPr>
                <w:sz w:val="20"/>
                <w:szCs w:val="20"/>
                <w:lang w:val="en-US"/>
              </w:rPr>
            </w:pPr>
            <w:r w:rsidRPr="00EC3E91">
              <w:rPr>
                <w:sz w:val="20"/>
                <w:szCs w:val="20"/>
                <w:lang w:val="en-US"/>
              </w:rPr>
              <w:t>Greece</w:t>
            </w:r>
          </w:p>
        </w:tc>
        <w:tc>
          <w:tcPr>
            <w:tcW w:w="993" w:type="dxa"/>
            <w:tcBorders>
              <w:top w:val="single" w:sz="4" w:space="0" w:color="auto"/>
              <w:left w:val="nil"/>
              <w:bottom w:val="single" w:sz="4" w:space="0" w:color="auto"/>
              <w:right w:val="nil"/>
            </w:tcBorders>
            <w:hideMark/>
          </w:tcPr>
          <w:p w14:paraId="7AFBEC6E"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DAA206A"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72AA3E1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81C4841"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400CA813" w14:textId="77777777" w:rsidR="00F422E5" w:rsidRPr="00EC3E91" w:rsidRDefault="00F422E5" w:rsidP="00C02742">
            <w:pPr>
              <w:rPr>
                <w:sz w:val="20"/>
                <w:szCs w:val="20"/>
                <w:lang w:val="en-US"/>
              </w:rPr>
            </w:pPr>
            <w:r w:rsidRPr="00EC3E91">
              <w:rPr>
                <w:sz w:val="20"/>
                <w:szCs w:val="20"/>
                <w:lang w:val="en-US"/>
              </w:rPr>
              <w:t>Inappropriate use of antifungals</w:t>
            </w:r>
          </w:p>
        </w:tc>
        <w:tc>
          <w:tcPr>
            <w:tcW w:w="3970" w:type="dxa"/>
            <w:tcBorders>
              <w:top w:val="single" w:sz="4" w:space="0" w:color="auto"/>
              <w:left w:val="nil"/>
              <w:bottom w:val="single" w:sz="4" w:space="0" w:color="auto"/>
              <w:right w:val="nil"/>
            </w:tcBorders>
            <w:hideMark/>
          </w:tcPr>
          <w:p w14:paraId="4098BF2A" w14:textId="77777777" w:rsidR="00F422E5" w:rsidRPr="00EC3E91" w:rsidRDefault="00F422E5" w:rsidP="00C02742">
            <w:pPr>
              <w:rPr>
                <w:sz w:val="20"/>
                <w:szCs w:val="20"/>
                <w:lang w:val="en-US"/>
              </w:rPr>
            </w:pPr>
            <w:r w:rsidRPr="00EC3E91">
              <w:rPr>
                <w:sz w:val="20"/>
                <w:szCs w:val="20"/>
                <w:lang w:val="en-US"/>
              </w:rPr>
              <w:t>Practice Guidelines for the Diagnosis and Management of Aspergillosis: 2016 Update by the Infectious Diseases Society of America</w:t>
            </w:r>
            <w:r w:rsidRPr="00EC3E91">
              <w:rPr>
                <w:sz w:val="20"/>
                <w:szCs w:val="20"/>
                <w:lang w:val="en-US"/>
              </w:rPr>
              <w:br/>
            </w:r>
            <w:r w:rsidRPr="00EC3E91">
              <w:rPr>
                <w:sz w:val="20"/>
                <w:szCs w:val="20"/>
                <w:lang w:val="en-US"/>
              </w:rPr>
              <w:br/>
              <w:t xml:space="preserve"> ECIL-6 Guidelines for the treatment of invasive candidiasis, aspergillosis and mucormycosis in leukemia and hematopoietic stem cell transplant patients</w:t>
            </w:r>
          </w:p>
        </w:tc>
        <w:tc>
          <w:tcPr>
            <w:tcW w:w="2551" w:type="dxa"/>
            <w:tcBorders>
              <w:top w:val="single" w:sz="4" w:space="0" w:color="auto"/>
              <w:left w:val="nil"/>
              <w:bottom w:val="single" w:sz="4" w:space="0" w:color="auto"/>
              <w:right w:val="nil"/>
            </w:tcBorders>
            <w:hideMark/>
          </w:tcPr>
          <w:p w14:paraId="3EEA7511" w14:textId="77777777" w:rsidR="00F422E5" w:rsidRPr="00EC3E91" w:rsidRDefault="00F422E5" w:rsidP="00C02742">
            <w:pPr>
              <w:rPr>
                <w:sz w:val="20"/>
                <w:szCs w:val="20"/>
                <w:lang w:val="en-US"/>
              </w:rPr>
            </w:pPr>
            <w:r w:rsidRPr="00EC3E91">
              <w:rPr>
                <w:sz w:val="20"/>
                <w:szCs w:val="20"/>
                <w:lang w:val="en-US"/>
              </w:rPr>
              <w:t xml:space="preserve">develop educational materials, distribute educational materials, conduct educational meeting </w:t>
            </w:r>
          </w:p>
        </w:tc>
      </w:tr>
      <w:tr w:rsidR="00F422E5" w:rsidRPr="00E119DD" w14:paraId="1A14B909" w14:textId="77777777" w:rsidTr="00F422E5">
        <w:trPr>
          <w:trHeight w:val="2235"/>
        </w:trPr>
        <w:tc>
          <w:tcPr>
            <w:tcW w:w="993" w:type="dxa"/>
            <w:tcBorders>
              <w:top w:val="single" w:sz="4" w:space="0" w:color="auto"/>
              <w:left w:val="nil"/>
              <w:bottom w:val="single" w:sz="4" w:space="0" w:color="auto"/>
              <w:right w:val="nil"/>
            </w:tcBorders>
          </w:tcPr>
          <w:p w14:paraId="003DCD47" w14:textId="1779B011" w:rsidR="00F422E5" w:rsidRPr="00EC3E91" w:rsidRDefault="00C15A17"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{"citationItems":[{"id":"ITEM-1","itemData":{"DOI":"10.1001/jama.2018.16131","ISSN":"0098-7484","abstract":"High rates of inappropriate prescribing persist among older adults in many outpatient settings, increasing the risk of adverse drug events and drug-related hospitalizations.To compare the effectiveness of a consumer-targeted, pharmacist-led educational intervention vs usual care on discontinuation of inappropriate medication among community-dwelling older adults.A cluster randomized trial (D-PRESCRIBE [Developing Pharmacist-Led Research to Educate and Sensitize Community Residents to the Inappropriate Prescriptions Burden in the Elderly]) that recruited community pharmacies in Quebec, Canada, from February 2014 to September 2017, with follow-up until February 2018, and randomly allocated them to intervention or control groups. Patients included were adults aged 65 years and older who were prescribed 1 of 4 Beers Criteria medications (sedative-hypnotics, first-generation antihistamines, glyburide, or nonsteroidal anti-inflammatory drugs), recruited from 69 community pharmacies. Patients were screened and enrolled before randomization.Pharmacists in the intervention group were encouraged to send patients an educational deprescribing brochure in parallel to sending their physicians an evidence-based pharmaceutical opinion to recommend deprescribing. The pharmacists in the control group provided usual care. Randomization occurred at the pharmacy level, with 34 pharmacies randomized to the intervention group (248 patients) and 35 to the control group (241 patients). Patients, physicians, pharmacists, and evaluators were blinded to outcome assessment.Discontinuation of prescriptions for inappropriate medication at 6 months, ascertained by pharmacy medication renewal profiles.Among 489 patients (mean age, 75 years; 66% women), 437 (89%) completed the trial (219 [88%] in the intervention group vs 218 [91%] in the control group). At 6 months, 106 of 248 patients (43%) in the intervention group no longer filled prescriptions for inappropriate medication compared with 29 of 241 (12%) in the control group (risk difference, 31% [95% CI, 23% to 38%]). In the intervention vs control group, discontinuation of inappropriate medication occurred among 63 of 146 sedative-hypnotic drug users (43.2%) vs 14 of 155 (9.0%), respectively (risk difference, 34% [95% CI, 25% to 43%]); 19 of 62 glyburide users (30.6%) vs 8 of 58 (13.8%), respectively (risk difference, 17% [95% CI, 2% to 31%]); and 19 of 33 nonsteroidal anti-inflammatory drug users (57.6%) vs 5 of 23 (21.7%), respect…","author":[{"dropping-particle":"","family":"Martin","given":"Philippe","non-dropping-particle":"","parse-names":false,"suffix":""},{"dropping-particle":"","family":"Tamblyn","given":"Robyn","non-dropping-particle":"","parse-names":false,"suffix":""},{"dropping-particle":"","family":"Benedetti","given":"Andrea","non-dropping-particle":"","parse-names":false,"suffix":""},{"dropping-particle":"","family":"Ahmed","given":"Sara","non-dropping-particle":"","parse-names":false,"suffix":""},{"dropping-particle":"","family":"Tannenbaum","given":"Cara","non-dropping-particle":"","parse-names":false,"suffix":""}],"container-title":"JAMA","id":"ITEM-1","issue":"18","issued":{"date-parts":[["2018","11","13"]]},"page":"1889-1898","title":"Effect of a Pharmacist-Led Educational Intervention on Inappropriate Medication Prescriptions in Older Adults: The D-PRESCRIBE Randomized Clinical Trial","type":"article-journal","volume":"320"},"uris":["http://www.mendeley.com/documents/?uuid=dbccc524-9fb6-3b58-8c31-a1d3d9e15da4"]}],"mendeley":{"formattedCitation":"(250)","plainTextFormattedCitation":"(250)","previouslyFormattedCitation":"(250)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DF8D896"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2E99CA63"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5CF5FC4C"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63DCE29F" w14:textId="77777777" w:rsidR="00F422E5" w:rsidRPr="00EC3E91" w:rsidRDefault="00F422E5" w:rsidP="00C02742">
            <w:pPr>
              <w:rPr>
                <w:sz w:val="20"/>
                <w:szCs w:val="20"/>
                <w:lang w:val="en-US"/>
              </w:rPr>
            </w:pPr>
            <w:r w:rsidRPr="00EC3E91">
              <w:rPr>
                <w:sz w:val="20"/>
                <w:szCs w:val="20"/>
                <w:lang w:val="en-US"/>
              </w:rPr>
              <w:t>Efficacy/Effectiveness, Process evaluation</w:t>
            </w:r>
          </w:p>
        </w:tc>
        <w:tc>
          <w:tcPr>
            <w:tcW w:w="1134" w:type="dxa"/>
            <w:tcBorders>
              <w:top w:val="single" w:sz="4" w:space="0" w:color="auto"/>
              <w:left w:val="nil"/>
              <w:bottom w:val="single" w:sz="4" w:space="0" w:color="auto"/>
              <w:right w:val="nil"/>
            </w:tcBorders>
            <w:hideMark/>
          </w:tcPr>
          <w:p w14:paraId="2BEEE6FF"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7209A6F"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8D146FB" w14:textId="77777777" w:rsidR="00F422E5" w:rsidRPr="00EC3E91" w:rsidRDefault="00F422E5" w:rsidP="00C02742">
            <w:pPr>
              <w:rPr>
                <w:sz w:val="20"/>
                <w:szCs w:val="20"/>
                <w:lang w:val="en-US"/>
              </w:rPr>
            </w:pPr>
            <w:r w:rsidRPr="00EC3E91">
              <w:rPr>
                <w:sz w:val="20"/>
                <w:szCs w:val="20"/>
                <w:lang w:val="en-US"/>
              </w:rPr>
              <w:t xml:space="preserve">Beers Criteria </w:t>
            </w:r>
          </w:p>
        </w:tc>
        <w:tc>
          <w:tcPr>
            <w:tcW w:w="2551" w:type="dxa"/>
            <w:tcBorders>
              <w:top w:val="single" w:sz="4" w:space="0" w:color="auto"/>
              <w:left w:val="nil"/>
              <w:bottom w:val="single" w:sz="4" w:space="0" w:color="auto"/>
              <w:right w:val="nil"/>
            </w:tcBorders>
            <w:hideMark/>
          </w:tcPr>
          <w:p w14:paraId="5F9CB691" w14:textId="77777777" w:rsidR="00F422E5" w:rsidRPr="00EC3E91" w:rsidRDefault="00F422E5" w:rsidP="00C02742">
            <w:pPr>
              <w:rPr>
                <w:sz w:val="20"/>
                <w:szCs w:val="20"/>
                <w:lang w:val="en-US"/>
              </w:rPr>
            </w:pPr>
            <w:r w:rsidRPr="00EC3E91">
              <w:rPr>
                <w:sz w:val="20"/>
                <w:szCs w:val="20"/>
                <w:lang w:val="en-US"/>
              </w:rPr>
              <w:t xml:space="preserve">develop educational materials, </w:t>
            </w:r>
          </w:p>
        </w:tc>
      </w:tr>
      <w:tr w:rsidR="00F422E5" w:rsidRPr="00E119DD" w14:paraId="78D46BB1" w14:textId="77777777" w:rsidTr="00F422E5">
        <w:trPr>
          <w:trHeight w:val="2235"/>
        </w:trPr>
        <w:tc>
          <w:tcPr>
            <w:tcW w:w="993" w:type="dxa"/>
            <w:tcBorders>
              <w:top w:val="single" w:sz="4" w:space="0" w:color="auto"/>
              <w:left w:val="nil"/>
              <w:bottom w:val="single" w:sz="4" w:space="0" w:color="auto"/>
              <w:right w:val="nil"/>
            </w:tcBorders>
          </w:tcPr>
          <w:p w14:paraId="280B5860" w14:textId="6D5BE02D" w:rsidR="00F422E5" w:rsidRPr="00EC3E91" w:rsidRDefault="00313A9C"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{"citationItems":[{"id":"ITEM-1","itemData":{"ISSN":"0046-9580","abstract":"Stress ulcer prophylaxis (SUP) is often inappropriately utilized, particularly in critically ill patients. The objective of this study is to find an effective way of reducing inappropriate SUP use in an academic medical intensive care unit (ICU). Medical ICU patients receiving SUP were identified over a 1-month period, and their charts were reviewed to determine whether American Society of Health-System Pharmacists guidelines were followed. Inappropriate usage was calculated as inappropriate patient-days and converted to incidence per 100 patient-days. Two interventions were implemented: (1) Pharmacists reviewed indications for SUP on each patient during daily team rounds and daily medication reconciliation and (2) residents rotating on ICU services were educated on a bimonthly basis. Postintervention data were obtained in a similar fashion. Prior to intervention, the incidence of inappropriate SUP usage was calculated to be 26.75 per 100 patient-days (n = 1099 total patient-days). Total cost attributable to the inappropriate use was $2433. Post intervention, we were able to decrease the inappropriate incidence of SUP usage to 7.14 per 100 patient-days (n = 1149 total patient-days). In addition, total cost of inappropriate use was reduced to $239.80. Our study highlights an effective multidisciplinary approach to reduce the inappropriate use of SUP in an academic medical ICU. We were able to reduce the incidence of inappropriate use of SUP by 73.31% (P &lt; .001). Furthermore, we were able to decrease the costs by approximately $2200/month. ","author":[{"dropping-particle":"","family":"Masood","given":"Umair","non-dropping-particle":"","parse-names":false,"suffix":""},{"dropping-particle":"","family":"Sharma","given":"Anuj","non-dropping-particle":"","parse-names":false,"suffix":""},{"dropping-particle":"","family":"Bhatti","given":"Zabeer","non-dropping-particle":"","parse-names":false,"suffix":""},{"dropping-particle":"","family":"Carroll","given":"Jessica","non-dropping-particle":"","parse-names":false,"suffix":""},{"dropping-particle":"","family":"Bhardwaj","given":"Amit","non-dropping-particle":"","parse-names":false,"suffix":""},{"dropping-particle":"","family":"Sivalingam","given":"Devamohan","non-dropping-particle":"","parse-names":false,"suffix":""},{"dropping-particle":"","family":"Dhamoon","given":"Amit S","non-dropping-particle":"","parse-names":false,"suffix":""}],"container-title":"Inquiry (Chicago)","id":"ITEM-1","issued":{"date-parts":[["2018"]]},"page":"1-5","publisher":"Sage Publications Inc","title":"A Successful Pharmacist-Based Quality Initiative to Reduce Inappropriate Stress Ulcer Prophylaxis Use in an Academic Medical Intensive Care Unit","type":"article-journal","volume":"55"},"uris":["http://www.mendeley.com/documents/?uuid=b896286c-95be-4632-9a85-3a6c19bfd02d"]}],"mendeley":{"formattedCitation":"(251)","plainTextFormattedCitation":"(251)","previouslyFormattedCitation":"(251)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64A2700"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75C719D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236599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A16E638" w14:textId="77777777" w:rsidR="00F422E5" w:rsidRPr="00EC3E91" w:rsidRDefault="00F422E5" w:rsidP="00C02742">
            <w:pPr>
              <w:rPr>
                <w:sz w:val="20"/>
                <w:szCs w:val="20"/>
                <w:lang w:val="en-US"/>
              </w:rPr>
            </w:pPr>
            <w:r w:rsidRPr="00EC3E91">
              <w:rPr>
                <w:sz w:val="20"/>
                <w:szCs w:val="20"/>
                <w:lang w:val="en-US"/>
              </w:rPr>
              <w:t xml:space="preserve">Efficacy/Effectiveness, Cost-effectiveness </w:t>
            </w:r>
          </w:p>
        </w:tc>
        <w:tc>
          <w:tcPr>
            <w:tcW w:w="1134" w:type="dxa"/>
            <w:tcBorders>
              <w:top w:val="single" w:sz="4" w:space="0" w:color="auto"/>
              <w:left w:val="nil"/>
              <w:bottom w:val="single" w:sz="4" w:space="0" w:color="auto"/>
              <w:right w:val="nil"/>
            </w:tcBorders>
            <w:hideMark/>
          </w:tcPr>
          <w:p w14:paraId="4B8AC464"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259D0633" w14:textId="44278DB9" w:rsidR="00F422E5" w:rsidRPr="00EC3E91" w:rsidRDefault="00F422E5" w:rsidP="00C02742">
            <w:pPr>
              <w:rPr>
                <w:sz w:val="20"/>
                <w:szCs w:val="20"/>
                <w:lang w:val="en-US"/>
              </w:rPr>
            </w:pPr>
            <w:r w:rsidRPr="00EC3E91">
              <w:rPr>
                <w:sz w:val="20"/>
                <w:szCs w:val="20"/>
                <w:lang w:val="en-US"/>
              </w:rPr>
              <w:t xml:space="preserve">inappropriate use of stress ulcer prophylaxis </w:t>
            </w:r>
          </w:p>
        </w:tc>
        <w:tc>
          <w:tcPr>
            <w:tcW w:w="3970" w:type="dxa"/>
            <w:tcBorders>
              <w:top w:val="single" w:sz="4" w:space="0" w:color="auto"/>
              <w:left w:val="nil"/>
              <w:bottom w:val="single" w:sz="4" w:space="0" w:color="auto"/>
              <w:right w:val="nil"/>
            </w:tcBorders>
            <w:hideMark/>
          </w:tcPr>
          <w:p w14:paraId="14038C26" w14:textId="77777777" w:rsidR="00F422E5" w:rsidRPr="00EC3E91" w:rsidRDefault="00F422E5" w:rsidP="00C02742">
            <w:pPr>
              <w:rPr>
                <w:sz w:val="20"/>
                <w:szCs w:val="20"/>
                <w:lang w:val="en-US"/>
              </w:rPr>
            </w:pPr>
            <w:r w:rsidRPr="00EC3E91">
              <w:rPr>
                <w:sz w:val="20"/>
                <w:szCs w:val="20"/>
                <w:lang w:val="en-US"/>
              </w:rPr>
              <w:t>American Society of Health-System Pharmacists therapeutic guidelines on stress ulcer prophylaxis</w:t>
            </w:r>
          </w:p>
        </w:tc>
        <w:tc>
          <w:tcPr>
            <w:tcW w:w="2551" w:type="dxa"/>
            <w:tcBorders>
              <w:top w:val="single" w:sz="4" w:space="0" w:color="auto"/>
              <w:left w:val="nil"/>
              <w:bottom w:val="single" w:sz="4" w:space="0" w:color="auto"/>
              <w:right w:val="nil"/>
            </w:tcBorders>
            <w:hideMark/>
          </w:tcPr>
          <w:p w14:paraId="67245B6E"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conduct local needs assessment </w:t>
            </w:r>
          </w:p>
        </w:tc>
      </w:tr>
      <w:tr w:rsidR="00F422E5" w:rsidRPr="00EC3E91" w14:paraId="6E6C4D52" w14:textId="77777777" w:rsidTr="00F422E5">
        <w:trPr>
          <w:trHeight w:val="2235"/>
        </w:trPr>
        <w:tc>
          <w:tcPr>
            <w:tcW w:w="993" w:type="dxa"/>
            <w:tcBorders>
              <w:top w:val="single" w:sz="4" w:space="0" w:color="auto"/>
              <w:left w:val="nil"/>
              <w:bottom w:val="single" w:sz="4" w:space="0" w:color="auto"/>
              <w:right w:val="nil"/>
            </w:tcBorders>
          </w:tcPr>
          <w:p w14:paraId="08345240" w14:textId="3DF05D9F" w:rsidR="00F422E5" w:rsidRPr="00EC3E91" w:rsidRDefault="00313A9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{"citationItems":[{"id":"ITEM-1","itemData":{"DOI":"10.1007/s11606-020-06546-y","ISSN":"1525-1497","abstract":"Inappropriate use of antibiotics in the outpatient setting is a common problem, yet literature evaluating best practices for stewardship interventions in this setting is sparse.","author":[{"dropping-particle":"","family":"May","given":"Alexandria","non-dropping-particle":"","parse-names":false,"suffix":""},{"dropping-particle":"","family":"Hester","given":"Allison","non-dropping-particle":"","parse-names":false,"suffix":""},{"dropping-particle":"","family":"Quairoli","given":"Kristi","non-dropping-particle":"","parse-names":false,"suffix":""},{"dropping-particle":"","family":"Wong","given":"Jordan R","non-dropping-particle":"","parse-names":false,"suffix":""},{"dropping-particle":"","family":"Kandiah","given":"Sheetal","non-dropping-particle":"","parse-names":false,"suffix":""}],"container-title":"Journal of General Internal Medicine","id":"ITEM-1","issue":"8","issued":{"date-parts":[["2021"]]},"page":"2267-2273","title":"Impact of Clinical Decision Support on Azithromycin Prescribing in Primary Care Clinics","type":"article-journal","volume":"36"},"uris":["http://www.mendeley.com/documents/?uuid=643294eb-ba89-3007-a5cb-83067bbabe0e"]}],"mendeley":{"formattedCitation":"(252)","plainTextFormattedCitation":"(252)","previouslyFormattedCitation":"(252)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A4418EC"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17CEE01"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30C34ECB"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4FB27E9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DAF38B8"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161F9C26" w14:textId="77777777" w:rsidR="00F422E5" w:rsidRPr="00EC3E91" w:rsidRDefault="00F422E5" w:rsidP="00C02742">
            <w:pPr>
              <w:rPr>
                <w:sz w:val="20"/>
                <w:szCs w:val="20"/>
                <w:lang w:val="en-US"/>
              </w:rPr>
            </w:pPr>
            <w:r w:rsidRPr="00EC3E91">
              <w:rPr>
                <w:sz w:val="20"/>
                <w:szCs w:val="20"/>
                <w:lang w:val="en-US"/>
              </w:rPr>
              <w:t>Inappropriate antibiotic prescribing</w:t>
            </w:r>
          </w:p>
        </w:tc>
        <w:tc>
          <w:tcPr>
            <w:tcW w:w="3970" w:type="dxa"/>
            <w:tcBorders>
              <w:top w:val="single" w:sz="4" w:space="0" w:color="auto"/>
              <w:left w:val="nil"/>
              <w:bottom w:val="single" w:sz="4" w:space="0" w:color="auto"/>
              <w:right w:val="nil"/>
            </w:tcBorders>
            <w:hideMark/>
          </w:tcPr>
          <w:p w14:paraId="55B62536" w14:textId="77777777" w:rsidR="00F422E5" w:rsidRPr="00EC3E91" w:rsidRDefault="00F422E5" w:rsidP="00C02742">
            <w:pPr>
              <w:rPr>
                <w:sz w:val="20"/>
                <w:szCs w:val="20"/>
                <w:lang w:val="en-US"/>
              </w:rPr>
            </w:pPr>
            <w:r w:rsidRPr="00EC3E91">
              <w:rPr>
                <w:sz w:val="20"/>
                <w:szCs w:val="20"/>
                <w:lang w:val="en-US"/>
              </w:rPr>
              <w:t>High Value Care Task Force of the American College of Physicians and for the Centers for Disease Control and Prevention.</w:t>
            </w:r>
            <w:r w:rsidRPr="00EC3E91">
              <w:rPr>
                <w:sz w:val="20"/>
                <w:szCs w:val="20"/>
                <w:lang w:val="en-US"/>
              </w:rPr>
              <w:br/>
            </w:r>
            <w:r w:rsidRPr="00EC3E91">
              <w:rPr>
                <w:sz w:val="20"/>
                <w:szCs w:val="20"/>
                <w:lang w:val="en-US"/>
              </w:rPr>
              <w:br/>
              <w:t>IDSA clinical practice guideline for acute bacterial rhinosinusitis in children and adults</w:t>
            </w:r>
            <w:r w:rsidRPr="00EC3E91">
              <w:rPr>
                <w:sz w:val="20"/>
                <w:szCs w:val="20"/>
                <w:lang w:val="en-US"/>
              </w:rPr>
              <w:br/>
            </w:r>
            <w:r w:rsidRPr="00EC3E91">
              <w:rPr>
                <w:sz w:val="20"/>
                <w:szCs w:val="20"/>
                <w:lang w:val="en-US"/>
              </w:rPr>
              <w:br/>
              <w:t>Centers for Disease Control and Prevention. Appropriate antibiotic use: community.</w:t>
            </w:r>
          </w:p>
        </w:tc>
        <w:tc>
          <w:tcPr>
            <w:tcW w:w="2551" w:type="dxa"/>
            <w:tcBorders>
              <w:top w:val="single" w:sz="4" w:space="0" w:color="auto"/>
              <w:left w:val="nil"/>
              <w:bottom w:val="single" w:sz="4" w:space="0" w:color="auto"/>
              <w:right w:val="nil"/>
            </w:tcBorders>
            <w:hideMark/>
          </w:tcPr>
          <w:p w14:paraId="47BE666D" w14:textId="77777777" w:rsidR="00F422E5" w:rsidRPr="00EC3E91" w:rsidRDefault="00F422E5" w:rsidP="00C02742">
            <w:pPr>
              <w:rPr>
                <w:sz w:val="20"/>
                <w:szCs w:val="20"/>
                <w:lang w:val="en-US"/>
              </w:rPr>
            </w:pPr>
            <w:r w:rsidRPr="00EC3E91">
              <w:rPr>
                <w:sz w:val="20"/>
                <w:szCs w:val="20"/>
                <w:lang w:val="en-US"/>
              </w:rPr>
              <w:t>remind clinicians</w:t>
            </w:r>
          </w:p>
        </w:tc>
      </w:tr>
      <w:tr w:rsidR="00F422E5" w:rsidRPr="00E119DD" w14:paraId="17194EAD" w14:textId="77777777" w:rsidTr="00F422E5">
        <w:trPr>
          <w:trHeight w:val="2235"/>
        </w:trPr>
        <w:tc>
          <w:tcPr>
            <w:tcW w:w="993" w:type="dxa"/>
            <w:tcBorders>
              <w:top w:val="single" w:sz="4" w:space="0" w:color="auto"/>
              <w:left w:val="nil"/>
              <w:bottom w:val="single" w:sz="4" w:space="0" w:color="auto"/>
              <w:right w:val="nil"/>
            </w:tcBorders>
          </w:tcPr>
          <w:p w14:paraId="4BDF27F1" w14:textId="0F139C05" w:rsidR="00F422E5" w:rsidRPr="00EC3E91" w:rsidRDefault="00646FE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{"citationItems":[{"id":"ITEM-1","itemData":{"DOI":"10.1111/jgs.16040","ISSN":"15325415","PMID":"31250427","abstract":"OBJECTIVES: Polypharmacy is common, costly, and harmful for hospitalized older adults. Scalable strategies to reduce the burden of potentially inappropriate medications (PIMs) are needed. We sought to leverage medication reconciliation in hospitalized older adults by pairing with MedSafer, an electronic decision support tool for deprescribing. DESIGN: This was a nonrandomized controlled before-and-after study. SETTING: The study took place on four internal medicine clinical teaching units. PARTICIPANTS: Subjects were aged 65 years and older, had an expected prognosis of 3 or more months, and were taking five or more usual home medications. INTERVENTION: In the baseline phase, patients received usual care that was medication reconciliation. Patients in the intervention arm also had a “deprescribing opportunity report” generated by MedSafer and provided to their in-hospital treating team. MEASUREMENTS: The primary outcome was ascertained at the time of hospital discharge and was the proportion of patients who had one or more PIMs deprescribed. RESULTS: A total of 1066 patients were enrolled, and deprescribing opportunities were present for 873 (82%; 418 during the control and 455 during the intervention phases, respectively). The proportion of patients with one or more PIMs deprescribed at discharge increased from 46.9% in the control period to 54.7% in the intervention period with an adjusted absolute risk difference of 8.3% (2.9%-13.9%). Not all classes of drugs in the intervention arm were associated with an increase in deprescribing, and new PIM starts were equally common in both arms of the study. CONCLUSION: Using an electronic decision support tool for deprescribing, we increased the proportion of patients with one or more PIMs deprescribed at hospital discharge as compared with usual care. Although this type of intervention may help address medication overload in hospitalized patients, it also underscores the importance of powering future trials for a reduction in adverse drug events. Trial registration: NCT02918058. J Am Geriatr Soc 67:1843–1850, 2019.","author":[{"dropping-particle":"","family":"McDonald","given":"Emily G.","non-dropping-particle":"","parse-names":false,"suffix":""},{"dropping-particle":"","family":"Wu","given":"Peter E.","non-dropping-particle":"","parse-names":false,"suffix":""},{"dropping-particle":"","family":"Rashidi","given":"Babak","non-dropping-particle":"","parse-names":false,"suffix":""},{"dropping-particle":"","family":"Forster","given":"Alan J.","non-dropping-particle":"","parse-names":false,"suffix":""},{"dropping-particle":"","family":"Huang","given":"Allen","non-dropping-particle":"","parse-names":false,"suffix":""},{"dropping-particle":"","family":"Pilote","given":"Louise","non-dropping-particle":"","parse-names":false,"suffix":""},{"dropping-particle":"","family":"Papillon-Ferland","given":"Louise","non-dropping-particle":"","parse-names":false,"suffix":""},{"dropping-particle":"","family":"Bonnici","given":"André","non-dropping-particle":"","parse-names":false,"suffix":""},{"dropping-particle":"","family":"Tamblyn","given":"Robyn","non-dropping-particle":"","parse-names":false,"suffix":""},{"dropping-particle":"","family":"Whitty","given":"Rachel","non-dropping-particle":"","parse-names":false,"suffix":""},{"dropping-particle":"","family":"Porter","given":"Sandra","non-dropping-particle":"","parse-names":false,"suffix":""},{"dropping-particle":"","family":"Battu","given":"Kiran","non-dropping-particle":"","parse-names":false,"suffix":""},{"dropping-particle":"","family":"Downar","given":"James","non-dropping-particle":"","parse-names":false,"suffix":""},{"dropping-particle":"","family":"Lee","given":"Todd C.","non-dropping-particle":"","parse-names":false,"suffix":""}],"container-title":"Journal of the American Geriatrics Society","id":"ITEM-1","issue":"9","issued":{"date-parts":[["2019","9","1"]]},"page":"1843-1850","publisher":"Blackwell Publishing Inc.","title":"The MedSafer Study: A Controlled Trial of an Electronic Decision Support Tool for Deprescribing in Acute Care","type":"article-journal","volume":"67"},"uris":["http://www.mendeley.com/documents/?uuid=81d26bff-aea5-3087-b3af-459474be2ee5"]}],"mendeley":{"formattedCitation":"(253)","plainTextFormattedCitation":"(253)","previouslyFormattedCitation":"(253)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B0C2AC8"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2CD2198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329B526"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42171E4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BF0D7AB"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18E811B"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2FBB54F" w14:textId="77777777" w:rsidR="00F422E5" w:rsidRPr="00EC3E91" w:rsidRDefault="00F422E5" w:rsidP="00C02742">
            <w:pPr>
              <w:rPr>
                <w:sz w:val="20"/>
                <w:szCs w:val="20"/>
                <w:lang w:val="en-US"/>
              </w:rPr>
            </w:pPr>
            <w:r w:rsidRPr="00EC3E91">
              <w:rPr>
                <w:sz w:val="20"/>
                <w:szCs w:val="20"/>
                <w:lang w:val="en-US"/>
              </w:rPr>
              <w:t>Beers Criteria</w:t>
            </w:r>
            <w:r w:rsidRPr="00EC3E91">
              <w:rPr>
                <w:sz w:val="20"/>
                <w:szCs w:val="20"/>
                <w:lang w:val="en-US"/>
              </w:rPr>
              <w:br/>
            </w:r>
            <w:r w:rsidRPr="00EC3E91">
              <w:rPr>
                <w:sz w:val="20"/>
                <w:szCs w:val="20"/>
                <w:lang w:val="en-US"/>
              </w:rPr>
              <w:br/>
              <w:t>Screening Tool of Older People's Prescriptions (STOPP) criteria</w:t>
            </w:r>
            <w:r w:rsidRPr="00EC3E91">
              <w:rPr>
                <w:sz w:val="20"/>
                <w:szCs w:val="20"/>
                <w:lang w:val="en-US"/>
              </w:rPr>
              <w:br/>
            </w:r>
            <w:r w:rsidRPr="00EC3E91">
              <w:rPr>
                <w:sz w:val="20"/>
                <w:szCs w:val="20"/>
                <w:lang w:val="en-US"/>
              </w:rPr>
              <w:br/>
              <w:t>Choosing Wisely</w:t>
            </w:r>
          </w:p>
        </w:tc>
        <w:tc>
          <w:tcPr>
            <w:tcW w:w="2551" w:type="dxa"/>
            <w:tcBorders>
              <w:top w:val="single" w:sz="4" w:space="0" w:color="auto"/>
              <w:left w:val="nil"/>
              <w:bottom w:val="single" w:sz="4" w:space="0" w:color="auto"/>
              <w:right w:val="nil"/>
            </w:tcBorders>
            <w:hideMark/>
          </w:tcPr>
          <w:p w14:paraId="4D6782FF" w14:textId="67C9E5A6" w:rsidR="00F422E5" w:rsidRPr="00EC3E91" w:rsidRDefault="00F422E5" w:rsidP="00C02742">
            <w:pPr>
              <w:rPr>
                <w:sz w:val="20"/>
                <w:szCs w:val="20"/>
                <w:lang w:val="en-US"/>
              </w:rPr>
            </w:pPr>
            <w:r w:rsidRPr="00EC3E91">
              <w:rPr>
                <w:sz w:val="20"/>
                <w:szCs w:val="20"/>
                <w:lang w:val="en-US"/>
              </w:rPr>
              <w:t xml:space="preserve">develop and organize </w:t>
            </w:r>
            <w:r w:rsidR="009C224D" w:rsidRPr="00EC3E91">
              <w:rPr>
                <w:sz w:val="20"/>
                <w:szCs w:val="20"/>
                <w:lang w:val="en-US"/>
              </w:rPr>
              <w:t>quality</w:t>
            </w:r>
            <w:r w:rsidRPr="00EC3E91">
              <w:rPr>
                <w:sz w:val="20"/>
                <w:szCs w:val="20"/>
                <w:lang w:val="en-US"/>
              </w:rPr>
              <w:t xml:space="preserve"> monitoring systems, develop educational materials </w:t>
            </w:r>
          </w:p>
        </w:tc>
      </w:tr>
      <w:tr w:rsidR="00F422E5" w:rsidRPr="00E119DD" w14:paraId="59601D38" w14:textId="77777777" w:rsidTr="00F422E5">
        <w:trPr>
          <w:trHeight w:val="2235"/>
        </w:trPr>
        <w:tc>
          <w:tcPr>
            <w:tcW w:w="993" w:type="dxa"/>
            <w:tcBorders>
              <w:top w:val="single" w:sz="4" w:space="0" w:color="auto"/>
              <w:left w:val="nil"/>
              <w:bottom w:val="single" w:sz="4" w:space="0" w:color="auto"/>
              <w:right w:val="nil"/>
            </w:tcBorders>
          </w:tcPr>
          <w:p w14:paraId="40EBF4C0" w14:textId="01FD0ABF" w:rsidR="00F422E5" w:rsidRPr="00EC3E91" w:rsidRDefault="00B17DB3"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{"citationItems":[{"id":"ITEM-1","itemData":{"DOI":"10.1007/s11606-019-04932-9","ISSN":"1525-1497","abstract":"Polypharmacy and potentially inappropriate medications (PIMs) are increasingly common and associated with adverse health effects. However, post-graduate education in polypharmacy and complex medication management for older adults remain limited.","author":[{"dropping-particle":"","family":"Mecca","given":"Marcia C","non-dropping-particle":"","parse-names":false,"suffix":""},{"dropping-particle":"","family":"Thomas","given":"John M","non-dropping-particle":"","parse-names":false,"suffix":""},{"dropping-particle":"","family":"Niehoff","given":"Kristina M","non-dropping-particle":"","parse-names":false,"suffix":""},{"dropping-particle":"","family":"Hyson","given":"Anne","non-dropping-particle":"","parse-names":false,"suffix":""},{"dropping-particle":"","family":"Jeffery","given":"Sean M","non-dropping-particle":"","parse-names":false,"suffix":""},{"dropping-particle":"","family":"Sellinger","given":"John","non-dropping-particle":"","parse-names":false,"suffix":""},{"dropping-particle":"","family":"Mecca","given":"Adam P","non-dropping-particle":"","parse-names":false,"suffix":""},{"dropping-particle":"","family":"Ness","given":"Peter H","non-dropping-particle":"Van","parse-names":false,"suffix":""},{"dropping-particle":"","family":"Fried","given":"Terri R","non-dropping-particle":"","parse-names":false,"suffix":""},{"dropping-particle":"","family":"Brienza","given":"Rebecca","non-dropping-particle":"","parse-names":false,"suffix":""}],"container-title":"Journal of General Internal Medicine","id":"ITEM-1","issue":"7","issued":{"date-parts":[["2019"]]},"page":"1220-1227","title":"Assessing an Interprofessional Polypharmacy and Deprescribing Educational Intervention for Primary Care Post-graduate Trainees: a Quantitative and Qualitative Evaluation","type":"article-journal","volume":"34"},"uris":["http://www.mendeley.com/documents/?uuid=43abe2a4-2366-3fb7-9a20-644285fbfbde"]}],"mendeley":{"formattedCitation":"(254)","plainTextFormattedCitation":"(254)","previouslyFormattedCitation":"(254)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719428A"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5F1A8B56"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8604EF7" w14:textId="77777777" w:rsidR="00F422E5" w:rsidRPr="00EC3E91" w:rsidRDefault="00F422E5" w:rsidP="00C02742">
            <w:pPr>
              <w:rPr>
                <w:sz w:val="20"/>
                <w:szCs w:val="20"/>
                <w:lang w:val="en-US"/>
              </w:rPr>
            </w:pPr>
            <w:r w:rsidRPr="00EC3E91">
              <w:rPr>
                <w:sz w:val="20"/>
                <w:szCs w:val="20"/>
                <w:lang w:val="en-US"/>
              </w:rPr>
              <w:t>Mixed Quasi-experimental</w:t>
            </w:r>
          </w:p>
        </w:tc>
        <w:tc>
          <w:tcPr>
            <w:tcW w:w="851" w:type="dxa"/>
            <w:tcBorders>
              <w:top w:val="single" w:sz="4" w:space="0" w:color="auto"/>
              <w:left w:val="nil"/>
              <w:bottom w:val="single" w:sz="4" w:space="0" w:color="auto"/>
              <w:right w:val="nil"/>
            </w:tcBorders>
            <w:hideMark/>
          </w:tcPr>
          <w:p w14:paraId="41C222B6"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FBA76CF"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F6CC31C"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A85CFD4"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t>Beers Criteria</w:t>
            </w:r>
            <w:r w:rsidRPr="00EC3E91">
              <w:rPr>
                <w:sz w:val="20"/>
                <w:szCs w:val="20"/>
                <w:lang w:val="en-US"/>
              </w:rPr>
              <w:br/>
            </w:r>
            <w:r w:rsidRPr="00EC3E91">
              <w:rPr>
                <w:sz w:val="20"/>
                <w:szCs w:val="20"/>
                <w:lang w:val="en-US"/>
              </w:rPr>
              <w:br/>
              <w:t>Standards of medical care in diabetes--2014. Diabetes Care.</w:t>
            </w:r>
            <w:r w:rsidRPr="00EC3E91">
              <w:rPr>
                <w:sz w:val="20"/>
                <w:szCs w:val="20"/>
                <w:lang w:val="en-US"/>
              </w:rPr>
              <w:br/>
            </w:r>
            <w:r w:rsidRPr="00EC3E91">
              <w:rPr>
                <w:sz w:val="20"/>
                <w:szCs w:val="20"/>
                <w:lang w:val="en-US"/>
              </w:rPr>
              <w:br/>
            </w:r>
            <w:r w:rsidRPr="00EC3E91">
              <w:rPr>
                <w:sz w:val="20"/>
                <w:szCs w:val="20"/>
                <w:lang w:val="en-US"/>
              </w:rPr>
              <w:lastRenderedPageBreak/>
              <w:t>Evidence-based guideline from the Eighth Joint National Committee</w:t>
            </w:r>
            <w:r w:rsidRPr="00EC3E91">
              <w:rPr>
                <w:sz w:val="20"/>
                <w:szCs w:val="20"/>
                <w:lang w:val="en-US"/>
              </w:rPr>
              <w:br/>
            </w:r>
            <w:r w:rsidRPr="00EC3E91">
              <w:rPr>
                <w:sz w:val="20"/>
                <w:szCs w:val="20"/>
                <w:lang w:val="en-US"/>
              </w:rPr>
              <w:br/>
              <w:t>American College of Cardiology/American Heart Association Task Force on Practice Guidelines</w:t>
            </w:r>
            <w:r w:rsidRPr="00EC3E91">
              <w:rPr>
                <w:sz w:val="20"/>
                <w:szCs w:val="20"/>
                <w:lang w:val="en-US"/>
              </w:rPr>
              <w:br/>
            </w:r>
            <w:r w:rsidRPr="00EC3E91">
              <w:rPr>
                <w:sz w:val="20"/>
                <w:szCs w:val="20"/>
                <w:lang w:val="en-US"/>
              </w:rPr>
              <w:br/>
              <w:t>American Geriatrics Society Guidelines for Improving the Care of Older Adults with Diabetes Mellitus</w:t>
            </w:r>
          </w:p>
        </w:tc>
        <w:tc>
          <w:tcPr>
            <w:tcW w:w="2551" w:type="dxa"/>
            <w:tcBorders>
              <w:top w:val="single" w:sz="4" w:space="0" w:color="auto"/>
              <w:left w:val="nil"/>
              <w:bottom w:val="single" w:sz="4" w:space="0" w:color="auto"/>
              <w:right w:val="nil"/>
            </w:tcBorders>
            <w:hideMark/>
          </w:tcPr>
          <w:p w14:paraId="0A82DCDF" w14:textId="77777777" w:rsidR="00F422E5" w:rsidRPr="00EC3E91" w:rsidRDefault="00F422E5" w:rsidP="00C02742">
            <w:pPr>
              <w:rPr>
                <w:sz w:val="20"/>
                <w:szCs w:val="20"/>
                <w:lang w:val="en-US"/>
              </w:rPr>
            </w:pPr>
            <w:r w:rsidRPr="00EC3E91">
              <w:rPr>
                <w:sz w:val="20"/>
                <w:szCs w:val="20"/>
                <w:lang w:val="en-US"/>
              </w:rPr>
              <w:lastRenderedPageBreak/>
              <w:t xml:space="preserve">develop and organize quality monitoring system, conduct educational meeting, make training dynamic </w:t>
            </w:r>
          </w:p>
        </w:tc>
      </w:tr>
      <w:tr w:rsidR="00F422E5" w:rsidRPr="00E119DD" w14:paraId="0C592AA5" w14:textId="77777777" w:rsidTr="00F422E5">
        <w:trPr>
          <w:trHeight w:val="2235"/>
        </w:trPr>
        <w:tc>
          <w:tcPr>
            <w:tcW w:w="993" w:type="dxa"/>
            <w:tcBorders>
              <w:top w:val="single" w:sz="4" w:space="0" w:color="auto"/>
              <w:left w:val="nil"/>
              <w:bottom w:val="single" w:sz="4" w:space="0" w:color="auto"/>
              <w:right w:val="nil"/>
            </w:tcBorders>
          </w:tcPr>
          <w:p w14:paraId="574DCEC0" w14:textId="6C6C523B" w:rsidR="00F422E5" w:rsidRPr="00EC3E91" w:rsidRDefault="0064320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{"citationItems":[{"id":"ITEM-1","itemData":{"DOI":"10.4037/ccn2018211","ISSN":"0279-5442","abstract":"Use of physical restrainst is scrutinized in intensive care units today. Usage rates for the 5 intensive care units in the Christiana Care Health Services, Newark, Delaware, were higher than the National Database of Nursing Quality Indicators mean rate of 9.61% to 15.43% for many months during fiscal years 2013 and 2014.\nTo reduce and sustain the restraint rates to less than the national database mean rates for all 5 intensive care units.\nA quality improvement process was used that included forming a multiunit restraint collaborative; reviewing restraint data, including self-extubation rates; surveying staff nurses to examine alignment with evidence-based practice; and selecting a new restraint-alternative product.\nAll 5 intensive care units were able to successfully decrease restraint rates to less than the national database mean for the majority of the months since the start of the restraint collaborative in September 2012.\nUse of a restraint collaborative with subsequent adoption of restraint alternatives led to a decrease in restraint rates for the 5 intensive care units to less than the national database mean, enabled sustained success, and helped align nurses' beliefs with evidence-based practice.","author":[{"dropping-particle":"","family":"Mitchell","given":"Dannette A","non-dropping-particle":"","parse-names":false,"suffix":""},{"dropping-particle":"","family":"Panchisin","given":"Teresa","non-dropping-particle":"","parse-names":false,"suffix":""},{"dropping-particle":"","family":"Seckel","given":"Maureen A","non-dropping-particle":"","parse-names":false,"suffix":""}],"container-title":"Critical care nurse","id":"ITEM-1","issue":"4","issued":{"date-parts":[["2018"]]},"page":"e8-e16","publisher-place":"United States","title":"Reducing Use of Restraints in Intensive Care Units: A Quality Improvement Project","type":"article-journal","volume":"38"},"uris":["http://www.mendeley.com/documents/?uuid=8e28c8f0-8e2b-48c9-bdd3-a6ca1aeeafc5"]}],"mendeley":{"formattedCitation":"(255)","plainTextFormattedCitation":"(255)","previouslyFormattedCitation":"(255)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F017AAF"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56CC6AB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B277BFF" w14:textId="77777777" w:rsidR="00F422E5" w:rsidRPr="00EC3E91" w:rsidRDefault="00F422E5" w:rsidP="00C02742">
            <w:pPr>
              <w:rPr>
                <w:sz w:val="20"/>
                <w:szCs w:val="20"/>
                <w:lang w:val="en-US"/>
              </w:rPr>
            </w:pPr>
            <w:r w:rsidRPr="00EC3E91">
              <w:rPr>
                <w:sz w:val="20"/>
                <w:szCs w:val="20"/>
                <w:lang w:val="en-US"/>
              </w:rPr>
              <w:t>Quant Cross-sectional</w:t>
            </w:r>
          </w:p>
        </w:tc>
        <w:tc>
          <w:tcPr>
            <w:tcW w:w="851" w:type="dxa"/>
            <w:tcBorders>
              <w:top w:val="single" w:sz="4" w:space="0" w:color="auto"/>
              <w:left w:val="nil"/>
              <w:bottom w:val="single" w:sz="4" w:space="0" w:color="auto"/>
              <w:right w:val="nil"/>
            </w:tcBorders>
            <w:hideMark/>
          </w:tcPr>
          <w:p w14:paraId="34CCCD57" w14:textId="77777777" w:rsidR="00F422E5" w:rsidRPr="00EC3E91" w:rsidRDefault="00F422E5" w:rsidP="00C02742">
            <w:pPr>
              <w:rPr>
                <w:sz w:val="20"/>
                <w:szCs w:val="20"/>
                <w:lang w:val="en-US"/>
              </w:rPr>
            </w:pPr>
            <w:r w:rsidRPr="00EC3E91">
              <w:rPr>
                <w:sz w:val="20"/>
                <w:szCs w:val="20"/>
                <w:lang w:val="en-US"/>
              </w:rPr>
              <w:t xml:space="preserve">Process evaluation  </w:t>
            </w:r>
          </w:p>
        </w:tc>
        <w:tc>
          <w:tcPr>
            <w:tcW w:w="1134" w:type="dxa"/>
            <w:tcBorders>
              <w:top w:val="single" w:sz="4" w:space="0" w:color="auto"/>
              <w:left w:val="nil"/>
              <w:bottom w:val="single" w:sz="4" w:space="0" w:color="auto"/>
              <w:right w:val="nil"/>
            </w:tcBorders>
            <w:hideMark/>
          </w:tcPr>
          <w:p w14:paraId="2FEE4511"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62DC7B6F" w14:textId="77777777" w:rsidR="00F422E5" w:rsidRPr="00EC3E91" w:rsidRDefault="00F422E5" w:rsidP="00C02742">
            <w:pPr>
              <w:rPr>
                <w:sz w:val="20"/>
                <w:szCs w:val="20"/>
                <w:lang w:val="en-US"/>
              </w:rPr>
            </w:pPr>
            <w:r w:rsidRPr="00EC3E91">
              <w:rPr>
                <w:sz w:val="20"/>
                <w:szCs w:val="20"/>
                <w:lang w:val="en-US"/>
              </w:rPr>
              <w:t>Use of physical restraints</w:t>
            </w:r>
          </w:p>
        </w:tc>
        <w:tc>
          <w:tcPr>
            <w:tcW w:w="3970" w:type="dxa"/>
            <w:tcBorders>
              <w:top w:val="single" w:sz="4" w:space="0" w:color="auto"/>
              <w:left w:val="nil"/>
              <w:bottom w:val="single" w:sz="4" w:space="0" w:color="auto"/>
              <w:right w:val="nil"/>
            </w:tcBorders>
            <w:hideMark/>
          </w:tcPr>
          <w:p w14:paraId="3F783E7F" w14:textId="77777777" w:rsidR="00F422E5" w:rsidRPr="00EC3E91" w:rsidRDefault="00F422E5" w:rsidP="00C02742">
            <w:pPr>
              <w:rPr>
                <w:sz w:val="20"/>
                <w:szCs w:val="20"/>
                <w:lang w:val="en-US"/>
              </w:rPr>
            </w:pPr>
            <w:r w:rsidRPr="00EC3E91">
              <w:rPr>
                <w:sz w:val="20"/>
                <w:szCs w:val="20"/>
                <w:lang w:val="en-US"/>
              </w:rPr>
              <w:t>Clinical practice from the American College of Critical Care Medicine Task Force 2001–2002</w:t>
            </w:r>
          </w:p>
        </w:tc>
        <w:tc>
          <w:tcPr>
            <w:tcW w:w="2551" w:type="dxa"/>
            <w:tcBorders>
              <w:top w:val="single" w:sz="4" w:space="0" w:color="auto"/>
              <w:left w:val="nil"/>
              <w:bottom w:val="single" w:sz="4" w:space="0" w:color="auto"/>
              <w:right w:val="nil"/>
            </w:tcBorders>
            <w:hideMark/>
          </w:tcPr>
          <w:p w14:paraId="03025A91" w14:textId="77777777" w:rsidR="00F422E5" w:rsidRPr="00EC3E91" w:rsidRDefault="00F422E5" w:rsidP="00C02742">
            <w:pPr>
              <w:rPr>
                <w:sz w:val="20"/>
                <w:szCs w:val="20"/>
                <w:lang w:val="en-US"/>
              </w:rPr>
            </w:pPr>
            <w:r w:rsidRPr="00EC3E91">
              <w:rPr>
                <w:sz w:val="20"/>
                <w:szCs w:val="20"/>
                <w:lang w:val="en-US"/>
              </w:rPr>
              <w:t xml:space="preserve">create a learning collaborative, distribute educational materials, develop educational materials </w:t>
            </w:r>
          </w:p>
        </w:tc>
      </w:tr>
      <w:tr w:rsidR="00F422E5" w:rsidRPr="00E119DD" w14:paraId="1A9BBB5B" w14:textId="77777777" w:rsidTr="00F422E5">
        <w:trPr>
          <w:trHeight w:val="2235"/>
        </w:trPr>
        <w:tc>
          <w:tcPr>
            <w:tcW w:w="993" w:type="dxa"/>
            <w:tcBorders>
              <w:top w:val="single" w:sz="4" w:space="0" w:color="auto"/>
              <w:left w:val="nil"/>
              <w:bottom w:val="single" w:sz="4" w:space="0" w:color="auto"/>
              <w:right w:val="nil"/>
            </w:tcBorders>
          </w:tcPr>
          <w:p w14:paraId="53C5B7BC" w14:textId="2C9FB093" w:rsidR="00F422E5" w:rsidRPr="00EC3E91" w:rsidRDefault="0064320C"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{"citationItems":[{"id":"ITEM-1","itemData":{"DOI":"10.1186/s12913-019-4773-y","ISSN":"1472-6963","abstract":"The overuse of diagnostic imaging for low back pain (LBP) in Australia results in unnecessary cost to the health system and, for patients, avoidable exposure to radiation. The 2013 NPS MedicineWise LBP program aimed to reduce unnecessary diagnostic imaging for non-specific acute LBP in the Australian primary care setting. The LBP program delivered referral pattern feedback, a decision support tool and patient information to 19,997 (60%) of registered Australian general practitioners (GPs). This study describes the findings from evaluation of the effectiveness of the 2013 LBP program at reducing X-ray and computed tomography (CT) scans of the lower back, and the financial costs and benefits of the program to the government funder.","author":[{"dropping-particle":"","family":"Morgan","given":"Tessa","non-dropping-particle":"","parse-names":false,"suffix":""},{"dropping-particle":"","family":"Wu","given":"Jianyun","non-dropping-particle":"","parse-names":false,"suffix":""},{"dropping-particle":"","family":"Ovchinikova","given":"Ludmila","non-dropping-particle":"","parse-names":false,"suffix":""},{"dropping-particle":"","family":"Lindner","given":"Robyn","non-dropping-particle":"","parse-names":false,"suffix":""},{"dropping-particle":"","family":"Blogg","given":"Suzanne","non-dropping-particle":"","parse-names":false,"suffix":""},{"dropping-particle":"","family":"Moorin","given":"Rachael","non-dropping-particle":"","parse-names":false,"suffix":""}],"container-title":"BMC Health Services Research","id":"ITEM-1","issue":"1","issued":{"date-parts":[["2019"]]},"page":"983","title":"A national intervention to reduce imaging for low back pain by general practitioners: a retrospective economic program evaluation using Medicare Benefits Schedule data","type":"article-journal","volume":"19"},"uris":["http://www.mendeley.com/documents/?uuid=faece2ec-4ea0-3841-8c68-08d68e8a22a1"]}],"mendeley":{"formattedCitation":"(256)","plainTextFormattedCitation":"(256)","previouslyFormattedCitation":"(256)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326962E"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5A5C4D08"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22042272"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13AA3088" w14:textId="77777777" w:rsidR="00F422E5" w:rsidRPr="00EC3E91" w:rsidRDefault="00F422E5" w:rsidP="00C02742">
            <w:pPr>
              <w:rPr>
                <w:sz w:val="20"/>
                <w:szCs w:val="20"/>
                <w:lang w:val="en-US"/>
              </w:rPr>
            </w:pPr>
            <w:r w:rsidRPr="00EC3E91">
              <w:rPr>
                <w:sz w:val="20"/>
                <w:szCs w:val="20"/>
                <w:lang w:val="en-US"/>
              </w:rPr>
              <w:t xml:space="preserve">Cost-effectiveness </w:t>
            </w:r>
          </w:p>
        </w:tc>
        <w:tc>
          <w:tcPr>
            <w:tcW w:w="1134" w:type="dxa"/>
            <w:tcBorders>
              <w:top w:val="single" w:sz="4" w:space="0" w:color="auto"/>
              <w:left w:val="nil"/>
              <w:bottom w:val="single" w:sz="4" w:space="0" w:color="auto"/>
              <w:right w:val="nil"/>
            </w:tcBorders>
            <w:hideMark/>
          </w:tcPr>
          <w:p w14:paraId="03147EF7"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44578DFD" w14:textId="77777777" w:rsidR="00F422E5" w:rsidRPr="00EC3E91" w:rsidRDefault="00F422E5" w:rsidP="00C02742">
            <w:pPr>
              <w:rPr>
                <w:sz w:val="20"/>
                <w:szCs w:val="20"/>
                <w:lang w:val="en-US"/>
              </w:rPr>
            </w:pPr>
            <w:r w:rsidRPr="00EC3E91">
              <w:rPr>
                <w:sz w:val="20"/>
                <w:szCs w:val="20"/>
                <w:lang w:val="en-US"/>
              </w:rPr>
              <w:t>Inappropriate CT scans and X-rays of the low back</w:t>
            </w:r>
          </w:p>
        </w:tc>
        <w:tc>
          <w:tcPr>
            <w:tcW w:w="3970" w:type="dxa"/>
            <w:tcBorders>
              <w:top w:val="single" w:sz="4" w:space="0" w:color="auto"/>
              <w:left w:val="nil"/>
              <w:bottom w:val="single" w:sz="4" w:space="0" w:color="auto"/>
              <w:right w:val="nil"/>
            </w:tcBorders>
            <w:hideMark/>
          </w:tcPr>
          <w:p w14:paraId="6DEF0EF5" w14:textId="77777777" w:rsidR="00F422E5" w:rsidRPr="00EC3E91" w:rsidRDefault="00F422E5" w:rsidP="00C02742">
            <w:pPr>
              <w:rPr>
                <w:sz w:val="20"/>
                <w:szCs w:val="20"/>
                <w:lang w:val="en-US"/>
              </w:rPr>
            </w:pPr>
            <w:r w:rsidRPr="00EC3E91">
              <w:rPr>
                <w:sz w:val="20"/>
                <w:szCs w:val="20"/>
                <w:lang w:val="en-US"/>
              </w:rPr>
              <w:t>Choosing Wisely Australia initiative, The Royal Australian and New Zealand College of Radiologists and the Australian Physiotherapy Association</w:t>
            </w:r>
          </w:p>
        </w:tc>
        <w:tc>
          <w:tcPr>
            <w:tcW w:w="2551" w:type="dxa"/>
            <w:tcBorders>
              <w:top w:val="single" w:sz="4" w:space="0" w:color="auto"/>
              <w:left w:val="nil"/>
              <w:bottom w:val="single" w:sz="4" w:space="0" w:color="auto"/>
              <w:right w:val="nil"/>
            </w:tcBorders>
            <w:hideMark/>
          </w:tcPr>
          <w:p w14:paraId="071DBB01" w14:textId="14DCDFAF" w:rsidR="00F422E5" w:rsidRPr="00EC3E91" w:rsidRDefault="00F422E5" w:rsidP="00C02742">
            <w:pPr>
              <w:rPr>
                <w:sz w:val="20"/>
                <w:szCs w:val="20"/>
                <w:lang w:val="en-US"/>
              </w:rPr>
            </w:pPr>
            <w:r w:rsidRPr="00EC3E91">
              <w:rPr>
                <w:sz w:val="20"/>
                <w:szCs w:val="20"/>
                <w:lang w:val="en-US"/>
              </w:rPr>
              <w:t xml:space="preserve">audit and provide feedback, </w:t>
            </w:r>
            <w:r w:rsidR="009948F1">
              <w:rPr>
                <w:sz w:val="20"/>
                <w:szCs w:val="20"/>
                <w:lang w:val="en-US"/>
              </w:rPr>
              <w:t>change physical structure and equipment</w:t>
            </w:r>
            <w:r w:rsidRPr="00EC3E91">
              <w:rPr>
                <w:sz w:val="20"/>
                <w:szCs w:val="20"/>
                <w:lang w:val="en-US"/>
              </w:rPr>
              <w:t xml:space="preserve">, remind clinicians, develop educational materials, </w:t>
            </w:r>
          </w:p>
        </w:tc>
      </w:tr>
      <w:tr w:rsidR="00F422E5" w:rsidRPr="00DA102B" w14:paraId="06BA2AEB" w14:textId="77777777" w:rsidTr="00F422E5">
        <w:trPr>
          <w:trHeight w:val="2235"/>
        </w:trPr>
        <w:tc>
          <w:tcPr>
            <w:tcW w:w="993" w:type="dxa"/>
            <w:tcBorders>
              <w:top w:val="single" w:sz="4" w:space="0" w:color="auto"/>
              <w:left w:val="nil"/>
              <w:bottom w:val="single" w:sz="4" w:space="0" w:color="auto"/>
              <w:right w:val="nil"/>
            </w:tcBorders>
          </w:tcPr>
          <w:p w14:paraId="636F490E" w14:textId="68C26320" w:rsidR="00F422E5" w:rsidRPr="00EC3E91" w:rsidRDefault="0064320C"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{"citationItems":[{"id":"ITEM-1","itemData":{"ISSN":"0899-823X","abstract":"Objective: To assess the safety, sustainability, and effectiveness of a laboratory intervention to reduce processing of midstream urine (MSU) cultures. Design: Prospective observational cohort. Setting: Medical and surgical inpatients in a tertiary-care hospital. Participants: The study included 1,678 adult inpatients with an order for MSU culture. Methods: From 2013 to 2019, ordered MSU cultures were not processed unless the laboratory was called. Patients were interviewed on days 0 and 4; from 2017 to 2019, day-30 follow-up was added. Primary outcome was serious adverse events due to not processing MSU cultures. Secondary outcomes were nonserious adverse events due to not processing MSU cultures, rates of MSU cultures submitted, proportion of MSU cultures processed, proportion of patients prescribed urinary tract infection (UTI)-directed antibiotics, and laboratory workload. Results: Among 912 and 459 patients followed to days 4 and 30, respectively, no serious adverse events attributable to not processing MSU cultures were identified. However, 6 patients (0.66%) had prolonged urinary symptoms potentially associated with not processing MSU cultures. We estimated that 4 patients missed having empiric antibiotics stopped in response to negative MSU cultures, and 99 antibiotic courses for asymptomatic bacteriuria (ASB) and 8 antibiotic-associated adverse events were avoided. The rate of submitted MSU samples and proportion of patients receiving empiric UTI-directed antibiotics did not change. The proportion of MSU cultures processed declined from 59% to 49% (P &lt; .0001), and total laboratory workload was reduced by 185 hours. Conclusions: De-adopting the processing of MSU cultures from medical and surgical inpatient units is safe and sustainable, and it reduces antibiotic prescriptions for ASB at a cost of prolonged urinary symptoms in a small proportion of patients.","author":[{"dropping-particle":"","family":"Mozafarihashjin","given":"M","non-dropping-particle":"","parse-names":false,"suffix":""},{"dropping-particle":"","family":"Leis","given":"J A","non-dropping-particle":"","parse-names":false,"suffix":""},{"dropping-particle":"","family":"Mieusement","given":"L M D","non-dropping-particle":"","parse-names":false,"suffix":""},{"dropping-particle":"","family":"McCreight","given":"L","non-dropping-particle":"","parse-names":false,"suffix":""},{"dropping-particle":"","family":"Poutanen","given":"S","non-dropping-particle":"","parse-names":false,"suffix":""},{"dropping-particle":"","family":"Shrivastava","given":"A","non-dropping-particle":"","parse-names":false,"suffix":""},{"dropping-particle":"","family":"So","given":"J N","non-dropping-particle":"","parse-names":false,"suffix":""},{"dropping-particle":"","family":"Soong","given":"C","non-dropping-particle":"","parse-names":false,"suffix":""},{"dropping-particle":"","family":"Horne","given":"L","non-dropping-particle":"van","parse-names":false,"suffix":""},{"dropping-particle":"","family":"Wong","given":"L","non-dropping-particle":"","parse-names":false,"suffix":""},{"dropping-particle":"","family":"McGeer","given":"A","non-dropping-particle":"","parse-names":false,"suffix":""}],"container-title":"Infection Control and Hospital Epidemiology","id":"ITEM-1","issue":"1","issued":{"date-parts":[["2021"]]},"page":"43-50","title":"Safety, effectiveness and sustainability of a laboratory intervention to de-adopt culture of midstream urine samples among hospitalized patients","type":"article-journal","volume":"42"},"uris":["http://www.mendeley.com/documents/?uuid=4de04883-cb22-35ed-83e8-299b4b0bb74e"]}],"mendeley":{"formattedCitation":"(257)","plainTextFormattedCitation":"(257)","previouslyFormattedCitation":"(257)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F52845D"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5BACBB4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C9A58CF"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184DBCE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9543970"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2F2C69E3" w14:textId="77777777" w:rsidR="00F422E5" w:rsidRPr="00EC3E91" w:rsidRDefault="00F422E5" w:rsidP="00C02742">
            <w:pPr>
              <w:rPr>
                <w:sz w:val="20"/>
                <w:szCs w:val="20"/>
                <w:lang w:val="en-US"/>
              </w:rPr>
            </w:pPr>
            <w:r w:rsidRPr="00EC3E91">
              <w:rPr>
                <w:sz w:val="20"/>
                <w:szCs w:val="20"/>
                <w:lang w:val="en-US"/>
              </w:rPr>
              <w:t>Inappropriate processing of midstream urine (MSU) cultures/inappropriate antibiotic treatment of asymptomatic bacteriuria</w:t>
            </w:r>
          </w:p>
        </w:tc>
        <w:tc>
          <w:tcPr>
            <w:tcW w:w="3970" w:type="dxa"/>
            <w:tcBorders>
              <w:top w:val="single" w:sz="4" w:space="0" w:color="auto"/>
              <w:left w:val="nil"/>
              <w:bottom w:val="single" w:sz="4" w:space="0" w:color="auto"/>
              <w:right w:val="nil"/>
            </w:tcBorders>
            <w:hideMark/>
          </w:tcPr>
          <w:p w14:paraId="55E6E807" w14:textId="77777777" w:rsidR="00F422E5" w:rsidRPr="00EC3E91" w:rsidRDefault="00F422E5" w:rsidP="00C02742">
            <w:pPr>
              <w:rPr>
                <w:sz w:val="20"/>
                <w:szCs w:val="20"/>
                <w:lang w:val="en-US"/>
              </w:rPr>
            </w:pPr>
            <w:r w:rsidRPr="00EC3E91">
              <w:rPr>
                <w:sz w:val="20"/>
                <w:szCs w:val="20"/>
                <w:lang w:val="en-US"/>
              </w:rPr>
              <w:t>Clinical practice guideline for the management of asymptomatic bacteriuria: 2019 update by the Infectious Diseases Society of America.</w:t>
            </w:r>
            <w:r w:rsidRPr="00EC3E91">
              <w:rPr>
                <w:sz w:val="20"/>
                <w:szCs w:val="20"/>
                <w:lang w:val="en-US"/>
              </w:rPr>
              <w:br/>
              <w:t>Screening for asymptomatic bacteriuria in adults: US Preventive Services Task Force recommendation statement.</w:t>
            </w:r>
          </w:p>
        </w:tc>
        <w:tc>
          <w:tcPr>
            <w:tcW w:w="2551" w:type="dxa"/>
            <w:tcBorders>
              <w:top w:val="single" w:sz="4" w:space="0" w:color="auto"/>
              <w:left w:val="nil"/>
              <w:bottom w:val="single" w:sz="4" w:space="0" w:color="auto"/>
              <w:right w:val="nil"/>
            </w:tcBorders>
            <w:hideMark/>
          </w:tcPr>
          <w:p w14:paraId="16604816" w14:textId="68160F44" w:rsidR="00F422E5" w:rsidRPr="00EC3E91" w:rsidRDefault="00F422E5" w:rsidP="00C02742">
            <w:pPr>
              <w:rPr>
                <w:sz w:val="20"/>
                <w:szCs w:val="20"/>
                <w:lang w:val="en-US"/>
              </w:rPr>
            </w:pPr>
            <w:r w:rsidRPr="00EC3E91">
              <w:rPr>
                <w:sz w:val="20"/>
                <w:szCs w:val="20"/>
                <w:lang w:val="en-US"/>
              </w:rPr>
              <w:t>[</w:t>
            </w:r>
            <w:r w:rsidR="000C52D1">
              <w:rPr>
                <w:sz w:val="20"/>
                <w:szCs w:val="20"/>
                <w:lang w:val="en-US"/>
              </w:rPr>
              <w:t>ACCOUNTABILITY TOOL</w:t>
            </w:r>
            <w:r w:rsidRPr="00EC3E91">
              <w:rPr>
                <w:sz w:val="20"/>
                <w:szCs w:val="20"/>
                <w:lang w:val="en-US"/>
              </w:rPr>
              <w:t>]</w:t>
            </w:r>
          </w:p>
        </w:tc>
      </w:tr>
      <w:tr w:rsidR="00F422E5" w:rsidRPr="00E119DD" w14:paraId="14EE6157" w14:textId="77777777" w:rsidTr="00F422E5">
        <w:trPr>
          <w:trHeight w:val="2235"/>
        </w:trPr>
        <w:tc>
          <w:tcPr>
            <w:tcW w:w="993" w:type="dxa"/>
            <w:tcBorders>
              <w:top w:val="single" w:sz="4" w:space="0" w:color="auto"/>
              <w:left w:val="nil"/>
              <w:bottom w:val="single" w:sz="4" w:space="0" w:color="auto"/>
              <w:right w:val="nil"/>
            </w:tcBorders>
          </w:tcPr>
          <w:p w14:paraId="2F0D3251" w14:textId="6DDB64EC" w:rsidR="00F422E5" w:rsidRPr="00EC3E91" w:rsidRDefault="00876EFD"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{"citationItems":[{"id":"ITEM-1","itemData":{"DOI":"10.1186/s43058-021-00161-6","ISSN":"2662-2211","abstract":"Proton pump inhibitors (PPIs) are among the most prescribed medications and are often used unnecessarily. PPIs are used for the treatment of heartburn and acid-related disorders. Emerging evidence indicates that PPIs are associated with serious adverse events, such as increased risk of Clostridioides difficile infection. In this study, we designed and piloted a PPI de-implementation intervention among hospitalized non-intensive care unit patients.","author":[{"dropping-particle":"","family":"Musuuza","given":"Jackson S","non-dropping-particle":"","parse-names":false,"suffix":""},{"dropping-particle":"","family":"Fong","given":"Emily","non-dropping-particle":"","parse-names":false,"suffix":""},{"dropping-particle":"","family":"Lata","given":"Paul","non-dropping-particle":"","parse-names":false,"suffix":""},{"dropping-particle":"","family":"Willenborg","given":"Katie","non-dropping-particle":"","parse-names":false,"suffix":""},{"dropping-particle":"","family":"Knobloch","given":"Mary Jo","non-dropping-particle":"","parse-names":false,"suffix":""},{"dropping-particle":"","family":"Hoernke","given":"Margaret J","non-dropping-particle":"","parse-names":false,"suffix":""},{"dropping-particle":"","family":"Spiel","given":"Andrew R","non-dropping-particle":"","parse-names":false,"suffix":""},{"dropping-particle":"","family":"Tischendorf","given":"Jessica S","non-dropping-particle":"","parse-names":false,"suffix":""},{"dropping-particle":"","family":"Suda","given":"Katie J","non-dropping-particle":"","parse-names":false,"suffix":""},{"dropping-particle":"","family":"Safdar","given":"Nasia","non-dropping-particle":"","parse-names":false,"suffix":""}],"container-title":"Implementation Science Communications","id":"ITEM-1","issue":"1","issued":{"date-parts":[["2021"]]},"page":"59","title":"Feasibility of a pharmacy-led intervention to de-implement non-guideline-concordant proton pump inhibitor use","type":"article-journal","volume":"2"},"uris":["http://www.mendeley.com/documents/?uuid=781e2ee1-3880-3c3e-896a-00f4fdfb5ae6"]}],"mendeley":{"formattedCitation":"(258)","plainTextFormattedCitation":"(258)","previouslyFormattedCitation":"(258)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8502911"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6442A46"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01682A5" w14:textId="77777777" w:rsidR="00F422E5" w:rsidRPr="00EC3E91" w:rsidRDefault="00F422E5" w:rsidP="00C02742">
            <w:pPr>
              <w:rPr>
                <w:sz w:val="20"/>
                <w:szCs w:val="20"/>
                <w:lang w:val="en-US"/>
              </w:rPr>
            </w:pPr>
            <w:r w:rsidRPr="00EC3E91">
              <w:rPr>
                <w:sz w:val="20"/>
                <w:szCs w:val="20"/>
                <w:lang w:val="en-US"/>
              </w:rPr>
              <w:t xml:space="preserve">Mixed Pre-post </w:t>
            </w:r>
          </w:p>
        </w:tc>
        <w:tc>
          <w:tcPr>
            <w:tcW w:w="851" w:type="dxa"/>
            <w:tcBorders>
              <w:top w:val="single" w:sz="4" w:space="0" w:color="auto"/>
              <w:left w:val="nil"/>
              <w:bottom w:val="single" w:sz="4" w:space="0" w:color="auto"/>
              <w:right w:val="nil"/>
            </w:tcBorders>
            <w:hideMark/>
          </w:tcPr>
          <w:p w14:paraId="1A9EA4CC" w14:textId="77777777" w:rsidR="00F422E5" w:rsidRPr="00EC3E91" w:rsidRDefault="00F422E5"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hideMark/>
          </w:tcPr>
          <w:p w14:paraId="5324EA12"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4A3484B6" w14:textId="77777777" w:rsidR="00F422E5" w:rsidRPr="00EC3E91" w:rsidRDefault="00F422E5" w:rsidP="00C02742">
            <w:pPr>
              <w:rPr>
                <w:sz w:val="20"/>
                <w:szCs w:val="20"/>
                <w:lang w:val="en-US"/>
              </w:rPr>
            </w:pPr>
            <w:r w:rsidRPr="00EC3E91">
              <w:rPr>
                <w:sz w:val="20"/>
                <w:szCs w:val="20"/>
                <w:lang w:val="en-US"/>
              </w:rPr>
              <w:t>Inappropriate PPI use</w:t>
            </w:r>
          </w:p>
        </w:tc>
        <w:tc>
          <w:tcPr>
            <w:tcW w:w="3970" w:type="dxa"/>
            <w:tcBorders>
              <w:top w:val="single" w:sz="4" w:space="0" w:color="auto"/>
              <w:left w:val="nil"/>
              <w:bottom w:val="single" w:sz="4" w:space="0" w:color="auto"/>
              <w:right w:val="nil"/>
            </w:tcBorders>
            <w:hideMark/>
          </w:tcPr>
          <w:p w14:paraId="5BD42197" w14:textId="77777777" w:rsidR="00F422E5" w:rsidRPr="00EC3E91" w:rsidRDefault="00F422E5" w:rsidP="00C02742">
            <w:pPr>
              <w:rPr>
                <w:sz w:val="20"/>
                <w:szCs w:val="20"/>
                <w:lang w:val="en-US"/>
              </w:rPr>
            </w:pPr>
            <w:r w:rsidRPr="00EC3E91">
              <w:rPr>
                <w:sz w:val="20"/>
                <w:szCs w:val="20"/>
                <w:lang w:val="en-US"/>
              </w:rPr>
              <w:t>Evidence-based guidelines from the Canadian Family Physician</w:t>
            </w:r>
          </w:p>
        </w:tc>
        <w:tc>
          <w:tcPr>
            <w:tcW w:w="2551" w:type="dxa"/>
            <w:tcBorders>
              <w:top w:val="single" w:sz="4" w:space="0" w:color="auto"/>
              <w:left w:val="nil"/>
              <w:bottom w:val="single" w:sz="4" w:space="0" w:color="auto"/>
              <w:right w:val="nil"/>
            </w:tcBorders>
            <w:hideMark/>
          </w:tcPr>
          <w:p w14:paraId="74199823" w14:textId="4FA4EFB2" w:rsidR="00F422E5" w:rsidRPr="00EC3E91" w:rsidRDefault="00F422E5" w:rsidP="00C02742">
            <w:pPr>
              <w:rPr>
                <w:sz w:val="20"/>
                <w:szCs w:val="20"/>
                <w:lang w:val="en-US"/>
              </w:rPr>
            </w:pPr>
            <w:r w:rsidRPr="00EC3E91">
              <w:rPr>
                <w:sz w:val="20"/>
                <w:szCs w:val="20"/>
                <w:lang w:val="en-US"/>
              </w:rPr>
              <w:t xml:space="preserve">develop and organize quality monitoring systems, conduct </w:t>
            </w:r>
            <w:r w:rsidR="009C224D" w:rsidRPr="00EC3E91">
              <w:rPr>
                <w:sz w:val="20"/>
                <w:szCs w:val="20"/>
                <w:lang w:val="en-US"/>
              </w:rPr>
              <w:t>educational</w:t>
            </w:r>
            <w:r w:rsidRPr="00EC3E91">
              <w:rPr>
                <w:sz w:val="20"/>
                <w:szCs w:val="20"/>
                <w:lang w:val="en-US"/>
              </w:rPr>
              <w:t xml:space="preserve"> meetings, use advisory boards and workgroups, conduct cyclical small tests of change</w:t>
            </w:r>
          </w:p>
        </w:tc>
      </w:tr>
      <w:tr w:rsidR="00F422E5" w:rsidRPr="00E119DD" w14:paraId="768B6D68" w14:textId="77777777" w:rsidTr="00F422E5">
        <w:trPr>
          <w:trHeight w:val="2235"/>
        </w:trPr>
        <w:tc>
          <w:tcPr>
            <w:tcW w:w="993" w:type="dxa"/>
            <w:tcBorders>
              <w:top w:val="single" w:sz="4" w:space="0" w:color="auto"/>
              <w:left w:val="nil"/>
              <w:bottom w:val="single" w:sz="4" w:space="0" w:color="auto"/>
              <w:right w:val="nil"/>
            </w:tcBorders>
          </w:tcPr>
          <w:p w14:paraId="18190C5E" w14:textId="76C9E0D2" w:rsidR="00F422E5" w:rsidRPr="00EC3E91" w:rsidRDefault="002E13D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{"citationItems":[{"id":"ITEM-1","itemData":{"DOI":"10.1016/j.nurpra.2019.07.002","ISSN":"1555-4155","abstract":"Academic family medicine teaching centers face distinct challenges with opioid prescribing, including higher rates of opioid misuse in resident patient populations and lower levels of experience managing chronic noncancer pain. To improve opioid prescribing practices in an academic family practice, we introduced and evaluated a nurse practitioner-led collaborative care model. After implementation of the model, we found a reduction in the average dose of opioids prescribed, increased use of urine drug tests and opioid treatment agreements, and fewer prescribers per patient. The nurse practitioner-led model was successfully implemented in an academic family practice with improvements in opioid prescribing and monitoring practices.\n•There is a higher rate of opioid misuse in resident family practice patients.•A nurse practitioner-led model resulted in improved opioid prescribing by residents.•Nurse practitioners can play an important role in overseeing safe opioid prescribing.","author":[{"dropping-particle":"","family":"Naimer","given":"Michelle S","non-dropping-particle":"","parse-names":false,"suffix":""},{"dropping-particle":"","family":"Munro","given":"Jessica","non-dropping-particle":"","parse-names":false,"suffix":""},{"dropping-particle":"","family":"Singh","given":"Suzanne","non-dropping-particle":"","parse-names":false,"suffix":""},{"dropping-particle":"","family":"Permaul","given":"Joanne A","non-dropping-particle":"","parse-names":false,"suffix":""}],"container-title":"Journal for nurse practitioners","id":"ITEM-1","issue":"9","issued":{"date-parts":[["2019"]]},"page":"661-665","publisher":"Elsevier Inc","publisher-place":"Philadelphia","title":"Improving Family Medicine Residents’ Opioid Prescribing: A Nurse Practitioner-Led Model","type":"article-journal","volume":"15"},"uris":["http://www.mendeley.com/documents/?uuid=3cf5c4e8-9dc7-42bf-9839-c91ec6229472"]}],"mendeley":{"formattedCitation":"(259)","plainTextFormattedCitation":"(259)","previouslyFormattedCitation":"(259)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(259)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3FC29C0"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4BDA55AF"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215F77D"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FC432E0"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4E0AB9E" w14:textId="77777777" w:rsidR="00F422E5" w:rsidRPr="00EC3E91" w:rsidRDefault="00F422E5" w:rsidP="00C02742">
            <w:pPr>
              <w:rPr>
                <w:sz w:val="20"/>
                <w:szCs w:val="20"/>
                <w:vertAlign w:val="superscript"/>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4A24AA22" w14:textId="77777777" w:rsidR="00F422E5" w:rsidRPr="00EC3E91" w:rsidRDefault="00F422E5" w:rsidP="00C02742">
            <w:pPr>
              <w:rPr>
                <w:sz w:val="20"/>
                <w:szCs w:val="20"/>
                <w:lang w:val="en-US"/>
              </w:rPr>
            </w:pPr>
            <w:r w:rsidRPr="00EC3E91">
              <w:rPr>
                <w:sz w:val="20"/>
                <w:szCs w:val="20"/>
                <w:lang w:val="en-US"/>
              </w:rPr>
              <w:t>Inappropriate opioid prescribing</w:t>
            </w:r>
          </w:p>
        </w:tc>
        <w:tc>
          <w:tcPr>
            <w:tcW w:w="3970" w:type="dxa"/>
            <w:tcBorders>
              <w:top w:val="single" w:sz="4" w:space="0" w:color="auto"/>
              <w:left w:val="nil"/>
              <w:bottom w:val="single" w:sz="4" w:space="0" w:color="auto"/>
              <w:right w:val="nil"/>
            </w:tcBorders>
            <w:hideMark/>
          </w:tcPr>
          <w:p w14:paraId="7B9FBD1B" w14:textId="77777777" w:rsidR="00F422E5" w:rsidRPr="00EC3E91" w:rsidRDefault="00F422E5" w:rsidP="00C02742">
            <w:pPr>
              <w:rPr>
                <w:sz w:val="20"/>
                <w:szCs w:val="20"/>
                <w:lang w:val="en-US"/>
              </w:rPr>
            </w:pPr>
            <w:r w:rsidRPr="00EC3E91">
              <w:rPr>
                <w:sz w:val="20"/>
                <w:szCs w:val="20"/>
                <w:lang w:val="en-US"/>
              </w:rPr>
              <w:t>Canadian Guideline for Opioid for Chronic Pain by the National Pain Centre National Opioid Use Guideline Group.</w:t>
            </w:r>
            <w:r w:rsidRPr="00EC3E91">
              <w:rPr>
                <w:sz w:val="20"/>
                <w:szCs w:val="20"/>
                <w:lang w:val="en-US"/>
              </w:rPr>
              <w:br/>
            </w:r>
            <w:r w:rsidRPr="00EC3E91">
              <w:rPr>
                <w:sz w:val="20"/>
                <w:szCs w:val="20"/>
                <w:lang w:val="en-US"/>
              </w:rPr>
              <w:br/>
              <w:t>Canadian Guideline for Safe and Effective Use of Opioids for Chronic Non-Cancer Pain 2010</w:t>
            </w:r>
          </w:p>
        </w:tc>
        <w:tc>
          <w:tcPr>
            <w:tcW w:w="2551" w:type="dxa"/>
            <w:tcBorders>
              <w:top w:val="single" w:sz="4" w:space="0" w:color="auto"/>
              <w:left w:val="nil"/>
              <w:bottom w:val="single" w:sz="4" w:space="0" w:color="auto"/>
              <w:right w:val="nil"/>
            </w:tcBorders>
            <w:hideMark/>
          </w:tcPr>
          <w:p w14:paraId="3A269E15"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develop educational materials, identify and prepare champions, conduct educational meeting, remind clinicians, provide clinical supervision </w:t>
            </w:r>
          </w:p>
        </w:tc>
      </w:tr>
      <w:tr w:rsidR="00F422E5" w:rsidRPr="00E119DD" w14:paraId="0FA3ABB6" w14:textId="77777777" w:rsidTr="00F422E5">
        <w:trPr>
          <w:trHeight w:val="2235"/>
        </w:trPr>
        <w:tc>
          <w:tcPr>
            <w:tcW w:w="993" w:type="dxa"/>
            <w:tcBorders>
              <w:top w:val="single" w:sz="4" w:space="0" w:color="auto"/>
              <w:left w:val="nil"/>
              <w:bottom w:val="single" w:sz="4" w:space="0" w:color="auto"/>
              <w:right w:val="nil"/>
            </w:tcBorders>
          </w:tcPr>
          <w:p w14:paraId="5DF1308E" w14:textId="3ECA4AB4" w:rsidR="00F422E5" w:rsidRPr="00EC3E91" w:rsidRDefault="00AF1DE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{"citationItems":[{"id":"ITEM-1","itemData":{"ISSN":"1079-6533","abstract":"Objective: Asymptomatic bacteriuria (ASB) denotes asymptomatic carriage of bacteria within the urinary tract and does not require treatment in most patient populations. Unnecessary antimicrobial treatment has several consequences, including promotion of antimicrobial resistance, potential for medication adverse effects, and risk for Clostridiodes difficile infection. The aim of this quality improvement effort was to decrease both the unnecessary ordering of urine culture studies and unnecessary treatment of ASB. Methods: This is a single-center study of patients who received care on 3 internal medicine units at a large, academic medical center. We sought to determine the impact of information technology and educational interventions to decrease both inappropriate urine culture ordering and treatment of ASB. Data from included patients were collected over 3 1-month time periods: baseline, post-information technology intervention, and post-educational intervention. Results: There was a reduction in the percentage of patients who received antibiotics for ASB in the post-education intervention period as compared to baseline (35% vs 42%). The proportion of total urine cultures ordered by internal medicine clinicians did not change after an information technology intervention to redesign the computerized physician order entry screen for urine cultures. Conclusion: Educational interventions are effective ways to reduce rates of inappropriate treatment of ASB in patients admitted to internal medicine services.","author":[{"dropping-particle":"","family":"Narayanan","given":"P","non-dropping-particle":"","parse-names":false,"suffix":""},{"dropping-particle":"","family":"Knoph","given":"K","non-dropping-particle":"","parse-names":false,"suffix":""},{"dropping-particle":"","family":"Chen","given":"N X","non-dropping-particle":"","parse-names":false,"suffix":""},{"dropping-particle":"","family":"McCoy","given":"C P","non-dropping-particle":"","parse-names":false,"suffix":""},{"dropping-particle":"","family":"Devalapalli","given":"A P","non-dropping-particle":"","parse-names":false,"suffix":""},{"dropping-particle":"","family":"Schoonover","given":"K","non-dropping-particle":"","parse-names":false,"suffix":""},{"dropping-particle":"","family":"Schuetz","given":"A N","non-dropping-particle":"","parse-names":false,"suffix":""},{"dropping-particle":"","family":"Estes","given":"L","non-dropping-particle":"","parse-names":false,"suffix":""},{"dropping-particle":"","family":"Polley","given":"E C","non-dropping-particle":"","parse-names":false,"suffix":""},{"dropping-particle":"","family":"Kashiwagi","given":"D","non-dropping-particle":"","parse-names":false,"suffix":""},{"dropping-particle":"","family":"Virk","given":"A","non-dropping-particle":"","parse-names":false,"suffix":""}],"container-title":"Journal of Clinical Outcomes Management","id":"ITEM-1","issue":"4","issued":{"date-parts":[["2019"]]},"language":"English","page":"169-174","publisher-place":"P. Narayanan, Mayo Clinic, 200 First Street SW, Rochester, MN, United States","title":"Decreasing treatment of asymptomatic bacteriuria: An interprofessional approach to antibiotic stewardship","type":"article-journal","volume":"26"},"uris":["http://www.mendeley.com/documents/?uuid=d8d5a059-009d-384d-8b02-36f08fb55f97"]}],"mendeley":{"formattedCitation":"(260)","plainTextFormattedCitation":"(260)","previouslyFormattedCitation":"(260)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8E0A882"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2DAD2C70"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78E9AC7"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64D4B92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FD10156"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202D221A" w14:textId="60819090" w:rsidR="00F422E5" w:rsidRPr="00EC3E91" w:rsidRDefault="00F422E5" w:rsidP="00C02742">
            <w:pPr>
              <w:rPr>
                <w:sz w:val="20"/>
                <w:szCs w:val="20"/>
                <w:lang w:val="en-US"/>
              </w:rPr>
            </w:pPr>
            <w:r w:rsidRPr="00EC3E91">
              <w:rPr>
                <w:sz w:val="20"/>
                <w:szCs w:val="20"/>
                <w:lang w:val="en-US"/>
              </w:rPr>
              <w:t xml:space="preserve">Inappropriate antibiotic use for </w:t>
            </w:r>
            <w:r w:rsidR="009C224D" w:rsidRPr="00EC3E91">
              <w:rPr>
                <w:sz w:val="20"/>
                <w:szCs w:val="20"/>
                <w:lang w:val="en-US"/>
              </w:rPr>
              <w:t>asymptomatic</w:t>
            </w:r>
            <w:r w:rsidRPr="00EC3E91">
              <w:rPr>
                <w:sz w:val="20"/>
                <w:szCs w:val="20"/>
                <w:lang w:val="en-US"/>
              </w:rPr>
              <w:t xml:space="preserve"> </w:t>
            </w:r>
            <w:r w:rsidR="00D15AE9" w:rsidRPr="00EC3E91">
              <w:rPr>
                <w:sz w:val="20"/>
                <w:szCs w:val="20"/>
                <w:lang w:val="en-US"/>
              </w:rPr>
              <w:t>bacteriuria</w:t>
            </w:r>
            <w:r w:rsidRPr="00EC3E91">
              <w:rPr>
                <w:sz w:val="20"/>
                <w:szCs w:val="20"/>
                <w:lang w:val="en-US"/>
              </w:rPr>
              <w:t xml:space="preserve"> </w:t>
            </w:r>
          </w:p>
        </w:tc>
        <w:tc>
          <w:tcPr>
            <w:tcW w:w="3970" w:type="dxa"/>
            <w:tcBorders>
              <w:top w:val="single" w:sz="4" w:space="0" w:color="auto"/>
              <w:left w:val="nil"/>
              <w:bottom w:val="single" w:sz="4" w:space="0" w:color="auto"/>
              <w:right w:val="nil"/>
            </w:tcBorders>
            <w:hideMark/>
          </w:tcPr>
          <w:p w14:paraId="7E81FB76" w14:textId="77777777" w:rsidR="00F422E5" w:rsidRPr="00EC3E91" w:rsidRDefault="00F422E5" w:rsidP="00C02742">
            <w:pPr>
              <w:rPr>
                <w:sz w:val="20"/>
                <w:szCs w:val="20"/>
                <w:lang w:val="en-US"/>
              </w:rPr>
            </w:pPr>
            <w:r w:rsidRPr="00EC3E91">
              <w:rPr>
                <w:sz w:val="20"/>
                <w:szCs w:val="20"/>
                <w:lang w:val="en-US"/>
              </w:rPr>
              <w:t>Clinical practice guideline for the management of asymptomatic bacteriuria: 2019 update by the Infectious Diseases Society of America</w:t>
            </w:r>
          </w:p>
        </w:tc>
        <w:tc>
          <w:tcPr>
            <w:tcW w:w="2551" w:type="dxa"/>
            <w:tcBorders>
              <w:top w:val="single" w:sz="4" w:space="0" w:color="auto"/>
              <w:left w:val="nil"/>
              <w:bottom w:val="single" w:sz="4" w:space="0" w:color="auto"/>
              <w:right w:val="nil"/>
            </w:tcBorders>
            <w:hideMark/>
          </w:tcPr>
          <w:p w14:paraId="5B98CAA9" w14:textId="77777777" w:rsidR="00F422E5" w:rsidRPr="00EC3E91" w:rsidRDefault="00F422E5" w:rsidP="00C02742">
            <w:pPr>
              <w:rPr>
                <w:sz w:val="20"/>
                <w:szCs w:val="20"/>
                <w:lang w:val="en-US"/>
              </w:rPr>
            </w:pPr>
            <w:r w:rsidRPr="00EC3E91">
              <w:rPr>
                <w:sz w:val="20"/>
                <w:szCs w:val="20"/>
                <w:lang w:val="en-US"/>
              </w:rPr>
              <w:t>change physical structure and equipment, remind clinicians, conduct educational meeting, make training dynamic, develop educational materials</w:t>
            </w:r>
          </w:p>
        </w:tc>
      </w:tr>
      <w:tr w:rsidR="00F422E5" w:rsidRPr="00EC3E91" w14:paraId="27871CEE" w14:textId="77777777" w:rsidTr="00F422E5">
        <w:trPr>
          <w:trHeight w:val="2235"/>
        </w:trPr>
        <w:tc>
          <w:tcPr>
            <w:tcW w:w="993" w:type="dxa"/>
            <w:tcBorders>
              <w:top w:val="single" w:sz="4" w:space="0" w:color="auto"/>
              <w:left w:val="nil"/>
              <w:bottom w:val="single" w:sz="4" w:space="0" w:color="auto"/>
              <w:right w:val="nil"/>
            </w:tcBorders>
          </w:tcPr>
          <w:p w14:paraId="14FF1154" w14:textId="17F221CA" w:rsidR="00F422E5" w:rsidRPr="00EC3E91" w:rsidRDefault="00EA5A61"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{"citationItems":[{"id":"ITEM-1","itemData":{"ISSN":"0888-5109","author":[{"dropping-particle":"","family":"Navy","given":"Hilary J","non-dropping-particle":"","parse-names":false,"suffix":""},{"dropping-particle":"","family":"Weffald","given":"Linda","non-dropping-particle":"","parse-names":false,"suffix":""},{"dropping-particle":"","family":"Delate","given":"Thomas","non-dropping-particle":"","parse-names":false,"suffix":""},{"dropping-particle":"","family":"Patel","given":"Rachana J","non-dropping-particle":"","parse-names":false,"suffix":""},{"dropping-particle":"","family":"Dugan","given":"Jennifer P","non-dropping-particle":"","parse-names":false,"suffix":""}],"container-title":"The Consultant Pharmacist®","id":"ITEM-1","issue":"12","issued":{"date-parts":[["2018"]]},"page":"711-722","publisher":"American Society of Consultant Pharmacists","title":"Clinical pharmacist intervention to engage older adults in reducing use of alprazolam","type":"article-journal","volume":"33"},"uris":["http://www.mendeley.com/documents/?uuid=b095513d-a263-42d7-8abd-2fb47bc2e61a"]}],"mendeley":{"formattedCitation":"(261)","plainTextFormattedCitation":"(261)","previouslyFormattedCitation":"(261)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8487D70"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000F4D3"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2FBD12E7"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038AF001"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425FFC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0D3201B"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E839454" w14:textId="1E92F899" w:rsidR="00F422E5" w:rsidRPr="00EC3E91" w:rsidRDefault="00F422E5" w:rsidP="00C02742">
            <w:pPr>
              <w:rPr>
                <w:sz w:val="20"/>
                <w:szCs w:val="20"/>
                <w:lang w:val="en-US"/>
              </w:rPr>
            </w:pPr>
            <w:r w:rsidRPr="00EC3E91">
              <w:rPr>
                <w:sz w:val="20"/>
                <w:szCs w:val="20"/>
                <w:lang w:val="en-US"/>
              </w:rPr>
              <w:t xml:space="preserve">Screening Tool of Older People's Prescriptions (STOPP) criteria </w:t>
            </w:r>
            <w:r w:rsidRPr="00EC3E91">
              <w:rPr>
                <w:sz w:val="20"/>
                <w:szCs w:val="20"/>
                <w:lang w:val="en-US"/>
              </w:rPr>
              <w:br/>
            </w:r>
            <w:r w:rsidRPr="00EC3E91">
              <w:rPr>
                <w:sz w:val="20"/>
                <w:szCs w:val="20"/>
                <w:lang w:val="en-US"/>
              </w:rPr>
              <w:br/>
            </w:r>
            <w:r w:rsidR="009C224D" w:rsidRPr="00EC3E91">
              <w:rPr>
                <w:sz w:val="20"/>
                <w:szCs w:val="20"/>
                <w:lang w:val="en-US"/>
              </w:rPr>
              <w:t>Beer’s</w:t>
            </w:r>
            <w:r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18DE69A2" w14:textId="77777777" w:rsidR="00F422E5" w:rsidRPr="00EC3E91" w:rsidRDefault="00F422E5" w:rsidP="00C02742">
            <w:pPr>
              <w:rPr>
                <w:sz w:val="20"/>
                <w:szCs w:val="20"/>
                <w:lang w:val="en-US"/>
              </w:rPr>
            </w:pPr>
            <w:r w:rsidRPr="00EC3E91">
              <w:rPr>
                <w:sz w:val="20"/>
                <w:szCs w:val="20"/>
                <w:lang w:val="en-US"/>
              </w:rPr>
              <w:t xml:space="preserve">develop educational materials </w:t>
            </w:r>
          </w:p>
        </w:tc>
      </w:tr>
      <w:tr w:rsidR="00636627" w:rsidRPr="00E119DD" w14:paraId="6928BCB6" w14:textId="77777777" w:rsidTr="00F422E5">
        <w:trPr>
          <w:trHeight w:val="2235"/>
        </w:trPr>
        <w:tc>
          <w:tcPr>
            <w:tcW w:w="993" w:type="dxa"/>
            <w:tcBorders>
              <w:top w:val="single" w:sz="4" w:space="0" w:color="auto"/>
              <w:left w:val="nil"/>
              <w:bottom w:val="single" w:sz="4" w:space="0" w:color="auto"/>
              <w:right w:val="nil"/>
            </w:tcBorders>
          </w:tcPr>
          <w:p w14:paraId="6023BFCF" w14:textId="130374A8" w:rsidR="00636627" w:rsidRPr="00EC3E91" w:rsidRDefault="00A716C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{"citationItems":[{"id":"ITEM-1","itemData":{"DOI":"10.1200/OP.20.01045","ISSN":"2688-1527","abstract":"PURPOSE:Practice guidelines recommend the prophylactic use of granulocyte colony?stimulating factors (G-CSFs) in patients with high risk of febrile neutropenia, but evidence suggests that G-CSFs are frequently overused. The objectives of this study were (1) to determine the prevalence and prescribing patterns of G-CSF and (2) to evaluate the impact of a program initiative on G-CSF prescribing patterns, adherence to guidelines, and mortality.METHODS:In this retrospective cohort study, data were used from the electronic health records of patients with metastatic colorectal cancer who received care at a multicenter oncology practice network during two time periods: July 01, 2013, to December 31, 2014, and July 01, 2017, to December 31, 2017. Beginning 2016, a site-wide program initiative that involved educational materials, appropriate nonuse recommendations, and prior authorization was introduced in the oncology practice network with an aim of reducing G-CSF overutilization. Descriptive statistics, t tests, and chi-squared tests were employed to analyze program impact.RESULTS:There were 3,426 chemotherapy regimens corresponding to 2,968 patients. There were a total of 387 (11.3%) G-CSF?treated patients and 3,095 G-CSF administrations during the study period. G-CSF use was significantly lower in the postperiod, compared with the preperiod (P &lt; .0001). Adherence to guidelines was significantly higher in the postperiod, compared with the preperiod (P &lt; .0001). Mortality rates did not significantly differ between the two time periods.CONCLUSION:This study demonstrates that policy initiatives have the potential to positively affect G-CSF prescription patterns and promote guideline adherence. These findings could help prescribers adopt a cost-effective approach in patients with metastatic colorectal cancer, leading to enhanced clinical practice and value-based care.","author":[{"dropping-particle":"","family":"Orji","given":"Chinelo C","non-dropping-particle":"","parse-names":false,"suffix":""},{"dropping-particle":"","family":"Brown","given":"Carolyn M","non-dropping-particle":"","parse-names":false,"suffix":""},{"dropping-particle":"","family":"Hoverman","given":"J Russell","non-dropping-particle":"","parse-names":false,"suffix":""},{"dropping-particle":"","family":"Richards","given":"Kristin M","non-dropping-particle":"","parse-names":false,"suffix":""},{"dropping-particle":"","family":"Garey","given":"Jody","non-dropping-particle":"","parse-names":false,"suffix":""},{"dropping-particle":"","family":"He","given":"Bo","non-dropping-particle":"","parse-names":false,"suffix":""}],"container-title":"JCO Oncology Practice","id":"ITEM-1","issue":"11","issued":{"date-parts":[["2021","4","14"]]},"page":"e1830-e1836","publisher":"Wolters Kluwer","title":"Impact of a G-CSF Policy to Reduce Low-Value Care on Guideline Adherence and Mortality","type":"article-journal","volume":"17"},"uris":["http://www.mendeley.com/documents/?uuid=0425043e-cfae-3967-b7c3-23d605a16599"]}],"mendeley":{"formattedCitation":"(262)","plainTextFormattedCitation":"(262)","previouslyFormattedCitation":"(262)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(262)</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5682420A" w14:textId="7147A61B" w:rsidR="00636627" w:rsidRPr="00EC3E91" w:rsidRDefault="00A716C0"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tcPr>
          <w:p w14:paraId="5E2C4B4E" w14:textId="29BE67A1" w:rsidR="00636627" w:rsidRPr="00EC3E91" w:rsidRDefault="003B71A4"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tcPr>
          <w:p w14:paraId="6451C8B9" w14:textId="1300924A" w:rsidR="00636627" w:rsidRPr="00EC3E91" w:rsidRDefault="003B71A4" w:rsidP="00C02742">
            <w:pPr>
              <w:rPr>
                <w:sz w:val="20"/>
                <w:szCs w:val="20"/>
                <w:lang w:val="en-US"/>
              </w:rPr>
            </w:pPr>
            <w:r w:rsidRPr="00EC3E91">
              <w:rPr>
                <w:sz w:val="20"/>
                <w:szCs w:val="20"/>
                <w:lang w:val="en-US"/>
              </w:rPr>
              <w:t>Quant/Cohort</w:t>
            </w:r>
          </w:p>
        </w:tc>
        <w:tc>
          <w:tcPr>
            <w:tcW w:w="851" w:type="dxa"/>
            <w:tcBorders>
              <w:top w:val="single" w:sz="4" w:space="0" w:color="auto"/>
              <w:left w:val="nil"/>
              <w:bottom w:val="single" w:sz="4" w:space="0" w:color="auto"/>
              <w:right w:val="nil"/>
            </w:tcBorders>
          </w:tcPr>
          <w:p w14:paraId="308E55CC" w14:textId="667E7C10" w:rsidR="00636627" w:rsidRPr="00EC3E91" w:rsidRDefault="003B71A4"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5F7E3EDC" w14:textId="4FF79CD1" w:rsidR="00636627" w:rsidRPr="00EC3E91" w:rsidRDefault="00FB7DE2" w:rsidP="00C02742">
            <w:pPr>
              <w:rPr>
                <w:sz w:val="20"/>
                <w:szCs w:val="20"/>
                <w:lang w:val="en-US"/>
              </w:rPr>
            </w:pPr>
            <w:r w:rsidRPr="00EC3E91">
              <w:rPr>
                <w:sz w:val="20"/>
                <w:szCs w:val="20"/>
                <w:lang w:val="en-US"/>
              </w:rPr>
              <w:t xml:space="preserve">Other </w:t>
            </w:r>
          </w:p>
        </w:tc>
        <w:tc>
          <w:tcPr>
            <w:tcW w:w="2126" w:type="dxa"/>
            <w:tcBorders>
              <w:top w:val="single" w:sz="4" w:space="0" w:color="auto"/>
              <w:left w:val="nil"/>
              <w:bottom w:val="single" w:sz="4" w:space="0" w:color="auto"/>
              <w:right w:val="nil"/>
            </w:tcBorders>
          </w:tcPr>
          <w:p w14:paraId="093E7044" w14:textId="683A047D" w:rsidR="00636627" w:rsidRPr="00EC3E91" w:rsidRDefault="00FB7DE2" w:rsidP="00C02742">
            <w:pPr>
              <w:rPr>
                <w:sz w:val="20"/>
                <w:szCs w:val="20"/>
                <w:lang w:val="en-US"/>
              </w:rPr>
            </w:pPr>
            <w:r w:rsidRPr="00EC3E91">
              <w:rPr>
                <w:sz w:val="20"/>
                <w:szCs w:val="20"/>
                <w:lang w:val="en-US"/>
              </w:rPr>
              <w:t>Granulocyte colony–stimulating factors (G-CSFs)</w:t>
            </w:r>
          </w:p>
        </w:tc>
        <w:tc>
          <w:tcPr>
            <w:tcW w:w="3970" w:type="dxa"/>
            <w:tcBorders>
              <w:top w:val="single" w:sz="4" w:space="0" w:color="auto"/>
              <w:left w:val="nil"/>
              <w:bottom w:val="single" w:sz="4" w:space="0" w:color="auto"/>
              <w:right w:val="nil"/>
            </w:tcBorders>
          </w:tcPr>
          <w:p w14:paraId="3B659B39" w14:textId="2C3788FC" w:rsidR="00636627" w:rsidRPr="00EC3E91" w:rsidRDefault="00C84216" w:rsidP="00C02742">
            <w:pPr>
              <w:rPr>
                <w:sz w:val="20"/>
                <w:szCs w:val="20"/>
                <w:lang w:val="en-US"/>
              </w:rPr>
            </w:pPr>
            <w:r w:rsidRPr="00EC3E91">
              <w:rPr>
                <w:sz w:val="20"/>
                <w:szCs w:val="20"/>
                <w:lang w:val="en-US"/>
              </w:rPr>
              <w:t xml:space="preserve">American Society of Clinical Oncology: </w:t>
            </w:r>
            <w:r w:rsidRPr="003B17F0">
              <w:rPr>
                <w:sz w:val="20"/>
                <w:szCs w:val="20"/>
                <w:lang w:val="en-US"/>
              </w:rPr>
              <w:t>2006 Update of Recommendations for the Use of White Blood Cell Growth Factors: An Evidence-Based Clinical Practice Guideline</w:t>
            </w:r>
          </w:p>
        </w:tc>
        <w:tc>
          <w:tcPr>
            <w:tcW w:w="2551" w:type="dxa"/>
            <w:tcBorders>
              <w:top w:val="single" w:sz="4" w:space="0" w:color="auto"/>
              <w:left w:val="nil"/>
              <w:bottom w:val="single" w:sz="4" w:space="0" w:color="auto"/>
              <w:right w:val="nil"/>
            </w:tcBorders>
          </w:tcPr>
          <w:p w14:paraId="4400AE3A" w14:textId="05363CF0" w:rsidR="00D85293" w:rsidRPr="00EC3E91" w:rsidRDefault="00D85293" w:rsidP="00C02742">
            <w:pPr>
              <w:rPr>
                <w:sz w:val="20"/>
                <w:szCs w:val="20"/>
                <w:lang w:val="en-US"/>
              </w:rPr>
            </w:pPr>
            <w:r w:rsidRPr="00EC3E91">
              <w:rPr>
                <w:sz w:val="20"/>
                <w:szCs w:val="20"/>
                <w:lang w:val="en-US"/>
              </w:rPr>
              <w:t>develop educational materials, assess and redesign workflow, develop and organize quality monitoring systems, [ACCOUNTABILITY TOOL]</w:t>
            </w:r>
          </w:p>
        </w:tc>
      </w:tr>
      <w:tr w:rsidR="00F422E5" w:rsidRPr="00E119DD" w14:paraId="1540C019" w14:textId="77777777" w:rsidTr="00F422E5">
        <w:trPr>
          <w:trHeight w:val="2235"/>
        </w:trPr>
        <w:tc>
          <w:tcPr>
            <w:tcW w:w="993" w:type="dxa"/>
            <w:tcBorders>
              <w:top w:val="single" w:sz="4" w:space="0" w:color="auto"/>
              <w:left w:val="nil"/>
              <w:bottom w:val="single" w:sz="4" w:space="0" w:color="auto"/>
              <w:right w:val="nil"/>
            </w:tcBorders>
          </w:tcPr>
          <w:p w14:paraId="056DAF54" w14:textId="0808ED87" w:rsidR="00F422E5" w:rsidRPr="00EC3E91" w:rsidRDefault="00081E06"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{"citationItems":[{"id":"ITEM-1","itemData":{"ISSN":"1474-4457 1473-3099","abstract":"Background: There is little evidence on the ecological effect and sustainability of antimicrobial stewardship programmes (ASPs) in primary-care settings. We aimed to determine whether a multimodal, educational ASP would be sustainable in the long-term and reduce the incidence of infections caused by extended-spectrum β-lactamase-producing Escherichia coli in the community by optimising antibiotic use. Methods: We did this quasi-experimental intervention study in 214 primary health centres of four primary health-care districts in Andalusia, Spain. Local multidisciplinary teams, comprised of general practitioners, paediatricians, primary-care pharmacists, and epidemiologists, were created in each district and implemented a multimodal, education-based ASP. The core activity of the programme consisted of regular one-to-one educational interviews between a reference interviewing physician and prescribing physicians from each centre on the appropriateness of their most recent (same or preceding day) antibiotic prescriptions based on a structured questionnaire. Appropriate prescribing was defined as compliance of all checklist items with the reference guidelines. An average of five educational interviews were scheduled per prescriber per study year. We did an interrupted time-series analysis to assess the effect of the intervention on quarterly antibiotic use (prescription and collection by the patient) and quality of prescriptions (as defined daily doses per 1000 inhabitants per day) and incidence per 1000 inhabitants of E coli producing extended-spectrum β-lactamase (ESBL) isolated from urine samples. Findings: The study was done between January, 2012, and December, 2017, in a pre-intervention period of 2012–13 and an intervention period of 2014–17. Throughout the study period, there were 1387 physicians (1116 general practicioners and 271 paediatricians) in the included health centres serving a mean population of 1 937 512 people (299 331 children and 1 638 181 adults). 24 150 educational interviews were done over the 4 years. Inappropriate antibiotic prescribing was identified in 1794 (36·5%) of 4917 educational interviews in 2014 compared with 1793 (26·9%) of 6665 in 2017 (p&lt;0·0001). The intervention was associated with a sustained reduction in the use of ciprofloxacin (relative effect −15·9%, 95% CI −23·9 to −8·0) and cephalosporins (−22·6%, −35·9 to −9·2), and a sustained increase in the use of amoxicillin (22·2%, 6·4 to 38·0) and fosfomycin trometamol …","author":[{"dropping-particle":"","family":"Peñalva","given":"G","non-dropping-particle":"","parse-names":false,"suffix":""},{"dropping-particle":"","family":"Fernández-Urrusuno","given":"R","non-dropping-particle":"","parse-names":false,"suffix":""},{"dropping-particle":"","family":"Turmo","given":"J M","non-dropping-particle":"","parse-names":false,"suffix":""},{"dropping-particle":"","family":"Hernández-Soto","given":"R","non-dropping-particle":"","parse-names":false,"suffix":""},{"dropping-particle":"","family":"Pajares","given":"I","non-dropping-particle":"","parse-names":false,"suffix":""},{"dropping-particle":"","family":"Carrión","given":"L","non-dropping-particle":"","parse-names":false,"suffix":""},{"dropping-particle":"","family":"Vázquez-Cruz","given":"I","non-dropping-particle":"","parse-names":false,"suffix":""},{"dropping-particle":"","family":"Botello","given":"B","non-dropping-particle":"","parse-names":false,"suffix":""},{"dropping-particle":"","family":"García-Robredo","given":"B","non-dropping-particle":"","parse-names":false,"suffix":""},{"dropping-particle":"","family":"Cámara-Mestres","given":"M","non-dropping-particle":"","parse-names":false,"suffix":""},{"dropping-particle":"","family":"Domínguez-Camacho","given":"J C","non-dropping-particle":"","parse-names":false,"suffix":""},{"dropping-particle":"","family":"Aguilar-Carnerero","given":"M M","non-dropping-particle":"","parse-names":false,"suffix":""},{"dropping-particle":"","family":"Lepe","given":"J A","non-dropping-particle":"","parse-names":false,"suffix":""},{"dropping-particle":"","family":"Cueto","given":"M","non-dropping-particle":"de","parse-names":false,"suffix":""},{"dropping-particle":"","family":"Serrano-Martino","given":"M C","non-dropping-particle":"","parse-names":false,"suffix":""},{"dropping-particle":"","family":"Domínguez-Jiménez","given":"M C","non-dropping-particle":"","parse-names":false,"suffix":""},{"dropping-particle":"","family":"Domínguez-Castaño","given":"A","non-dropping-particle":"","parse-names":false,"suffix":""},{"dropping-particle":"","family":"Cisneros","given":"J M","non-dropping-particle":"","parse-names":false,"suffix":""},{"dropping-particle":"","family":"Alcántara","given":"J D","non-dropping-particle":"","parse-names":false,"suffix":""},{"dropping-particle":"","family":"Álvarez-Marín","given":"R","non-dropping-particle":"","parse-names":false,"suffix":""},{"dropping-particle":"","family":"Cos-Vega","given":"A","non-dropping-particle":"","parse-names":false,"suffix":""},{"dropping-particle":"","family":"Delgado-Cuesta","given":"J","non-dropping-particle":"","parse-names":false,"suffix":""},{"dropping-particle":"","family":"Fajardo","given":"J M","non-dropping-particle":"","parse-names":false,"suffix":""},{"dropping-particle":"","family":"Garrucho-Moreno","given":"J","non-dropping-particle":"","parse-names":false,"suffix":""},{"dropping-particle":"","family":"Hevia","given":"E","non-dropping-particle":"","parse-names":false,"suffix":""},{"dropping-particle":"","family":"Irastorza","given":"A","non-dropping-particle":"","parse-names":false,"suffix":""},{"dropping-particle":"","family":"Mestraitúa-Vázquez","given":"A","non-dropping-particle":"","parse-names":false,"suffix":""},{"dropping-particle":"","family":"Molina","given":"J","non-dropping-particle":"","parse-names":false,"suffix":""},{"dropping-particle":"","family":"Montero","given":"E","non-dropping-particle":"","parse-names":false,"suffix":""},{"dropping-particle":"","family":"Palma-Aguilar","given":"J L","non-dropping-particle":"","parse-names":false,"suffix":""},{"dropping-particle":"","family":"Remesal","given":"T","non-dropping-particle":"","parse-names":false,"suffix":""},{"dropping-particle":"","family":"Retamar","given":"P","non-dropping-particle":"","parse-names":false,"suffix":""},{"dropping-particle":"","family":"Taboada-Prieto","given":"S","non-dropping-particle":"","parse-names":false,"suffix":""},{"dropping-particle":"","family":"Toral","given":"J","non-dropping-particle":"","parse-names":false,"suffix":""},{"dropping-particle":"","family":"Torres-Moreno","given":"J","non-dropping-particle":"","parse-names":false,"suffix":""}],"container-title":"The Lancet Infectious Diseases","id":"ITEM-1","issue":"2","issued":{"date-parts":[["2020"]]},"language":"English","page":"199-207","publisher-place":"J.M. Cisneros, Department of Infectious Diseases, Microbiology and Preventive Medicine, University Hospital Virgen del Rocío, Institute of Biomedicine of Seville, Seville, Spain","title":"Long-term impact of an educational antimicrobial stewardship programme in primary care on infections caused by extended-spectrum β-lactamase-producing Escherichia coli in the community: an interrupted time-series analysis","type":"article-journal","volume":"20"},"uris":["http://www.mendeley.com/documents/?uuid=4d93230a-6cb0-3511-a694-dc934417a5b0"]}],"mendeley":{"formattedCitation":"(263)","plainTextFormattedCitation":"(263)","previouslyFormattedCitation":"(263)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BEBED53"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04FC71C2"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3A4C277"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42C548C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5855282"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06BB0DC3" w14:textId="77777777" w:rsidR="00F422E5" w:rsidRPr="00EC3E91" w:rsidRDefault="00F422E5" w:rsidP="00C02742">
            <w:pPr>
              <w:rPr>
                <w:sz w:val="20"/>
                <w:szCs w:val="20"/>
                <w:lang w:val="en-US"/>
              </w:rPr>
            </w:pPr>
            <w:r w:rsidRPr="00EC3E91">
              <w:rPr>
                <w:sz w:val="20"/>
                <w:szCs w:val="20"/>
                <w:lang w:val="en-US"/>
              </w:rPr>
              <w:t>Inappropriate use of antibiotics</w:t>
            </w:r>
          </w:p>
        </w:tc>
        <w:tc>
          <w:tcPr>
            <w:tcW w:w="3970" w:type="dxa"/>
            <w:tcBorders>
              <w:top w:val="single" w:sz="4" w:space="0" w:color="auto"/>
              <w:left w:val="nil"/>
              <w:bottom w:val="single" w:sz="4" w:space="0" w:color="auto"/>
              <w:right w:val="nil"/>
            </w:tcBorders>
            <w:hideMark/>
          </w:tcPr>
          <w:p w14:paraId="510B9EB9" w14:textId="77777777" w:rsidR="00F422E5" w:rsidRPr="00EC3E91" w:rsidRDefault="00F422E5" w:rsidP="00C02742">
            <w:pPr>
              <w:rPr>
                <w:sz w:val="20"/>
                <w:szCs w:val="20"/>
                <w:lang w:val="en-US"/>
              </w:rPr>
            </w:pPr>
            <w:r w:rsidRPr="00EC3E91">
              <w:rPr>
                <w:sz w:val="20"/>
                <w:szCs w:val="20"/>
                <w:lang w:val="en-US"/>
              </w:rPr>
              <w:t>World Health Organization (WHO). Antimicrobial resistance: global report on surveillance 2014</w:t>
            </w:r>
          </w:p>
        </w:tc>
        <w:tc>
          <w:tcPr>
            <w:tcW w:w="2551" w:type="dxa"/>
            <w:tcBorders>
              <w:top w:val="single" w:sz="4" w:space="0" w:color="auto"/>
              <w:left w:val="nil"/>
              <w:bottom w:val="single" w:sz="4" w:space="0" w:color="auto"/>
              <w:right w:val="nil"/>
            </w:tcBorders>
            <w:hideMark/>
          </w:tcPr>
          <w:p w14:paraId="45D4F17A" w14:textId="77777777" w:rsidR="00F422E5" w:rsidRPr="00EC3E91" w:rsidRDefault="00F422E5" w:rsidP="00C02742">
            <w:pPr>
              <w:rPr>
                <w:sz w:val="20"/>
                <w:szCs w:val="20"/>
                <w:lang w:val="en-US"/>
              </w:rPr>
            </w:pPr>
            <w:r w:rsidRPr="00EC3E91">
              <w:rPr>
                <w:sz w:val="20"/>
                <w:szCs w:val="20"/>
                <w:lang w:val="en-US"/>
              </w:rPr>
              <w:t>develop educational materials, change physical structure and equipment, conduct educational outreach visits, audit and provide feedback</w:t>
            </w:r>
          </w:p>
        </w:tc>
      </w:tr>
      <w:tr w:rsidR="00F422E5" w:rsidRPr="00E119DD" w14:paraId="40F7D3C7" w14:textId="77777777" w:rsidTr="00F422E5">
        <w:trPr>
          <w:trHeight w:val="2235"/>
        </w:trPr>
        <w:tc>
          <w:tcPr>
            <w:tcW w:w="993" w:type="dxa"/>
            <w:tcBorders>
              <w:top w:val="single" w:sz="4" w:space="0" w:color="auto"/>
              <w:left w:val="nil"/>
              <w:bottom w:val="single" w:sz="4" w:space="0" w:color="auto"/>
              <w:right w:val="nil"/>
            </w:tcBorders>
          </w:tcPr>
          <w:p w14:paraId="70162C56" w14:textId="1B55D73A" w:rsidR="00F422E5" w:rsidRPr="00EC3E91" w:rsidRDefault="00E737B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{"citationItems":[{"id":"ITEM-1","itemData":{"DOI":"10.1016/j.jcjq.2018.05.010","ISSN":"15537250","PMID":"30447760","abstract":"Background: Scant evidence exists of effective Choosing Wisely® initiatives, which are intended to reduce the use of unnecessary care. In 2013 substantial variations existed at Kaiser Permanente Georgia in the frequency of nonbeneficial services in ambulatory care. A Choosing Wisely campaign was implemented across 25 medical offices serving approximately 300,000 members. Methods: The initiative was designed to reduce the use of complete blood counts (CBCs) and electrocardiograms (EKGs) as routine screening tests in physical examination visits, age-inappropriate dual-energy x-ray absorptiometry (DEXA) scans, and imaging for uncomplicated headache. The change management package consisted of (1) guideline selection by clinical leaders, (2) continuing medical education for clinicians and training and education for clinic staff and advice nurses, (3) an internal and external communication plan, and (4) monthly reports. Results: Between January 2013 and December 2016, CBC use as a routine screening test decreased by 39.5 percentage points (95% confidence interval [CI] = 39.0–40.0)—from an average of 42.7% to 3.2%; EKG use as a routine screening test decreased by 15.5 percentage points (95% CI = 15.1–15.8)—from an average of 15.9% to 0.3%; inappropriate DEXA scan use decreased by 23.4 percentage points (95% CI = 22.5–24.5)—from an average of 25.4% to 2.0%; and imaging for uncomplicated headache decreased by 3.9 percentage points (95% CI = 3.3–4.6)—from an average of 10.8% to 6.9%. All decreases were statistically significant (p &lt; 0.05) and were largely sustained after monthly reports ended. Conclusion: Sustained reductions in nonbeneficial services in ambulatory care followed implementation of a comprehensive change management package.","author":[{"dropping-particle":"","family":"Pugel","given":"Scott","non-dropping-particle":"","parse-names":false,"suffix":""},{"dropping-particle":"","family":"Stallworth","given":"John L.","non-dropping-particle":"","parse-names":false,"suffix":""},{"dropping-particle":"","family":"Pugh","given":"Leslie B.","non-dropping-particle":"","parse-names":false,"suffix":""},{"dropping-particle":"","family":"Terrell","given":"Carlee","non-dropping-particle":"","parse-names":false,"suffix":""},{"dropping-particle":"","family":"Bailey","given":"Zuwere","non-dropping-particle":"","parse-names":false,"suffix":""},{"dropping-particle":"","family":"Gramling","given":"Thomas","non-dropping-particle":"","parse-names":false,"suffix":""},{"dropping-particle":"","family":"Ward","given":"Helen","non-dropping-particle":"","parse-names":false,"suffix":""}],"container-title":"Joint Commission Journal on Quality and Patient Safety","id":"ITEM-1","issue":"12","issued":{"date-parts":[["2018","12","1"]]},"page":"699-707","publisher":"Joint Commission Resources, Inc.","title":"Choosing Wisely in Georgia: A Quality Improvement Initiative in 25 Adult Ambulatory Medicine Offices","type":"article-journal","volume":"44"},"uris":["http://www.mendeley.com/documents/?uuid=874c026d-ea2b-3868-b9c1-5b16ff6250fc"]}],"mendeley":{"formattedCitation":"(264)","plainTextFormattedCitation":"(264)","previouslyFormattedCitation":"(264)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DAFD45C"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7D727D4C"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2C3DCF70"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5A4BB4D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566261A" w14:textId="77777777" w:rsidR="00F422E5" w:rsidRPr="00EC3E91" w:rsidRDefault="00F422E5" w:rsidP="00C02742">
            <w:pPr>
              <w:rPr>
                <w:sz w:val="20"/>
                <w:szCs w:val="20"/>
                <w:lang w:val="en-US"/>
              </w:rPr>
            </w:pPr>
            <w:r w:rsidRPr="00EC3E91">
              <w:rPr>
                <w:sz w:val="20"/>
                <w:szCs w:val="20"/>
                <w:lang w:val="en-US"/>
              </w:rPr>
              <w:t>Imaging, 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5AD0868A" w14:textId="77777777" w:rsidR="00F422E5" w:rsidRPr="00EC3E91" w:rsidRDefault="00F422E5" w:rsidP="00C02742">
            <w:pPr>
              <w:rPr>
                <w:sz w:val="20"/>
                <w:szCs w:val="20"/>
                <w:lang w:val="en-US"/>
              </w:rPr>
            </w:pPr>
            <w:r w:rsidRPr="00EC3E91">
              <w:rPr>
                <w:sz w:val="20"/>
                <w:szCs w:val="20"/>
                <w:lang w:val="en-US"/>
              </w:rPr>
              <w:t>Inappropriate ordering of Complete blood counts (CBCs) and electrocardiograms (EKGs)</w:t>
            </w:r>
          </w:p>
        </w:tc>
        <w:tc>
          <w:tcPr>
            <w:tcW w:w="3970" w:type="dxa"/>
            <w:tcBorders>
              <w:top w:val="single" w:sz="4" w:space="0" w:color="auto"/>
              <w:left w:val="nil"/>
              <w:bottom w:val="single" w:sz="4" w:space="0" w:color="auto"/>
              <w:right w:val="nil"/>
            </w:tcBorders>
            <w:hideMark/>
          </w:tcPr>
          <w:p w14:paraId="0CC646D6" w14:textId="77777777" w:rsidR="00F422E5" w:rsidRPr="00EC3E91" w:rsidRDefault="00F422E5" w:rsidP="00C02742">
            <w:pPr>
              <w:rPr>
                <w:sz w:val="20"/>
                <w:szCs w:val="20"/>
                <w:lang w:val="en-US"/>
              </w:rPr>
            </w:pPr>
            <w:r w:rsidRPr="00EC3E91">
              <w:rPr>
                <w:sz w:val="20"/>
                <w:szCs w:val="20"/>
                <w:lang w:val="en-US"/>
              </w:rPr>
              <w:t>Choosing Wisely</w:t>
            </w:r>
          </w:p>
        </w:tc>
        <w:tc>
          <w:tcPr>
            <w:tcW w:w="2551" w:type="dxa"/>
            <w:tcBorders>
              <w:top w:val="single" w:sz="4" w:space="0" w:color="auto"/>
              <w:left w:val="nil"/>
              <w:bottom w:val="single" w:sz="4" w:space="0" w:color="auto"/>
              <w:right w:val="nil"/>
            </w:tcBorders>
            <w:hideMark/>
          </w:tcPr>
          <w:p w14:paraId="2D982608" w14:textId="5B39213B" w:rsidR="00F422E5" w:rsidRPr="00EC3E91" w:rsidRDefault="002455B0" w:rsidP="00C02742">
            <w:pPr>
              <w:rPr>
                <w:sz w:val="20"/>
                <w:szCs w:val="20"/>
                <w:lang w:val="en-US"/>
              </w:rPr>
            </w:pPr>
            <w:r w:rsidRPr="002455B0">
              <w:rPr>
                <w:sz w:val="20"/>
                <w:szCs w:val="20"/>
                <w:lang w:val="en-US"/>
              </w:rPr>
              <w:t>distribute educational materials, develop educational materials, conduct educational meeting, make training dynamic, manda</w:t>
            </w:r>
            <w:r>
              <w:rPr>
                <w:sz w:val="20"/>
                <w:szCs w:val="20"/>
                <w:lang w:val="en-US"/>
              </w:rPr>
              <w:t>t</w:t>
            </w:r>
            <w:r w:rsidRPr="002455B0">
              <w:rPr>
                <w:sz w:val="20"/>
                <w:szCs w:val="20"/>
                <w:lang w:val="en-US"/>
              </w:rPr>
              <w:t>e change</w:t>
            </w:r>
          </w:p>
        </w:tc>
      </w:tr>
      <w:tr w:rsidR="00F422E5" w:rsidRPr="00E119DD" w14:paraId="73AFFA9A" w14:textId="77777777" w:rsidTr="00F422E5">
        <w:trPr>
          <w:trHeight w:val="2235"/>
        </w:trPr>
        <w:tc>
          <w:tcPr>
            <w:tcW w:w="993" w:type="dxa"/>
            <w:tcBorders>
              <w:top w:val="single" w:sz="4" w:space="0" w:color="auto"/>
              <w:left w:val="nil"/>
              <w:bottom w:val="single" w:sz="4" w:space="0" w:color="auto"/>
              <w:right w:val="nil"/>
            </w:tcBorders>
          </w:tcPr>
          <w:p w14:paraId="7E844F15" w14:textId="410FBDA0" w:rsidR="00F422E5" w:rsidRPr="00EC3E91" w:rsidRDefault="00D070C5"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{"citationItems":[{"id":"ITEM-1","itemData":{"ISSN":"1175-8716","abstract":"AIM: To evaluate the effectiveness of awareness-raising by the Choosing Wisely campaign in a New Zealand public hospital to reduce routine pre-operative testing and to determine what can be done to bring about change in clinician behaviour.     METHODS: Short, semi-structured, one on-one interviews were conducted with 15 doctors of varying seniority from general surgery who were exposed to the campaign between August and October 2018. The interviews covered four general topics including background information, asking about awareness and effectiveness of Choosing Wisely campaign, exploring barriers to changing clinician behaviour around pre-operative testing and exploring potential interventions which may be useful to change behaviour. Data were analysed using Braun and Clarke thematic analysis methodology.     RESULTS: Four themes and 17 sub-themes emerged from the interviews. The main themes included awareness of Choosing Wisely, thoughts around pre-operative testing, barriers for changing clinician behaviour and strategies for reducing unnecessary pre-operative testing.     CONCLUSION: The findings of this study suggest that a strategy that relies on revising guidelines and raising staff awareness alone is likely to be of limited effectiveness in reducing unnecessary pre-operative testing. In addition to increasing clinician awareness of evidence-based recommendations on unnecessary testing, other strategies may be needed to support behaviour change.","author":[{"dropping-particle":"","family":"Raina","given":"A","non-dropping-particle":"","parse-names":false,"suffix":""},{"dropping-particle":"","family":"Ardagh","given":"M","non-dropping-particle":"","parse-names":false,"suffix":""},{"dropping-particle":"","family":"Loring","given":"B","non-dropping-particle":"","parse-names":false,"suffix":""}],"container-title":"New Zealand Medical Journal","id":"ITEM-1","issue":"1502","issued":{"date-parts":[["2019"]]},"language":"English","page":"16-24","publisher-place":"Raina, Aditya. University of Otago, Christchurch.     Ardagh, Michael. University of Otago, Christchurch.     Loring, Belinda. Consultant Public Health Physician, Choosing Wisely, Auckland.","title":"What influences clinicians to choose wisely?","type":"article-journal","volume":"132"},"uris":["http://www.mendeley.com/documents/?uuid=72657ffd-7970-3fd0-abf2-b33141a581fa"]}],"mendeley":{"formattedCitation":"(265)","plainTextFormattedCitation":"(265)","previouslyFormattedCitation":"(265)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4DAD802" w14:textId="77777777" w:rsidR="00F422E5" w:rsidRPr="00EC3E91" w:rsidRDefault="00F422E5" w:rsidP="00C02742">
            <w:pPr>
              <w:rPr>
                <w:sz w:val="20"/>
                <w:szCs w:val="20"/>
                <w:lang w:val="en-US"/>
              </w:rPr>
            </w:pPr>
            <w:r w:rsidRPr="00EC3E91">
              <w:rPr>
                <w:sz w:val="20"/>
                <w:szCs w:val="20"/>
                <w:lang w:val="en-US"/>
              </w:rPr>
              <w:t>New Zealand</w:t>
            </w:r>
          </w:p>
        </w:tc>
        <w:tc>
          <w:tcPr>
            <w:tcW w:w="993" w:type="dxa"/>
            <w:tcBorders>
              <w:top w:val="single" w:sz="4" w:space="0" w:color="auto"/>
              <w:left w:val="nil"/>
              <w:bottom w:val="single" w:sz="4" w:space="0" w:color="auto"/>
              <w:right w:val="nil"/>
            </w:tcBorders>
            <w:hideMark/>
          </w:tcPr>
          <w:p w14:paraId="4A9D9679"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AA28051" w14:textId="77777777" w:rsidR="00F422E5" w:rsidRPr="00EC3E91" w:rsidRDefault="00F422E5" w:rsidP="00C02742">
            <w:pPr>
              <w:rPr>
                <w:sz w:val="20"/>
                <w:szCs w:val="20"/>
                <w:lang w:val="en-US"/>
              </w:rPr>
            </w:pPr>
            <w:r w:rsidRPr="00EC3E91">
              <w:rPr>
                <w:sz w:val="20"/>
                <w:szCs w:val="20"/>
                <w:lang w:val="en-US"/>
              </w:rPr>
              <w:t>Qual Cross-sectional</w:t>
            </w:r>
          </w:p>
        </w:tc>
        <w:tc>
          <w:tcPr>
            <w:tcW w:w="851" w:type="dxa"/>
            <w:tcBorders>
              <w:top w:val="single" w:sz="4" w:space="0" w:color="auto"/>
              <w:left w:val="nil"/>
              <w:bottom w:val="single" w:sz="4" w:space="0" w:color="auto"/>
              <w:right w:val="nil"/>
            </w:tcBorders>
            <w:hideMark/>
          </w:tcPr>
          <w:p w14:paraId="67216D87" w14:textId="4B82E4B3" w:rsidR="00F422E5" w:rsidRPr="00EC3E91" w:rsidRDefault="00F422E5" w:rsidP="00C02742">
            <w:pPr>
              <w:rPr>
                <w:sz w:val="20"/>
                <w:szCs w:val="20"/>
                <w:lang w:val="en-US"/>
              </w:rPr>
            </w:pPr>
            <w:r w:rsidRPr="00EC3E91">
              <w:rPr>
                <w:sz w:val="20"/>
                <w:szCs w:val="20"/>
                <w:lang w:val="en-US"/>
              </w:rPr>
              <w:t xml:space="preserve">Process </w:t>
            </w:r>
            <w:r w:rsidR="009C224D" w:rsidRPr="00EC3E91">
              <w:rPr>
                <w:sz w:val="20"/>
                <w:szCs w:val="20"/>
                <w:lang w:val="en-US"/>
              </w:rPr>
              <w:t>evaluation</w:t>
            </w:r>
          </w:p>
        </w:tc>
        <w:tc>
          <w:tcPr>
            <w:tcW w:w="1134" w:type="dxa"/>
            <w:tcBorders>
              <w:top w:val="single" w:sz="4" w:space="0" w:color="auto"/>
              <w:left w:val="nil"/>
              <w:bottom w:val="single" w:sz="4" w:space="0" w:color="auto"/>
              <w:right w:val="nil"/>
            </w:tcBorders>
            <w:hideMark/>
          </w:tcPr>
          <w:p w14:paraId="0873C68A"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5C943E39" w14:textId="77777777" w:rsidR="00F422E5" w:rsidRPr="00EC3E91" w:rsidRDefault="00F422E5" w:rsidP="00C02742">
            <w:pPr>
              <w:rPr>
                <w:sz w:val="20"/>
                <w:szCs w:val="20"/>
                <w:lang w:val="en-US"/>
              </w:rPr>
            </w:pPr>
            <w:r w:rsidRPr="00EC3E91">
              <w:rPr>
                <w:sz w:val="20"/>
                <w:szCs w:val="20"/>
                <w:lang w:val="en-US"/>
              </w:rPr>
              <w:t>Routine pre-operative testing</w:t>
            </w:r>
          </w:p>
        </w:tc>
        <w:tc>
          <w:tcPr>
            <w:tcW w:w="3970" w:type="dxa"/>
            <w:tcBorders>
              <w:top w:val="single" w:sz="4" w:space="0" w:color="auto"/>
              <w:left w:val="nil"/>
              <w:bottom w:val="single" w:sz="4" w:space="0" w:color="auto"/>
              <w:right w:val="nil"/>
            </w:tcBorders>
            <w:hideMark/>
          </w:tcPr>
          <w:p w14:paraId="3E240359"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O’Neill F, Carter E, Pink N, Smith I. Routine preoperative tests for elective surgery: summary of updated NICE guidance</w:t>
            </w:r>
          </w:p>
        </w:tc>
        <w:tc>
          <w:tcPr>
            <w:tcW w:w="2551" w:type="dxa"/>
            <w:tcBorders>
              <w:top w:val="single" w:sz="4" w:space="0" w:color="auto"/>
              <w:left w:val="nil"/>
              <w:bottom w:val="single" w:sz="4" w:space="0" w:color="auto"/>
              <w:right w:val="nil"/>
            </w:tcBorders>
            <w:hideMark/>
          </w:tcPr>
          <w:p w14:paraId="06A143BA" w14:textId="44B0AE14" w:rsidR="00F422E5" w:rsidRPr="00EC3E91" w:rsidRDefault="009C224D" w:rsidP="00C02742">
            <w:pPr>
              <w:rPr>
                <w:sz w:val="20"/>
                <w:szCs w:val="20"/>
                <w:lang w:val="en-US"/>
              </w:rPr>
            </w:pPr>
            <w:r w:rsidRPr="00EC3E91">
              <w:rPr>
                <w:sz w:val="20"/>
                <w:szCs w:val="20"/>
                <w:lang w:val="en-US"/>
              </w:rPr>
              <w:t>distribute</w:t>
            </w:r>
            <w:r w:rsidR="00F422E5" w:rsidRPr="00EC3E91">
              <w:rPr>
                <w:sz w:val="20"/>
                <w:szCs w:val="20"/>
                <w:lang w:val="en-US"/>
              </w:rPr>
              <w:t xml:space="preserve"> educational materials, develop educational materials</w:t>
            </w:r>
          </w:p>
        </w:tc>
      </w:tr>
      <w:tr w:rsidR="00F422E5" w:rsidRPr="00E119DD" w14:paraId="45C469EA" w14:textId="77777777" w:rsidTr="00F422E5">
        <w:trPr>
          <w:trHeight w:val="2235"/>
        </w:trPr>
        <w:tc>
          <w:tcPr>
            <w:tcW w:w="993" w:type="dxa"/>
            <w:tcBorders>
              <w:top w:val="single" w:sz="4" w:space="0" w:color="auto"/>
              <w:left w:val="nil"/>
              <w:bottom w:val="single" w:sz="4" w:space="0" w:color="auto"/>
              <w:right w:val="nil"/>
            </w:tcBorders>
          </w:tcPr>
          <w:p w14:paraId="412DE373" w14:textId="376EB393" w:rsidR="00F422E5" w:rsidRPr="00EC3E91" w:rsidRDefault="008A45E4"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{"citationItems":[{"id":"ITEM-1","itemData":{"DOI":"10.1093/jac/dky360","ISSN":"0305-7453","abstract":"A concise invasive candidosis guideline (based on the ESCMID candidaemia guideline) utilizing an informative biomarker [serum β-1–3-d-glucan (BDG)] was developed in 2013 by an antifungal stewardship (AFS) team and implemented with the help of an AFS champion in 2014. The main aims of the AFS programme were to reduce inappropriate use of antifungals and improve patient outcomes. The aim of this project was to evaluate the compliance of the ICU teams with the invasive candidosis guideline and the impact of the AFS programme on mortality and antifungal consumption on the ICUs (total of 71 beds).All patients who were prescribed micafungin for suspected or proven invasive candidosis during 4 month audit periods in 2014 and 2016 were included. Prescriptions and patient records were reviewed against the guideline. Antifungal consumption and mortality data were analysed.The number of patients treated for invasive candidosis decreased from 39 in 2014 to 29 in 2016. This was mainly due to the reduction in patients initiated on antifungal therapy inappropriately: 18 in 2014 and 2 in 2016. Antifungal therapy was stopped following negative biomarker results in 12 patients in 2014 and 10 patients in 2016. Crude mortality due to proven or probable invasive candidosis decreased to 19% from 45% over the period 2003–07. Antifungal consumption reduced by 49% from 2014 to 2016.The AFS programme was successful in reducing the number of inappropriate initiations of antifungals by 90%. Concurrently, mortality due to invasive candidosis was reduced by 58%. BDG testing can guide safe cessation of antifungals in ICU patients at risk of invasive candidosis.","author":[{"dropping-particle":"","family":"Rautemaa-Richardson","given":"R","non-dropping-particle":"","parse-names":false,"suffix":""},{"dropping-particle":"","family":"Rautemaa","given":"V","non-dropping-particle":"","parse-names":false,"suffix":""},{"dropping-particle":"","family":"Al-Wathiqi","given":"F","non-dropping-particle":"","parse-names":false,"suffix":""},{"dropping-particle":"","family":"Moore","given":"C B","non-dropping-particle":"","parse-names":false,"suffix":""},{"dropping-particle":"","family":"Craig","given":"L","non-dropping-particle":"","parse-names":false,"suffix":""},{"dropping-particle":"","family":"Felton","given":"T W","non-dropping-particle":"","parse-names":false,"suffix":""},{"dropping-particle":"","family":"Muldoon","given":"E G","non-dropping-particle":"","parse-names":false,"suffix":""}],"container-title":"Journal of Antimicrobial Chemotherapy","id":"ITEM-1","issue":"12","issued":{"date-parts":[["2018","12","1"]]},"page":"3488-3495","title":"Impact of a diagnostics-driven antifungal stewardship programme in a UK tertiary referral teaching hospital","type":"article-journal","volume":"73"},"uris":["http://www.mendeley.com/documents/?uuid=cfa6009c-334f-33d0-b2ba-b7e282ee008a"]}],"mendeley":{"formattedCitation":"(266)","plainTextFormattedCitation":"(266)","previouslyFormattedCitation":"(266)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87B9636" w14:textId="2A05BBB3" w:rsidR="00F422E5" w:rsidRPr="00EC3E91" w:rsidRDefault="00F422E5" w:rsidP="00C02742">
            <w:pPr>
              <w:rPr>
                <w:sz w:val="20"/>
                <w:szCs w:val="20"/>
                <w:lang w:val="en-US"/>
              </w:rPr>
            </w:pPr>
            <w:r w:rsidRPr="00EC3E91">
              <w:rPr>
                <w:sz w:val="20"/>
                <w:szCs w:val="20"/>
                <w:lang w:val="en-US"/>
              </w:rPr>
              <w:t>U</w:t>
            </w:r>
            <w:r w:rsidR="00A918E8" w:rsidRPr="00EC3E91">
              <w:rPr>
                <w:sz w:val="20"/>
                <w:szCs w:val="20"/>
                <w:lang w:val="en-US"/>
              </w:rPr>
              <w:t xml:space="preserve">nited </w:t>
            </w:r>
            <w:r w:rsidRPr="00EC3E91">
              <w:rPr>
                <w:sz w:val="20"/>
                <w:szCs w:val="20"/>
                <w:lang w:val="en-US"/>
              </w:rPr>
              <w:t>K</w:t>
            </w:r>
            <w:r w:rsidR="00A918E8" w:rsidRPr="00EC3E91">
              <w:rPr>
                <w:sz w:val="20"/>
                <w:szCs w:val="20"/>
                <w:lang w:val="en-US"/>
              </w:rPr>
              <w:t>ingdom</w:t>
            </w:r>
          </w:p>
        </w:tc>
        <w:tc>
          <w:tcPr>
            <w:tcW w:w="993" w:type="dxa"/>
            <w:tcBorders>
              <w:top w:val="single" w:sz="4" w:space="0" w:color="auto"/>
              <w:left w:val="nil"/>
              <w:bottom w:val="single" w:sz="4" w:space="0" w:color="auto"/>
              <w:right w:val="nil"/>
            </w:tcBorders>
            <w:hideMark/>
          </w:tcPr>
          <w:p w14:paraId="583E4A8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8BD8CEE"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4AD484A4" w14:textId="31B6BAFF" w:rsidR="00F422E5" w:rsidRPr="00EC3E91" w:rsidRDefault="00F422E5" w:rsidP="00C02742">
            <w:pPr>
              <w:rPr>
                <w:sz w:val="20"/>
                <w:szCs w:val="20"/>
                <w:lang w:val="en-US"/>
              </w:rPr>
            </w:pPr>
            <w:r w:rsidRPr="00EC3E91">
              <w:rPr>
                <w:sz w:val="20"/>
                <w:szCs w:val="20"/>
                <w:lang w:val="en-US"/>
              </w:rPr>
              <w:t>Efficacy/Cost-</w:t>
            </w:r>
            <w:r w:rsidR="009C224D" w:rsidRPr="00EC3E91">
              <w:rPr>
                <w:sz w:val="20"/>
                <w:szCs w:val="20"/>
                <w:lang w:val="en-US"/>
              </w:rPr>
              <w:t>effectiveness</w:t>
            </w:r>
          </w:p>
        </w:tc>
        <w:tc>
          <w:tcPr>
            <w:tcW w:w="1134" w:type="dxa"/>
            <w:tcBorders>
              <w:top w:val="single" w:sz="4" w:space="0" w:color="auto"/>
              <w:left w:val="nil"/>
              <w:bottom w:val="single" w:sz="4" w:space="0" w:color="auto"/>
              <w:right w:val="nil"/>
            </w:tcBorders>
            <w:hideMark/>
          </w:tcPr>
          <w:p w14:paraId="55F15CEC"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27869F4E" w14:textId="77777777" w:rsidR="00F422E5" w:rsidRPr="00EC3E91" w:rsidRDefault="00F422E5" w:rsidP="00C02742">
            <w:pPr>
              <w:rPr>
                <w:sz w:val="20"/>
                <w:szCs w:val="20"/>
                <w:lang w:val="en-US"/>
              </w:rPr>
            </w:pPr>
            <w:r w:rsidRPr="00EC3E91">
              <w:rPr>
                <w:sz w:val="20"/>
                <w:szCs w:val="20"/>
                <w:lang w:val="en-US"/>
              </w:rPr>
              <w:t>Inappropriate use of antifungals</w:t>
            </w:r>
          </w:p>
        </w:tc>
        <w:tc>
          <w:tcPr>
            <w:tcW w:w="3970" w:type="dxa"/>
            <w:tcBorders>
              <w:top w:val="single" w:sz="4" w:space="0" w:color="auto"/>
              <w:left w:val="nil"/>
              <w:bottom w:val="single" w:sz="4" w:space="0" w:color="auto"/>
              <w:right w:val="nil"/>
            </w:tcBorders>
            <w:hideMark/>
          </w:tcPr>
          <w:p w14:paraId="729A3771" w14:textId="77777777" w:rsidR="00F422E5" w:rsidRPr="00EC3E91" w:rsidRDefault="00F422E5" w:rsidP="00C02742">
            <w:pPr>
              <w:rPr>
                <w:sz w:val="20"/>
                <w:szCs w:val="20"/>
                <w:lang w:val="en-US"/>
              </w:rPr>
            </w:pPr>
            <w:r w:rsidRPr="00EC3E91">
              <w:rPr>
                <w:sz w:val="20"/>
                <w:szCs w:val="20"/>
                <w:lang w:val="en-US"/>
              </w:rPr>
              <w:t>ESCMID guideline for the diagnosis and management of Candida diseases 2012: non-neutropenic adult patients.</w:t>
            </w:r>
            <w:r w:rsidRPr="00EC3E91">
              <w:rPr>
                <w:sz w:val="20"/>
                <w:szCs w:val="20"/>
                <w:lang w:val="en-US"/>
              </w:rPr>
              <w:br/>
            </w:r>
            <w:r w:rsidRPr="00EC3E91">
              <w:rPr>
                <w:sz w:val="20"/>
                <w:szCs w:val="20"/>
                <w:lang w:val="en-US"/>
              </w:rPr>
              <w:br/>
              <w:t>NICE. Antimicrobial Stewardship Quality Standard QS121. 2016.</w:t>
            </w:r>
          </w:p>
        </w:tc>
        <w:tc>
          <w:tcPr>
            <w:tcW w:w="2551" w:type="dxa"/>
            <w:tcBorders>
              <w:top w:val="single" w:sz="4" w:space="0" w:color="auto"/>
              <w:left w:val="nil"/>
              <w:bottom w:val="single" w:sz="4" w:space="0" w:color="auto"/>
              <w:right w:val="nil"/>
            </w:tcBorders>
            <w:hideMark/>
          </w:tcPr>
          <w:p w14:paraId="214DEE87" w14:textId="77777777" w:rsidR="00F422E5" w:rsidRPr="00EC3E91" w:rsidRDefault="00F422E5" w:rsidP="00C02742">
            <w:pPr>
              <w:rPr>
                <w:sz w:val="20"/>
                <w:szCs w:val="20"/>
                <w:lang w:val="en-US"/>
              </w:rPr>
            </w:pPr>
            <w:r w:rsidRPr="00EC3E91">
              <w:rPr>
                <w:sz w:val="20"/>
                <w:szCs w:val="20"/>
                <w:lang w:val="en-US"/>
              </w:rPr>
              <w:t xml:space="preserve">distribute educational materials, change physical structure and equipment, develop educational materials, make training dynamic, identify and prepare champions </w:t>
            </w:r>
          </w:p>
        </w:tc>
      </w:tr>
      <w:tr w:rsidR="00A918E8" w:rsidRPr="00E119DD" w14:paraId="08518C4A" w14:textId="77777777" w:rsidTr="00F422E5">
        <w:trPr>
          <w:trHeight w:val="2235"/>
        </w:trPr>
        <w:tc>
          <w:tcPr>
            <w:tcW w:w="993" w:type="dxa"/>
            <w:tcBorders>
              <w:top w:val="single" w:sz="4" w:space="0" w:color="auto"/>
              <w:left w:val="nil"/>
              <w:bottom w:val="single" w:sz="4" w:space="0" w:color="auto"/>
              <w:right w:val="nil"/>
            </w:tcBorders>
          </w:tcPr>
          <w:p w14:paraId="1F456ED5" w14:textId="31E2589E" w:rsidR="00A918E8" w:rsidRPr="00EC3E91" w:rsidRDefault="00294D8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{"citationItems":[{"id":"ITEM-1","itemData":{"DOI":"10.1016/j.jacr.2020.02.011","ISSN":"1546-1440","author":[{"dropping-particle":"","family":"Rezaii","given":"Paymon G","non-dropping-particle":"","parse-names":false,"suffix":""},{"dropping-particle":"","family":"Fredericks","given":"Nancy","non-dropping-particle":"","parse-names":false,"suffix":""},{"dropping-particle":"","family":"Lincoln","given":"Christie M","non-dropping-particle":"","parse-names":false,"suffix":""},{"dropping-particle":"","family":"Hom","given":"Jason","non-dropping-particle":"","parse-names":false,"suffix":""},{"dropping-particle":"","family":"Willis","given":"Marc","non-dropping-particle":"","parse-names":false,"suffix":""},{"dropping-particle":"","family":"Burleson","given":"Judy","non-dropping-particle":"","parse-names":false,"suffix":""},{"dropping-particle":"","family":"Haines","given":"G Rebecca","non-dropping-particle":"","parse-names":false,"suffix":""},{"dropping-particle":"","family":"Chatfield","given":"Mythreyi","non-dropping-particle":"","parse-names":false,"suffix":""},{"dropping-particle":"","family":"Boothroyd","given":"Derek","non-dropping-particle":"","parse-names":false,"suffix":""},{"dropping-particle":"","family":"Ding","given":"Victoria Y","non-dropping-particle":"","parse-names":false,"suffix":""},{"dropping-particle":"","family":"Bello","given":"Jacqueline A","non-dropping-particle":"","parse-names":false,"suffix":""},{"dropping-particle":"","family":"McGinty","given":"Geraldine B","non-dropping-particle":"","parse-names":false,"suffix":""},{"dropping-particle":"","family":"Smith","given":"Cynthia (Daisy)","non-dropping-particle":"","parse-names":false,"suffix":""},{"dropping-particle":"","family":"Yucel","given":"E Kent","non-dropping-particle":"","parse-names":false,"suffix":""},{"dropping-particle":"","family":"Hillman","given":"Bruce","non-dropping-particle":"","parse-names":false,"suffix":""},{"dropping-particle":"","family":"Thorwarth Jr.","given":"William T","non-dropping-particle":"","parse-names":false,"suffix":""},{"dropping-particle":"","family":"Wintermark","given":"Max","non-dropping-particle":"","parse-names":false,"suffix":""}],"container-title":"Journal of the American College of Radiology","id":"ITEM-1","issue":"5","issued":{"date-parts":[["2020","5","1"]]},"page":"597-605","publisher":"Elsevier","title":"Assessment of the Radiology Support, Communication and Alignment Network to Reduce Medical Imaging Overutilization: A Multipractice Cohort Study","type":"article-journal","volume":"17"},"uris":["http://www.mendeley.com/documents/?uuid=bf08efb8-f679-309c-9f56-fe6dcac10a54"]}],"mendeley":{"formattedCitation":"(267)","plainTextFormattedCitation":"(267)","previouslyFormattedCitation":"(267)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(267)</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45B9B2AD" w14:textId="39751491" w:rsidR="00A918E8" w:rsidRPr="00EC3E91" w:rsidRDefault="001659A6"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tcPr>
          <w:p w14:paraId="00088226" w14:textId="1CAE4485" w:rsidR="00A918E8" w:rsidRPr="00EC3E91" w:rsidRDefault="001659A6"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tcPr>
          <w:p w14:paraId="6175A37A" w14:textId="6668743B" w:rsidR="00A918E8" w:rsidRPr="00EC3E91" w:rsidRDefault="001659A6" w:rsidP="00C02742">
            <w:pPr>
              <w:rPr>
                <w:sz w:val="20"/>
                <w:szCs w:val="20"/>
                <w:lang w:val="en-US"/>
              </w:rPr>
            </w:pPr>
            <w:r w:rsidRPr="00EC3E91">
              <w:rPr>
                <w:sz w:val="20"/>
                <w:szCs w:val="20"/>
                <w:lang w:val="en-US"/>
              </w:rPr>
              <w:t>Quant Pre-post</w:t>
            </w:r>
          </w:p>
        </w:tc>
        <w:tc>
          <w:tcPr>
            <w:tcW w:w="851" w:type="dxa"/>
            <w:tcBorders>
              <w:top w:val="single" w:sz="4" w:space="0" w:color="auto"/>
              <w:left w:val="nil"/>
              <w:bottom w:val="single" w:sz="4" w:space="0" w:color="auto"/>
              <w:right w:val="nil"/>
            </w:tcBorders>
          </w:tcPr>
          <w:p w14:paraId="790D5796" w14:textId="54829491" w:rsidR="00A918E8" w:rsidRPr="00EC3E91" w:rsidRDefault="001659A6"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0FE5FBEC" w14:textId="62A15094" w:rsidR="00A918E8" w:rsidRPr="00EC3E91" w:rsidRDefault="007C072D"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tcPr>
          <w:p w14:paraId="04FE4BE7" w14:textId="63EBDF8F" w:rsidR="00A918E8" w:rsidRPr="00EC3E91" w:rsidRDefault="007C072D" w:rsidP="00C02742">
            <w:pPr>
              <w:rPr>
                <w:sz w:val="20"/>
                <w:szCs w:val="20"/>
                <w:lang w:val="en-US"/>
              </w:rPr>
            </w:pPr>
            <w:r w:rsidRPr="00EC3E91">
              <w:rPr>
                <w:sz w:val="20"/>
                <w:szCs w:val="20"/>
                <w:lang w:val="en-US"/>
              </w:rPr>
              <w:t>Inappropriate imagin</w:t>
            </w:r>
            <w:r w:rsidR="00D90E7C" w:rsidRPr="00EC3E91">
              <w:rPr>
                <w:sz w:val="20"/>
                <w:szCs w:val="20"/>
                <w:lang w:val="en-US"/>
              </w:rPr>
              <w:t>g</w:t>
            </w:r>
          </w:p>
        </w:tc>
        <w:tc>
          <w:tcPr>
            <w:tcW w:w="3970" w:type="dxa"/>
            <w:tcBorders>
              <w:top w:val="single" w:sz="4" w:space="0" w:color="auto"/>
              <w:left w:val="nil"/>
              <w:bottom w:val="single" w:sz="4" w:space="0" w:color="auto"/>
              <w:right w:val="nil"/>
            </w:tcBorders>
          </w:tcPr>
          <w:p w14:paraId="0D9995F3" w14:textId="77777777" w:rsidR="007C072D" w:rsidRPr="00EC3E91" w:rsidRDefault="007C072D" w:rsidP="007C072D">
            <w:pPr>
              <w:rPr>
                <w:sz w:val="20"/>
                <w:szCs w:val="20"/>
                <w:lang w:val="en-US"/>
              </w:rPr>
            </w:pPr>
            <w:r w:rsidRPr="00EC3E91">
              <w:rPr>
                <w:sz w:val="20"/>
                <w:szCs w:val="20"/>
                <w:lang w:val="en-US"/>
              </w:rPr>
              <w:t>Choosing Wisely</w:t>
            </w:r>
          </w:p>
          <w:p w14:paraId="581A45DF" w14:textId="77777777" w:rsidR="007C072D" w:rsidRPr="00EC3E91" w:rsidRDefault="007C072D" w:rsidP="007C072D">
            <w:pPr>
              <w:rPr>
                <w:sz w:val="20"/>
                <w:szCs w:val="20"/>
                <w:lang w:val="en-US"/>
              </w:rPr>
            </w:pPr>
          </w:p>
          <w:p w14:paraId="2AB2951E" w14:textId="02F75781" w:rsidR="00A918E8" w:rsidRPr="00EC3E91" w:rsidRDefault="007C072D" w:rsidP="007C072D">
            <w:pPr>
              <w:rPr>
                <w:sz w:val="20"/>
                <w:szCs w:val="20"/>
                <w:lang w:val="en-US"/>
              </w:rPr>
            </w:pPr>
            <w:r w:rsidRPr="00EC3E91">
              <w:rPr>
                <w:sz w:val="20"/>
                <w:szCs w:val="20"/>
                <w:lang w:val="en-US"/>
              </w:rPr>
              <w:t>American College of Radiology. ACR Appropriateness Criteria</w:t>
            </w:r>
          </w:p>
        </w:tc>
        <w:tc>
          <w:tcPr>
            <w:tcW w:w="2551" w:type="dxa"/>
            <w:tcBorders>
              <w:top w:val="single" w:sz="4" w:space="0" w:color="auto"/>
              <w:left w:val="nil"/>
              <w:bottom w:val="single" w:sz="4" w:space="0" w:color="auto"/>
              <w:right w:val="nil"/>
            </w:tcBorders>
          </w:tcPr>
          <w:p w14:paraId="200F5C38" w14:textId="04B5CA7B" w:rsidR="00A918E8" w:rsidRPr="00EC3E91" w:rsidRDefault="00506AC8" w:rsidP="00C02742">
            <w:pPr>
              <w:rPr>
                <w:sz w:val="20"/>
                <w:szCs w:val="20"/>
                <w:lang w:val="en-US"/>
              </w:rPr>
            </w:pPr>
            <w:r w:rsidRPr="00EC3E91">
              <w:rPr>
                <w:sz w:val="20"/>
                <w:szCs w:val="20"/>
                <w:lang w:val="en-US"/>
              </w:rPr>
              <w:t>make training dynamic, develop educational materials, audit and provide feedback, conduct local needs assessment</w:t>
            </w:r>
          </w:p>
        </w:tc>
      </w:tr>
      <w:tr w:rsidR="00F422E5" w:rsidRPr="00E119DD" w14:paraId="2E03CCD5" w14:textId="77777777" w:rsidTr="00F422E5">
        <w:trPr>
          <w:trHeight w:val="2235"/>
        </w:trPr>
        <w:tc>
          <w:tcPr>
            <w:tcW w:w="993" w:type="dxa"/>
            <w:tcBorders>
              <w:top w:val="single" w:sz="4" w:space="0" w:color="auto"/>
              <w:left w:val="nil"/>
              <w:bottom w:val="single" w:sz="4" w:space="0" w:color="auto"/>
              <w:right w:val="nil"/>
            </w:tcBorders>
          </w:tcPr>
          <w:p w14:paraId="1B200AAE" w14:textId="58AFE394" w:rsidR="00F422E5" w:rsidRPr="00EC3E91" w:rsidRDefault="00D90E7C"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{"citationItems":[{"id":"ITEM-1","itemData":{"ISSN":"2047-9964 2047-9956","abstract":"Objectives To determine the prevalence of inappropriate prescribing in elderly patients with polypharmacy admitted to a long-term care hospital (LTCH) and to evaluate the impact of an interdisciplinary pharmacotherapy quality programme on improvement of prescribing appropriateness. Methods An interventional, longitudinal, prospective study was conducted in a Spanish LTCH (October 2013 to July 2014) including 162 elderly (≥70 years) patients with polypharmacy (≥5 medications). Pharmacists conducted the pharmacotherapy follow-up of patients with medication reconciliation, pharmacotherapeutic optimisation and educational interviews from admission to discharge. Reconciliation errors, potentially inappropriate medications (PIMs), potentially prescribing omissions (PPOs) and significant drug interactions rates were calculated. The impact of the programme was evaluated considering the difference between the inappropriateness score per patient (total number of reconciliation errors, PIMs, PPOs and significant drug interactions) before and after implementing pharmacotherapy recommendations. Results At admission, 163 reconciliation errors (median(range), 1(1-6)) in 92 (56.8%) patients (65.6% drug omissions), 335 PIMs (2(1-6)) in 147 (90.7%) patients (39.3% use ≥2 anticholinergic drugs), 43 PPOs (1(1-3)) in 32 (19.8%) patients (48.5% statin omission) and 594 significant drug interactions (4(1-19)) in 130 (80.2%) patients were detected. After implementing pharmacotherapy recommendations, statistically significant reductions in admission reconciliation errors (8.3% to 0.1%), PIMs (17.0% to 12.2%), PPOs (2.2% to 0.7%) and significant drug interactions (30.2% to 26.8%) rates were found. The programme achieved a 31% improvement in prescribing appropriateness, with a statistically significant reduction in the inappropriateness score (6(IQR:4-9) to 4(IQR:2-7)). Conclusion Reconciliation errors, PIMs and drug interactions are highly prevalent in elderly patients with polypharmacy admitted to an LTCH. This interdisciplinary pharmacotherapy quality programme seems to be a useful approach in the improvement of prescribing appropriateness in a high-risk older population.","author":[{"dropping-particle":"","family":"Ruiz-Millo","given":"O","non-dropping-particle":"","parse-names":false,"suffix":""},{"dropping-particle":"","family":"Climente-Martí","given":"M","non-dropping-particle":"","parse-names":false,"suffix":""},{"dropping-particle":"","family":"Navarro-Sanz","given":"J R","non-dropping-particle":"","parse-names":false,"suffix":""}],"container-title":"European Journal of Hospital Pharmacy","id":"ITEM-1","issue":"5","issued":{"date-parts":[["2018"]]},"language":"English","page":"267-273","publisher-place":"O. Ruiz-Millo, Servicio de Farmacia, Hospital Universitario Doctor Peset, Valencia, Spain","title":"Improvement on prescribing appropriateness after implementing an interdisciplinary pharmacotherapy quality programme in a long-term care hospital","type":"article-journal","volume":"25"},"uris":["http://www.mendeley.com/documents/?uuid=ce40bac9-75f7-3bf0-9a42-b04fe6be5d58"]}],"mendeley":{"formattedCitation":"(268)","plainTextFormattedCitation":"(268)","previouslyFormattedCitation":"(268)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746726E"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24A0A8C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27874D9"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2278166"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09BF45A"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9FA19C7"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ABBD583"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42FAE3D9"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audit and provide feedback, develop educational materials, develop and implement tools for quality monitoring </w:t>
            </w:r>
          </w:p>
        </w:tc>
      </w:tr>
      <w:tr w:rsidR="00F422E5" w:rsidRPr="00E119DD" w14:paraId="207D2BA9" w14:textId="77777777" w:rsidTr="00F422E5">
        <w:trPr>
          <w:trHeight w:val="2235"/>
        </w:trPr>
        <w:tc>
          <w:tcPr>
            <w:tcW w:w="993" w:type="dxa"/>
            <w:tcBorders>
              <w:top w:val="single" w:sz="4" w:space="0" w:color="auto"/>
              <w:left w:val="nil"/>
              <w:bottom w:val="single" w:sz="4" w:space="0" w:color="auto"/>
              <w:right w:val="nil"/>
            </w:tcBorders>
          </w:tcPr>
          <w:p w14:paraId="62D5C86A" w14:textId="0A8183CA" w:rsidR="00F422E5" w:rsidRPr="00EC3E91" w:rsidRDefault="00462DD1"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{"citationItems":[{"id":"ITEM-1","itemData":{"DOI":"10.1001/jamapsychiatry.2018.1867","ISSN":"2168622X","PMID":"30073273","abstract":"Importance: Antipsychotic agents, such as quetiapine fumarate, are frequently overprescribed for indications not supported by clinical evidence, potentially causing harm. Objective: To investigate if peer comparison letters targeting high-volume primary care prescribers of quetiapine meaningfully reduce their prescribing. Design, Setting, and Participants: Randomized clinical trial (intent to treat) conducted from 2015 to 2017 of prescribers and their patients nationwide in the Medicare program. The trial targeted the 5055 highest-volume primary care prescribers of quetiapine in 2013 and 2014 (approximately 5% of all primary care prescribers of quetiapine). Interventions: Prescribers were randomized (1:1 ratio) to receive a placebo letter or 3 peer comparison letters stating that their quetiapine prescribing was high relative to their peers and was under review by Medicare. Main Outcomes and Measures: The primary outcome was the total quetiapine days supplied by prescribers from the intervention start to 9 months. Secondary outcomes included quetiapine receipt from all prescribers by baseline patients, quetiapine receipt by patients with low-value or guideline-concordant indications for therapy, mortality, and hospital use. In exploratory analyses, the study followed outcomes to 2 years. Results: Of the 5055 prescribers, 231 (4.6%) were general practitioners, 2428 (48.0%) were in family medicine, and 2396 (47.4%) were in internal medicine; 4155 (82.2%) were male. All were included in the analyses. Over 9 months, the treatment arm supplied 11.1% fewer quetiapine days per prescriber vs the control arm (2456 vs 2864 days; percentage difference, 11.1% fewer days; 95% CI, -13.1% to -9.2% days; P &lt;.001; adjusted difference, -319 days; 95% CI, -374 to -263 days; P &lt;.001), which persisted through 2 years (15.6% fewer days; 95% CI, -18.1% to -13.0%; P &lt;.001). At the patient level, individuals in the treatment arm received 3.9% (95% CI, -5.0% to -2.9%; P &lt;.001) fewer days of quetiapine from all prescribers over 9 months, with a larger decrease among patients with low-value vs guideline-concordant indications (-5.9% [95% CI, -8.0% to -3.9%] vs -2.4% [95% CI, -4.0% to -0.9%], P =.01 for test that effects were equal for both patient groups). There was no evidence of substitution to other antipsychotics, and 9-month mortality and hospital use were similar between the treatment vs control arms. Conclusions and Relevance: Peer comparison letters caused substantial and …","author":[{"dropping-particle":"","family":"Sacarny","given":"Adam","non-dropping-particle":"","parse-names":false,"suffix":""},{"dropping-particle":"","family":"Barnett","given":"Michael L.","non-dropping-particle":"","parse-names":false,"suffix":""},{"dropping-particle":"","family":"Le","given":"Jackson","non-dropping-particle":"","parse-names":false,"suffix":""},{"dropping-particle":"","family":"Tetkoski","given":"Frank","non-dropping-particle":"","parse-names":false,"suffix":""},{"dropping-particle":"","family":"Yokum","given":"David","non-dropping-particle":"","parse-names":false,"suffix":""},{"dropping-particle":"","family":"Agrawal","given":"Shantanu","non-dropping-particle":"","parse-names":false,"suffix":""}],"container-title":"JAMA Psychiatry","id":"ITEM-1","issue":"10","issued":{"date-parts":[["2018","10","1"]]},"page":"1003-1011","publisher":"American Medical Association","title":"Effect of Peer Comparison Letters for High-Volume Primary Care Prescribers of Quetiapine in Older and Disabled Adults: A Randomized Clinical Trial","type":"article-journal","volume":"75"},"uris":["http://www.mendeley.com/documents/?uuid=76b03df2-4edd-3886-a182-4116d9db6452"]}],"mendeley":{"formattedCitation":"(269)","plainTextFormattedCitation":"(269)","previouslyFormattedCitation":"(269)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(269)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E767DD3"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2C5D008"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59CAAE94"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4F983E4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E9A13D2" w14:textId="4291A523" w:rsidR="00F422E5" w:rsidRPr="00EC3E91" w:rsidRDefault="009C224D"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17F71397" w14:textId="77777777" w:rsidR="00F422E5" w:rsidRPr="00EC3E91" w:rsidRDefault="00F422E5" w:rsidP="00C02742">
            <w:pPr>
              <w:rPr>
                <w:sz w:val="20"/>
                <w:szCs w:val="20"/>
                <w:lang w:val="en-US"/>
              </w:rPr>
            </w:pPr>
            <w:r w:rsidRPr="00EC3E91">
              <w:rPr>
                <w:sz w:val="20"/>
                <w:szCs w:val="20"/>
                <w:lang w:val="en-US"/>
              </w:rPr>
              <w:t>Inappropriate prescribing of antipsychotic agents</w:t>
            </w:r>
          </w:p>
        </w:tc>
        <w:tc>
          <w:tcPr>
            <w:tcW w:w="3970" w:type="dxa"/>
            <w:tcBorders>
              <w:top w:val="single" w:sz="4" w:space="0" w:color="auto"/>
              <w:left w:val="nil"/>
              <w:bottom w:val="single" w:sz="4" w:space="0" w:color="auto"/>
              <w:right w:val="nil"/>
            </w:tcBorders>
            <w:hideMark/>
          </w:tcPr>
          <w:p w14:paraId="7CB75973" w14:textId="77777777" w:rsidR="00F422E5" w:rsidRPr="00EC3E91" w:rsidRDefault="00F422E5" w:rsidP="00C02742">
            <w:pPr>
              <w:rPr>
                <w:sz w:val="20"/>
                <w:szCs w:val="20"/>
                <w:lang w:val="en-US"/>
              </w:rPr>
            </w:pPr>
            <w:r w:rsidRPr="00EC3E91">
              <w:rPr>
                <w:sz w:val="20"/>
                <w:szCs w:val="20"/>
                <w:lang w:val="en-US"/>
              </w:rPr>
              <w:t xml:space="preserve">Choosing Wisely, </w:t>
            </w:r>
            <w:r w:rsidRPr="00EC3E91">
              <w:rPr>
                <w:sz w:val="20"/>
                <w:szCs w:val="20"/>
                <w:lang w:val="en-US"/>
              </w:rPr>
              <w:br/>
            </w:r>
            <w:r w:rsidRPr="00EC3E91">
              <w:rPr>
                <w:sz w:val="20"/>
                <w:szCs w:val="20"/>
                <w:lang w:val="en-US"/>
              </w:rPr>
              <w:br/>
              <w:t>FDA, 2016</w:t>
            </w:r>
            <w:r w:rsidRPr="00EC3E91">
              <w:rPr>
                <w:sz w:val="20"/>
                <w:szCs w:val="20"/>
                <w:lang w:val="en-US"/>
              </w:rPr>
              <w:br/>
            </w:r>
            <w:r w:rsidRPr="00EC3E91">
              <w:rPr>
                <w:sz w:val="20"/>
                <w:szCs w:val="20"/>
                <w:lang w:val="en-US"/>
              </w:rPr>
              <w:br/>
              <w:t>Beers Criteria</w:t>
            </w:r>
          </w:p>
        </w:tc>
        <w:tc>
          <w:tcPr>
            <w:tcW w:w="2551" w:type="dxa"/>
            <w:tcBorders>
              <w:top w:val="single" w:sz="4" w:space="0" w:color="auto"/>
              <w:left w:val="nil"/>
              <w:bottom w:val="single" w:sz="4" w:space="0" w:color="auto"/>
              <w:right w:val="nil"/>
            </w:tcBorders>
            <w:hideMark/>
          </w:tcPr>
          <w:p w14:paraId="20EF8990" w14:textId="77777777" w:rsidR="00F422E5" w:rsidRPr="00EC3E91" w:rsidRDefault="00F422E5" w:rsidP="00C02742">
            <w:pPr>
              <w:rPr>
                <w:sz w:val="20"/>
                <w:szCs w:val="20"/>
                <w:lang w:val="en-US"/>
              </w:rPr>
            </w:pPr>
            <w:r w:rsidRPr="00EC3E91">
              <w:rPr>
                <w:sz w:val="20"/>
                <w:szCs w:val="20"/>
                <w:lang w:val="en-US"/>
              </w:rPr>
              <w:t xml:space="preserve">audit and provide feedback </w:t>
            </w:r>
          </w:p>
        </w:tc>
      </w:tr>
      <w:tr w:rsidR="00F422E5" w:rsidRPr="00E119DD" w14:paraId="42B43324" w14:textId="77777777" w:rsidTr="00F422E5">
        <w:trPr>
          <w:trHeight w:val="2235"/>
        </w:trPr>
        <w:tc>
          <w:tcPr>
            <w:tcW w:w="993" w:type="dxa"/>
            <w:tcBorders>
              <w:top w:val="single" w:sz="4" w:space="0" w:color="auto"/>
              <w:left w:val="nil"/>
              <w:bottom w:val="single" w:sz="4" w:space="0" w:color="auto"/>
              <w:right w:val="nil"/>
            </w:tcBorders>
          </w:tcPr>
          <w:p w14:paraId="7D00BDC5" w14:textId="25A502B0" w:rsidR="00F422E5" w:rsidRPr="00EC3E91" w:rsidRDefault="00D55A1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{"citationItems":[{"id":"ITEM-1","itemData":{"DOI":"10.1016/J.MEDCLI.2020.04.030","ISSN":"0025-7753","PMID":"32593414","abstract":"Background and objective: To analyse the impact of an integrated health intervention focused on polypharmacy and inappropriate prescribing (IP) in elderly people with multimorbidity. Material and methods: Patients were referred for assessment and intervention from primary care or hospital to an interdisciplinary team composed of primary and hospital medical staff and nurses. Pharmacological assessment was centred on polypharmacy and IP using the STOPP/START criteria. Changes in polypharmacy and in IP were analysed at the end of the intervention and at 6 months. Results: One hundred consecutive patients (mean (SD) age 81.5(8.0) years, 54(54%) male) were analysed. Mean prescribed medicines at baseline was &gt; 10. There were no significant changes at the end of the intervention and at 6 months. The proportion of patients with two or more STOPP criteria reduced from 37% at the beginning of the intervention to 18% at the end (p&lt; .001), and the proportion of those with START criteria from 13% to 6% (p = .004). These differences persisted at 6 months. The number of STOPP and START criteria before the intervention was associated with a decrease in the STOPP and START criteria at the end of the intervention and at 6 months. A reduction in polypharmacy (p= .041) and in falls (p= .034) was observed at 6 months in those with a decrease in the STOPP criteria at the end of the intervention. Conclusions: An integrated health intervention centred on polypharmacy and IP in elderly people improves inappropriate prescribing that persists beyond the intervention.","author":[{"dropping-particle":"","family":"San-José","given":"Antonio","non-dropping-particle":"","parse-names":false,"suffix":""},{"dropping-particle":"","family":"Pérez-Bocanegra","given":"Carmen","non-dropping-particle":"","parse-names":false,"suffix":""},{"dropping-particle":"","family":"Agustí","given":"Antonia","non-dropping-particle":"","parse-names":false,"suffix":""},{"dropping-particle":"","family":"Laorden","given":"Helena","non-dropping-particle":"","parse-names":false,"suffix":""},{"dropping-particle":"","family":"Gost","given":"Jordi","non-dropping-particle":"","parse-names":false,"suffix":""},{"dropping-particle":"","family":"Vidal","given":"Xavier","non-dropping-particle":"","parse-names":false,"suffix":""},{"dropping-particle":"","family":"Oropeza","given":"Vanessa","non-dropping-particle":"","parse-names":false,"suffix":""},{"dropping-particle":"","family":"Romero","given":"Rosa","non-dropping-particle":"","parse-names":false,"suffix":""}],"container-title":"Medicina Clínica","id":"ITEM-1","issue":"6","issued":{"date-parts":[["2021","3","26"]]},"page":"263-269","publisher":"Elsevier Doyma","title":"Integrated health intervention on polypharmacy and inappropriate prescribing in elderly people with multimorbidity: Results at the end of the intervention and at 6 months after the intervention","type":"article-journal","volume":"156"},"uris":["http://www.mendeley.com/documents/?uuid=2e8edca5-aa22-3cdb-a8d8-45d67318a7b7"]}],"mendeley":{"formattedCitation":"(270)","plainTextFormattedCitation":"(270)","previouslyFormattedCitation":"(270)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07D246E"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7BEB5F28"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FAE8183"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34AB3B5C"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810F7D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DFFB3AA"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59C5713"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19C55756"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develop educational materials, </w:t>
            </w:r>
          </w:p>
        </w:tc>
      </w:tr>
      <w:tr w:rsidR="00F422E5" w:rsidRPr="00E119DD" w14:paraId="39CCF26C" w14:textId="77777777" w:rsidTr="00F422E5">
        <w:trPr>
          <w:trHeight w:val="2235"/>
        </w:trPr>
        <w:tc>
          <w:tcPr>
            <w:tcW w:w="993" w:type="dxa"/>
            <w:tcBorders>
              <w:top w:val="single" w:sz="4" w:space="0" w:color="auto"/>
              <w:left w:val="nil"/>
              <w:bottom w:val="single" w:sz="4" w:space="0" w:color="auto"/>
              <w:right w:val="nil"/>
            </w:tcBorders>
          </w:tcPr>
          <w:p w14:paraId="161ACF10" w14:textId="56E68E00" w:rsidR="00F422E5" w:rsidRPr="00EC3E91" w:rsidRDefault="00D55A1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{"citationItems":[{"id":"ITEM-1","itemData":{"DOI":"https://doi.org/10.1111/jgs.16388","ISSN":"0002-8614","abstract":"OBJECTIVES Older adults are often prescribed potentially inappropriate medications associated with adverse health outcomes and increased health services utilization. Developing Pharmacist-led Research to Educate and Sensitize Community Residents to the Inappropriate Prescriptions Burden in the Elderly (D-PRESCRIBE), a pragmatic randomized clinical trial, demonstrated how a community pharmacist-led evidence-based educational intervention successfully empowered community-dwelling older adults and their physicians to reduce chronic use of inappropriate medications. The objective of this study was to evaluate the cost-effectiveness of the D-PRESCRIBE intervention for discontinuing nonsteroidal anti-inflammatory drugs (NSAIDs). DESIGN Cost-effectiveness analysis. SETTING Canada. PARTICIPANTS Community-dwelling adults aged 65 years and older. MEASUREMENTS Decision analysis combining decision tree and Markov state transition modeling was developed to estimate the cost-effectiveness of D-PRESCRIBE (NSAIDs) compared with usual care from a Canadian healthcare system perspective with a time horizon of 1 year. Data from the D-PRESCRIBE trial and published literature were used to calculate effectiveness, utilities, and costs. Reference case and scenario analyses were conducted using probabilistic modeling. Sensitivity analyses assessed the robustness of the reference case model. RESULTS D-PRESCRIBE (NSAIDs) was less costly (?$1008.61) and more effective (.11 quality-adjusted life-years [QALYs]) than usual care and was the dominant strategy. At willingness-to-pay thresholds of $50?000 per QALY and $100?000 per QALY, D-PRESCRIBE (NSAIDs) incurred a positive incremental net benefit compared with usual care, suggesting it is cost-effective. Compared with the reference case, scenario analyses gave comparable QALYs with modest variation in cost estimates. CONCLUSION For community-dwelling older adults, D-PRESCRIBE (NSAIDs) provides greater benefits at lower system costs, making it a compelling strategy to reduce the use and harms associated with chronic NSAID consumption. Our findings support reimbursing community pharmacists? clinical professional services for deprescribing inappropriate NSAIDs in community-dwelling older adults. J Am Geriatr Soc 68:1090?1097, 2020","author":[{"dropping-particle":"","family":"Sanyal","given":"Chiranjeev","non-dropping-particle":"","parse-names":false,"suffix":""},{"dropping-particle":"","family":"Turner","given":"Justin P","non-dropping-particle":"","parse-names":false,"suffix":""},{"dropping-particle":"","family":"Martin","given":"Philippe","non-dropping-particle":"","parse-names":false,"suffix":""},{"dropping-particle":"","family":"Tannenbaum","given":"Cara","non-dropping-particle":"","parse-names":false,"suffix":""}],"container-title":"Journal of the American Geriatrics Society","id":"ITEM-1","issue":"5","issued":{"date-parts":[["2020","5","1"]]},"page":"1090-1097","publisher":"John Wiley &amp; Sons, Ltd","title":"Cost-Effectiveness of Pharmacist-Led Deprescribing of NSAIDs in Community-Dwelling Older Adults","type":"article-journal","volume":"68"},"uris":["http://www.mendeley.com/documents/?uuid=ea2b0032-74df-3fad-b709-4743866f53a9"]}],"mendeley":{"formattedCitation":"(271)","plainTextFormattedCitation":"(271)","previouslyFormattedCitation":"(271)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D864A45"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43DBE80C"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661E9ED"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55581392" w14:textId="77777777" w:rsidR="00F422E5" w:rsidRPr="00EC3E91" w:rsidRDefault="00F422E5" w:rsidP="00C02742">
            <w:pPr>
              <w:rPr>
                <w:sz w:val="20"/>
                <w:szCs w:val="20"/>
                <w:lang w:val="en-US"/>
              </w:rPr>
            </w:pPr>
            <w:r w:rsidRPr="00EC3E91">
              <w:rPr>
                <w:sz w:val="20"/>
                <w:szCs w:val="20"/>
                <w:lang w:val="en-US"/>
              </w:rPr>
              <w:t xml:space="preserve">Cost-effectiveness </w:t>
            </w:r>
          </w:p>
        </w:tc>
        <w:tc>
          <w:tcPr>
            <w:tcW w:w="1134" w:type="dxa"/>
            <w:tcBorders>
              <w:top w:val="single" w:sz="4" w:space="0" w:color="auto"/>
              <w:left w:val="nil"/>
              <w:bottom w:val="single" w:sz="4" w:space="0" w:color="auto"/>
              <w:right w:val="nil"/>
            </w:tcBorders>
            <w:hideMark/>
          </w:tcPr>
          <w:p w14:paraId="2EF3A626"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r w:rsidRPr="00EC3E91">
              <w:rPr>
                <w:sz w:val="20"/>
                <w:szCs w:val="20"/>
                <w:lang w:val="en-US"/>
              </w:rPr>
              <w:t xml:space="preserve"> </w:t>
            </w:r>
          </w:p>
        </w:tc>
        <w:tc>
          <w:tcPr>
            <w:tcW w:w="2126" w:type="dxa"/>
            <w:tcBorders>
              <w:top w:val="single" w:sz="4" w:space="0" w:color="auto"/>
              <w:left w:val="nil"/>
              <w:bottom w:val="single" w:sz="4" w:space="0" w:color="auto"/>
              <w:right w:val="nil"/>
            </w:tcBorders>
            <w:hideMark/>
          </w:tcPr>
          <w:p w14:paraId="5439DF0A" w14:textId="77777777" w:rsidR="00F422E5" w:rsidRPr="00EC3E91" w:rsidRDefault="00F422E5" w:rsidP="00C02742">
            <w:pPr>
              <w:rPr>
                <w:sz w:val="20"/>
                <w:szCs w:val="20"/>
                <w:lang w:val="en-US"/>
              </w:rPr>
            </w:pPr>
            <w:r w:rsidRPr="00EC3E91">
              <w:rPr>
                <w:sz w:val="20"/>
                <w:szCs w:val="20"/>
                <w:lang w:val="en-US"/>
              </w:rPr>
              <w:t>Inappropriate use of NSAIDs</w:t>
            </w:r>
          </w:p>
        </w:tc>
        <w:tc>
          <w:tcPr>
            <w:tcW w:w="3970" w:type="dxa"/>
            <w:tcBorders>
              <w:top w:val="single" w:sz="4" w:space="0" w:color="auto"/>
              <w:left w:val="nil"/>
              <w:bottom w:val="single" w:sz="4" w:space="0" w:color="auto"/>
              <w:right w:val="nil"/>
            </w:tcBorders>
            <w:hideMark/>
          </w:tcPr>
          <w:p w14:paraId="4B2E574D" w14:textId="68E85A14" w:rsidR="00F422E5" w:rsidRPr="00EC3E91" w:rsidRDefault="009C224D"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4BD8088D" w14:textId="572C02FB" w:rsidR="00F422E5" w:rsidRPr="00EC3E91" w:rsidRDefault="00F422E5" w:rsidP="00C02742">
            <w:pPr>
              <w:rPr>
                <w:sz w:val="20"/>
                <w:szCs w:val="20"/>
                <w:lang w:val="en-US"/>
              </w:rPr>
            </w:pPr>
            <w:r w:rsidRPr="00EC3E91">
              <w:rPr>
                <w:sz w:val="20"/>
                <w:szCs w:val="20"/>
                <w:lang w:val="en-US"/>
              </w:rPr>
              <w:t>develop educational materials, [</w:t>
            </w:r>
            <w:r w:rsidR="000243E3">
              <w:rPr>
                <w:sz w:val="20"/>
                <w:szCs w:val="20"/>
                <w:lang w:val="en-US"/>
              </w:rPr>
              <w:t>COMMUNICATION TOOL</w:t>
            </w:r>
            <w:r w:rsidRPr="00EC3E91">
              <w:rPr>
                <w:sz w:val="20"/>
                <w:szCs w:val="20"/>
                <w:lang w:val="en-US"/>
              </w:rPr>
              <w:t>]</w:t>
            </w:r>
          </w:p>
        </w:tc>
      </w:tr>
      <w:tr w:rsidR="00F422E5" w:rsidRPr="00E119DD" w14:paraId="12B6CDAD" w14:textId="77777777" w:rsidTr="00F422E5">
        <w:trPr>
          <w:trHeight w:val="2235"/>
        </w:trPr>
        <w:tc>
          <w:tcPr>
            <w:tcW w:w="993" w:type="dxa"/>
            <w:tcBorders>
              <w:top w:val="single" w:sz="4" w:space="0" w:color="auto"/>
              <w:left w:val="nil"/>
              <w:bottom w:val="single" w:sz="4" w:space="0" w:color="auto"/>
              <w:right w:val="nil"/>
            </w:tcBorders>
          </w:tcPr>
          <w:p w14:paraId="067CF3FA" w14:textId="4D281A0C" w:rsidR="00F422E5" w:rsidRPr="00EC3E91" w:rsidRDefault="00D55A1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10.1080/14740338.2019.1667330","ISSN":"1474-0338","author":[{"dropping-particle":"","family":"Sanz-Tamargo","given":"Gregorio","non-dropping-particle":"","parse-names":false,"suffix":""},{"dropping-particle":"","family":"García-Cases","given":"Sergio","non-dropping-particle":"","parse-names":false,"suffix":""},{"dropping-particle":"","family":"Navarro","given":"Andrés","non-dropping-particle":"","parse-names":false,"suffix":""},{"dropping-particle":"","family":"Lumbreras","given":"Blanca","non-dropping-particle":"","parse-names":false,"suffix":""}],"container-title":"Expert Opinion on Drug Safety","id":"ITEM-1","issue":"11","issued":{"date-parts":[["2019","11","2"]]},"page":"1091-1098","publisher":"Taylor &amp; Francis","title":"Adaptation of a deprescription intervention to the medication management of older people living in long-term care facilities","type":"article-journal","volume":"18"},"uris":["http://www.mendeley.com/documents/?uuid=db537543-5f6d-3cd1-aab1-3e07e56f7a79"]}],"mendeley":{"formattedCitation":"(272)","plainTextFormattedCitation":"(272)","previouslyFormattedCitation":"(272)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2A87007"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12DE647C"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78C19567" w14:textId="4DCC78A2" w:rsidR="00F422E5" w:rsidRPr="00EC3E91" w:rsidRDefault="00F422E5" w:rsidP="00C02742">
            <w:pPr>
              <w:rPr>
                <w:sz w:val="20"/>
                <w:szCs w:val="20"/>
                <w:lang w:val="en-US"/>
              </w:rPr>
            </w:pPr>
            <w:r w:rsidRPr="00EC3E91">
              <w:rPr>
                <w:sz w:val="20"/>
                <w:szCs w:val="20"/>
                <w:lang w:val="en-US"/>
              </w:rPr>
              <w:t>Quant Cost-</w:t>
            </w:r>
            <w:r w:rsidR="009C224D" w:rsidRPr="00EC3E91">
              <w:rPr>
                <w:sz w:val="20"/>
                <w:szCs w:val="20"/>
                <w:lang w:val="en-US"/>
              </w:rPr>
              <w:t>effectiveness</w:t>
            </w:r>
            <w:r w:rsidRPr="00EC3E91">
              <w:rPr>
                <w:sz w:val="20"/>
                <w:szCs w:val="20"/>
                <w:lang w:val="en-US"/>
              </w:rPr>
              <w:t>/Pre-post</w:t>
            </w:r>
          </w:p>
        </w:tc>
        <w:tc>
          <w:tcPr>
            <w:tcW w:w="851" w:type="dxa"/>
            <w:tcBorders>
              <w:top w:val="single" w:sz="4" w:space="0" w:color="auto"/>
              <w:left w:val="nil"/>
              <w:bottom w:val="single" w:sz="4" w:space="0" w:color="auto"/>
              <w:right w:val="nil"/>
            </w:tcBorders>
            <w:hideMark/>
          </w:tcPr>
          <w:p w14:paraId="358D95A4" w14:textId="77777777" w:rsidR="00F422E5" w:rsidRPr="00EC3E91" w:rsidRDefault="00F422E5" w:rsidP="00C02742">
            <w:pPr>
              <w:rPr>
                <w:sz w:val="20"/>
                <w:szCs w:val="20"/>
                <w:lang w:val="en-US"/>
              </w:rPr>
            </w:pPr>
            <w:r w:rsidRPr="00EC3E91">
              <w:rPr>
                <w:sz w:val="20"/>
                <w:szCs w:val="20"/>
                <w:lang w:val="en-US"/>
              </w:rPr>
              <w:t xml:space="preserve">Cost-effectiveness </w:t>
            </w:r>
          </w:p>
        </w:tc>
        <w:tc>
          <w:tcPr>
            <w:tcW w:w="1134" w:type="dxa"/>
            <w:tcBorders>
              <w:top w:val="single" w:sz="4" w:space="0" w:color="auto"/>
              <w:left w:val="nil"/>
              <w:bottom w:val="single" w:sz="4" w:space="0" w:color="auto"/>
              <w:right w:val="nil"/>
            </w:tcBorders>
            <w:hideMark/>
          </w:tcPr>
          <w:p w14:paraId="13B28CEC"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43D4F321"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5B801812" w14:textId="73079E8A"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r>
            <w:r w:rsidR="009C224D" w:rsidRPr="00EC3E91">
              <w:rPr>
                <w:sz w:val="20"/>
                <w:szCs w:val="20"/>
                <w:lang w:val="en-US"/>
              </w:rPr>
              <w:t>Beer’s</w:t>
            </w:r>
            <w:r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5C2857A2" w14:textId="77777777" w:rsidR="00F422E5" w:rsidRPr="00EC3E91" w:rsidRDefault="00F422E5" w:rsidP="00C02742">
            <w:pPr>
              <w:rPr>
                <w:sz w:val="20"/>
                <w:szCs w:val="20"/>
                <w:lang w:val="en-US"/>
              </w:rPr>
            </w:pPr>
            <w:r w:rsidRPr="00EC3E91">
              <w:rPr>
                <w:sz w:val="20"/>
                <w:szCs w:val="20"/>
                <w:lang w:val="en-US"/>
              </w:rPr>
              <w:t>develop and organize quality monitoring systems</w:t>
            </w:r>
          </w:p>
        </w:tc>
      </w:tr>
      <w:tr w:rsidR="00F422E5" w:rsidRPr="00E119DD" w14:paraId="35FABAE9" w14:textId="77777777" w:rsidTr="00F422E5">
        <w:trPr>
          <w:trHeight w:val="2235"/>
        </w:trPr>
        <w:tc>
          <w:tcPr>
            <w:tcW w:w="993" w:type="dxa"/>
            <w:tcBorders>
              <w:top w:val="single" w:sz="4" w:space="0" w:color="auto"/>
              <w:left w:val="nil"/>
              <w:bottom w:val="single" w:sz="4" w:space="0" w:color="auto"/>
              <w:right w:val="nil"/>
            </w:tcBorders>
          </w:tcPr>
          <w:p w14:paraId="09FD27F0" w14:textId="4DB91A92" w:rsidR="00F422E5" w:rsidRPr="00EC3E91" w:rsidRDefault="00D55A11"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{"citationItems":[{"id":"ITEM-1","itemData":{"DOI":"10.1001/jamanetworkopen.2019.11590","ISSN":"2574-3805","abstract":"Benzodiazepines have been a common target for policy interventions to curtail inappropriate use, with mixed results. To reduce alprazolam misuse, in February 2017, Australia delisted the 2-mg tablet strength from public subsidy, eliminated refills, and reduced the pack size from 50 tablets to 10 tablets.To describe changes in alprazolam dispensing, prescribing, and poisonings associated with the implementation of a new policy to reduce inappropriate prescription of alprazolam in Australia.This interrupted time series analysis and cross-sectional study included data from a 10% sample of Australian people who received publicly subsidized dispensing claims and prescribing approvals for alprazolam from January 1, 2015, to December 31, 2018, and all calls to a poison information service involving alprazolam from February 1, 2015, to October 31, 2018. Autoregressive error models were used to quantify changes over time and compare patterns of use before and after the intervention. Data analyses were conducted from November 2018 to May 2019.Implementation of the policy change on February 1, 2017.Monthly trends in alprazolam prescribing approvals and dispensings, quarterly trends in telephone calls involving alprazolam to a poison information service, and patterns of prescribing and dispensing before and after the intervention.From 2015 to 2018, there were 71 481 alprazolam dispensings to 6772 people. After the intervention, overall dispensing decreased by 51.2% (95% CI, 50.5%-51.9%) and prescribing approvals increased by 17.5% (95% CI, 13.0%-22.2%). Overall, the proportion of dispensing of packs of 51 to 100 tablets increased from 5776 of 24 282 dispensings (23.8%) to 4888 of 10 676 dispensings (45.8%) (risk difference [RD], 22.0% [95% CI, 19.4%-24.6%]) and dispensing of packs of more than 100 tablets increased from 1029 of 24 282 dispensings (4.2%) to 1774 of 10 676 dispensings (16.6%) (RD, 12.4% [95% CI, 10.6%-14.2%]). Among people receiving their first alprazolam prescription, initiation with packs of 10 tablets or fewer increased from 16 of 1127 people (1.4%) before the intervention to 139 of 589 people (23.6%) after the intervention (RD, 22.2% [95% CI, 18.7%-25.7%]). Alprazolam treatment initiation with packs of more than 50 tablets also increased from 63 of 1127 people (5.6%) before the intervention to 144 of 589 people (24.4%) after the intervention (RD, 18.9% [95% CI, 15.1%-22.6%]). During 1 year before the intervention, patients received a median (inte…","author":[{"dropping-particle":"","family":"Schaffer","given":"Andrea L","non-dropping-particle":"","parse-names":false,"suffix":""},{"dropping-particle":"","family":"Buckley","given":"Nicholas A","non-dropping-particle":"","parse-names":false,"suffix":""},{"dropping-particle":"","family":"Cairns","given":"Rose","non-dropping-particle":"","parse-names":false,"suffix":""},{"dropping-particle":"","family":"Pearson","given":"Sallie","non-dropping-particle":"","parse-names":false,"suffix":""}],"container-title":"JAMA Network Open","id":"ITEM-1","issue":"9","issued":{"date-parts":[["2019","9","18"]]},"page":"e1911590-e1911590","title":"Comparison of Prescribing Patterns Before and After Implementation of a National Policy to Reduce Inappropriate Alprazolam Prescribing in Australia","type":"article-journal","volume":"2"},"uris":["http://www.mendeley.com/documents/?uuid=e1358f46-0ca8-3e18-9d50-4ae59468949c"]}],"mendeley":{"formattedCitation":"(273)","plainTextFormattedCitation":"(273)","previouslyFormattedCitation":"(273)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FF1DD9B"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0CCF5EB9"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0A71A9C4" w14:textId="77777777" w:rsidR="00F422E5" w:rsidRPr="00EC3E91" w:rsidRDefault="00F422E5" w:rsidP="00C02742">
            <w:pPr>
              <w:rPr>
                <w:sz w:val="20"/>
                <w:szCs w:val="20"/>
                <w:lang w:val="en-US"/>
              </w:rPr>
            </w:pPr>
            <w:r w:rsidRPr="00EC3E91">
              <w:rPr>
                <w:sz w:val="20"/>
                <w:szCs w:val="20"/>
                <w:lang w:val="en-US"/>
              </w:rPr>
              <w:t>Quant Cross-sectional</w:t>
            </w:r>
          </w:p>
        </w:tc>
        <w:tc>
          <w:tcPr>
            <w:tcW w:w="851" w:type="dxa"/>
            <w:tcBorders>
              <w:top w:val="single" w:sz="4" w:space="0" w:color="auto"/>
              <w:left w:val="nil"/>
              <w:bottom w:val="single" w:sz="4" w:space="0" w:color="auto"/>
              <w:right w:val="nil"/>
            </w:tcBorders>
            <w:hideMark/>
          </w:tcPr>
          <w:p w14:paraId="458A6D6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A945199" w14:textId="4701ED7A" w:rsidR="00F422E5" w:rsidRPr="00EC3E91" w:rsidRDefault="009C224D" w:rsidP="00C02742">
            <w:pPr>
              <w:rPr>
                <w:sz w:val="20"/>
                <w:szCs w:val="20"/>
                <w:lang w:val="en-US"/>
              </w:rPr>
            </w:pPr>
            <w:r w:rsidRPr="00EC3E91">
              <w:rPr>
                <w:sz w:val="20"/>
                <w:szCs w:val="20"/>
                <w:lang w:val="en-US"/>
              </w:rPr>
              <w:t>Anti-psychotics</w:t>
            </w:r>
          </w:p>
        </w:tc>
        <w:tc>
          <w:tcPr>
            <w:tcW w:w="2126" w:type="dxa"/>
            <w:tcBorders>
              <w:top w:val="single" w:sz="4" w:space="0" w:color="auto"/>
              <w:left w:val="nil"/>
              <w:bottom w:val="single" w:sz="4" w:space="0" w:color="auto"/>
              <w:right w:val="nil"/>
            </w:tcBorders>
            <w:hideMark/>
          </w:tcPr>
          <w:p w14:paraId="570B4F78" w14:textId="77777777" w:rsidR="00F422E5" w:rsidRPr="00EC3E91" w:rsidRDefault="00F422E5" w:rsidP="00C02742">
            <w:pPr>
              <w:rPr>
                <w:sz w:val="20"/>
                <w:szCs w:val="20"/>
                <w:lang w:val="en-US"/>
              </w:rPr>
            </w:pPr>
            <w:r w:rsidRPr="00EC3E91">
              <w:rPr>
                <w:sz w:val="20"/>
                <w:szCs w:val="20"/>
                <w:lang w:val="en-US"/>
              </w:rPr>
              <w:t>Inappropriate prescription of antipsychotics</w:t>
            </w:r>
          </w:p>
        </w:tc>
        <w:tc>
          <w:tcPr>
            <w:tcW w:w="3970" w:type="dxa"/>
            <w:tcBorders>
              <w:top w:val="single" w:sz="4" w:space="0" w:color="auto"/>
              <w:left w:val="nil"/>
              <w:bottom w:val="single" w:sz="4" w:space="0" w:color="auto"/>
              <w:right w:val="nil"/>
            </w:tcBorders>
            <w:hideMark/>
          </w:tcPr>
          <w:p w14:paraId="67F49638" w14:textId="144F010B" w:rsidR="00F422E5" w:rsidRPr="00EC3E91" w:rsidRDefault="00F422E5" w:rsidP="00C02742">
            <w:pPr>
              <w:rPr>
                <w:sz w:val="20"/>
                <w:szCs w:val="20"/>
                <w:lang w:val="en-US"/>
              </w:rPr>
            </w:pPr>
            <w:r w:rsidRPr="00EC3E91">
              <w:rPr>
                <w:sz w:val="20"/>
                <w:szCs w:val="20"/>
                <w:lang w:val="en-US"/>
              </w:rPr>
              <w:t xml:space="preserve">Martins D, Khuu W, Tadrous M, et al.; Ontario Drug Policy Research </w:t>
            </w:r>
            <w:r w:rsidR="009C224D" w:rsidRPr="00EC3E91">
              <w:rPr>
                <w:sz w:val="20"/>
                <w:szCs w:val="20"/>
                <w:lang w:val="en-US"/>
              </w:rPr>
              <w:t>Network.</w:t>
            </w:r>
            <w:r w:rsidRPr="00EC3E91">
              <w:rPr>
                <w:sz w:val="20"/>
                <w:szCs w:val="20"/>
                <w:lang w:val="en-US"/>
              </w:rPr>
              <w:t xml:space="preserve"> Impact of delisting high-strength opioid formulations from a public drug benefit formulary on opioid utilization in Ontario, Canada. Pharmacoepidemiol Drug Saf. 2019;28(5):726-733. </w:t>
            </w:r>
          </w:p>
        </w:tc>
        <w:tc>
          <w:tcPr>
            <w:tcW w:w="2551" w:type="dxa"/>
            <w:tcBorders>
              <w:top w:val="single" w:sz="4" w:space="0" w:color="auto"/>
              <w:left w:val="nil"/>
              <w:bottom w:val="single" w:sz="4" w:space="0" w:color="auto"/>
              <w:right w:val="nil"/>
            </w:tcBorders>
            <w:hideMark/>
          </w:tcPr>
          <w:p w14:paraId="2D33C434" w14:textId="77777777" w:rsidR="00F422E5" w:rsidRPr="00EC3E91" w:rsidRDefault="00F422E5" w:rsidP="00C02742">
            <w:pPr>
              <w:rPr>
                <w:sz w:val="20"/>
                <w:szCs w:val="20"/>
                <w:lang w:val="en-US"/>
              </w:rPr>
            </w:pPr>
            <w:r w:rsidRPr="00EC3E91">
              <w:rPr>
                <w:sz w:val="20"/>
                <w:szCs w:val="20"/>
                <w:lang w:val="en-US"/>
              </w:rPr>
              <w:t>Alter patient/consumer fees, change physical structure and equipment</w:t>
            </w:r>
          </w:p>
        </w:tc>
      </w:tr>
      <w:tr w:rsidR="00F422E5" w:rsidRPr="00E119DD" w14:paraId="5182FD17" w14:textId="77777777" w:rsidTr="00F422E5">
        <w:trPr>
          <w:trHeight w:val="2235"/>
        </w:trPr>
        <w:tc>
          <w:tcPr>
            <w:tcW w:w="993" w:type="dxa"/>
            <w:tcBorders>
              <w:top w:val="single" w:sz="4" w:space="0" w:color="auto"/>
              <w:left w:val="nil"/>
              <w:bottom w:val="single" w:sz="4" w:space="0" w:color="auto"/>
              <w:right w:val="nil"/>
            </w:tcBorders>
          </w:tcPr>
          <w:p w14:paraId="6EE14313" w14:textId="2EB7B173" w:rsidR="00F422E5" w:rsidRPr="00EC3E91" w:rsidRDefault="00D55A11"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{"citationItems":[{"id":"ITEM-1","itemData":{"DOI":"10.1007/s40520-020-01582-4","ISSN":"1720-8319","abstract":"Adverse drug reactions are a common cause of potentially avoidable harm, particularly in older adults.","author":[{"dropping-particle":"","family":"Schapira","given":"Marcelo","non-dropping-particle":"","parse-names":false,"suffix":""},{"dropping-particle":"","family":"Calabró","given":"Pablo","non-dropping-particle":"","parse-names":false,"suffix":""},{"dropping-particle":"","family":"Montero-Odasso","given":"Manuel","non-dropping-particle":"","parse-names":false,"suffix":""},{"dropping-particle":"","family":"Osman","given":"Abdelhady","non-dropping-particle":"","parse-names":false,"suffix":""},{"dropping-particle":"","family":"Guajardo","given":"María Elena","non-dropping-particle":"","parse-names":false,"suffix":""},{"dropping-particle":"","family":"Martínez","given":"Bernardo","non-dropping-particle":"","parse-names":false,"suffix":""},{"dropping-particle":"","family":"Pollán","given":"Javier","non-dropping-particle":"","parse-names":false,"suffix":""},{"dropping-particle":"","family":"Cámera","given":"Luis","non-dropping-particle":"","parse-names":false,"suffix":""},{"dropping-particle":"","family":"Sassano","given":"Miguel","non-dropping-particle":"","parse-names":false,"suffix":""},{"dropping-particle":"","family":"Perman","given":"Gastón","non-dropping-particle":"","parse-names":false,"suffix":""}],"container-title":"Aging Clinical and Experimental Research","id":"ITEM-1","issue":"12","issued":{"date-parts":[["2021"]]},"page":"3313-3320","title":"A multifactorial intervention to lower potentially inappropriate medication use in older adults in Argentina","type":"article-journal","volume":"33"},"uris":["http://www.mendeley.com/documents/?uuid=ce37930b-4c2f-3e49-ab9b-3dfedf397646"]}],"mendeley":{"formattedCitation":"(274)","plainTextFormattedCitation":"(274)","previouslyFormattedCitation":"(274)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2D72637" w14:textId="77777777" w:rsidR="00F422E5" w:rsidRPr="00EC3E91" w:rsidRDefault="00F422E5" w:rsidP="00C02742">
            <w:pPr>
              <w:rPr>
                <w:sz w:val="20"/>
                <w:szCs w:val="20"/>
                <w:lang w:val="en-US"/>
              </w:rPr>
            </w:pPr>
            <w:r w:rsidRPr="00EC3E91">
              <w:rPr>
                <w:sz w:val="20"/>
                <w:szCs w:val="20"/>
                <w:lang w:val="en-US"/>
              </w:rPr>
              <w:t>Argentina</w:t>
            </w:r>
          </w:p>
        </w:tc>
        <w:tc>
          <w:tcPr>
            <w:tcW w:w="993" w:type="dxa"/>
            <w:tcBorders>
              <w:top w:val="single" w:sz="4" w:space="0" w:color="auto"/>
              <w:left w:val="nil"/>
              <w:bottom w:val="single" w:sz="4" w:space="0" w:color="auto"/>
              <w:right w:val="nil"/>
            </w:tcBorders>
            <w:hideMark/>
          </w:tcPr>
          <w:p w14:paraId="22E1DEA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E26876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7245341" w14:textId="77777777" w:rsidR="00F422E5" w:rsidRPr="00EC3E91" w:rsidRDefault="00F422E5"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hideMark/>
          </w:tcPr>
          <w:p w14:paraId="079AB53D"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527A9B8"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DA6D966" w14:textId="544A8996" w:rsidR="00F422E5" w:rsidRPr="00EC3E91" w:rsidRDefault="00DC480C" w:rsidP="00C02742">
            <w:pPr>
              <w:rPr>
                <w:sz w:val="20"/>
                <w:szCs w:val="20"/>
                <w:lang w:val="en-US"/>
              </w:rPr>
            </w:pPr>
            <w:r w:rsidRPr="00EC3E91">
              <w:rPr>
                <w:sz w:val="20"/>
                <w:szCs w:val="20"/>
                <w:lang w:val="en-US"/>
              </w:rPr>
              <w:t>Beer’s</w:t>
            </w:r>
            <w:r w:rsidR="00F422E5"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34EF0AED" w14:textId="77777777" w:rsidR="00F422E5" w:rsidRPr="00EC3E91" w:rsidRDefault="00F422E5" w:rsidP="00C02742">
            <w:pPr>
              <w:rPr>
                <w:sz w:val="20"/>
                <w:szCs w:val="20"/>
                <w:lang w:val="en-US"/>
              </w:rPr>
            </w:pPr>
            <w:r w:rsidRPr="00EC3E91">
              <w:rPr>
                <w:sz w:val="20"/>
                <w:szCs w:val="20"/>
                <w:lang w:val="en-US"/>
              </w:rPr>
              <w:t xml:space="preserve">develop educational materials, remind clinicians, identify and prepare champions, make training dynamic </w:t>
            </w:r>
          </w:p>
        </w:tc>
      </w:tr>
      <w:tr w:rsidR="00F422E5" w:rsidRPr="00E119DD" w14:paraId="219620F3" w14:textId="77777777" w:rsidTr="00F422E5">
        <w:trPr>
          <w:trHeight w:val="2235"/>
        </w:trPr>
        <w:tc>
          <w:tcPr>
            <w:tcW w:w="993" w:type="dxa"/>
            <w:tcBorders>
              <w:top w:val="single" w:sz="4" w:space="0" w:color="auto"/>
              <w:left w:val="nil"/>
              <w:bottom w:val="single" w:sz="4" w:space="0" w:color="auto"/>
              <w:right w:val="nil"/>
            </w:tcBorders>
          </w:tcPr>
          <w:p w14:paraId="293430C7" w14:textId="7E0AB564" w:rsidR="00F422E5" w:rsidRPr="00EC3E91" w:rsidRDefault="00B431DB"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{"citationItems":[{"id":"ITEM-1","itemData":{"DOI":"10.1136/bmjopen-2017-017653","ISSN":"2044-6055","abstract":"ObjectivesTo determine if patient-centred communication leads to a reduction of the number of medications taken without reducing health-related quality of life.DesignTwo-arm cluster-randomised controlled trial.Setting55 primary care practices in Hamburg, Düsseldorf and Rostock, Germany.Participants604 patients 65 to 84 years of age with at least three chronic conditions.InterventionsWithin the 12-month intervention, general practitioners (GPs) had three 30 min talks with each of their patients in addition to routine consultations. The first talk aimed at identifying treatment targets and priorities of the patient. During the second talk, the medication taken by the patient was discussed based on a ‘brown bag’ review of all the medications the patient had at home. The third talk served to discuss goal attainment and future treatment targets. GPs in the control group performed care as usual.Primary outcome measuresWe assumed that the number of medications taken by the patient would be reduced by 1.5 substances in the intervention group and that the change in the intervention group’s health-related quality of life would not be statistically significantly inferior to the control group.ResultsThe patients took a mean of 7.0±3.5 medications at baseline and 6.8±3.5 medications at follow-up. There was no difference between treatment and control group in the change of the number of medications taken (0.43; 95% CI −0.07 to 0.93; P=0.094) and no difference in health-related quality of life (0.03; −0.02 to 0.08; P=0.207). The likelihood of receiving a new prescription for analgesics was twice as high in the intervention group compared with the control group (risk ratio, 2.043; P=0.019), but the days spent in hospital were reduced by the intervention (−3.07; −5.25 to −0.89; P=0.006).ConclusionsIntensifying the doctor–patient dialogue and discussing the patient’s agenda and personal needs did not lead to a reduction of medication intake and did not alter health-related quality of life.Trial registration number ISRCTN46272088; Pre-results. ","author":[{"dropping-particle":"","family":"Schäfer","given":"Ingmar","non-dropping-particle":"","parse-names":false,"suffix":""},{"dropping-particle":"","family":"Kaduszkiewicz","given":"Hanna","non-dropping-particle":"","parse-names":false,"suffix":""},{"dropping-particle":"","family":"Mellert","given":"Christine","non-dropping-particle":"","parse-names":false,"suffix":""},{"dropping-particle":"","family":"Löffler","given":"Christin","non-dropping-particle":"","parse-names":false,"suffix":""},{"dropping-particle":"","family":"Mortsiefer","given":"Achim","non-dropping-particle":"","parse-names":false,"suffix":""},{"dropping-particle":"","family":"Ernst","given":"Annette","non-dropping-particle":"","parse-names":false,"suffix":""},{"dropping-particle":"","family":"Stolzenbach","given":"Carl-Otto","non-dropping-particle":"","parse-names":false,"suffix":""},{"dropping-particle":"","family":"Wiese","given":"Birgitt","non-dropping-particle":"","parse-names":false,"suffix":""},{"dropping-particle":"","family":"Abholz","given":"Heinz-Harald","non-dropping-particle":"","parse-names":false,"suffix":""},{"dropping-particle":"","family":"Scherer","given":"Martin","non-dropping-particle":"","parse-names":false,"suffix":""},{"dropping-particle":"","family":"Bussche","given":"Hendrik","non-dropping-particle":"van den","parse-names":false,"suffix":""},{"dropping-particle":"","family":"Altiner","given":"Attila","non-dropping-particle":"","parse-names":false,"suffix":""}],"container-title":"BMJ open","id":"ITEM-1","issue":"1","issued":{"date-parts":[["2018"]]},"page":"e017653-e017653","publisher":"BMJ Publishing Group LTD","publisher-place":"England","title":"Narrative medicine-based intervention in primary care to reduce polypharmacy: results from the cluster-randomised controlled trial MultiCare AGENDA","type":"article-journal","volume":"8"},"uris":["http://www.mendeley.com/documents/?uuid=75948903-67c9-47cf-8d7d-00d6ad001d99"]}],"mendeley":{"formattedCitation":"(275)","plainTextFormattedCitation":"(275)","previouslyFormattedCitation":"(275)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23FF877" w14:textId="77777777" w:rsidR="00F422E5" w:rsidRPr="00EC3E91" w:rsidRDefault="00F422E5" w:rsidP="00C02742">
            <w:pPr>
              <w:rPr>
                <w:sz w:val="20"/>
                <w:szCs w:val="20"/>
                <w:lang w:val="en-US"/>
              </w:rPr>
            </w:pPr>
            <w:r w:rsidRPr="00EC3E91">
              <w:rPr>
                <w:sz w:val="20"/>
                <w:szCs w:val="20"/>
                <w:lang w:val="en-US"/>
              </w:rPr>
              <w:t>Germany</w:t>
            </w:r>
          </w:p>
        </w:tc>
        <w:tc>
          <w:tcPr>
            <w:tcW w:w="993" w:type="dxa"/>
            <w:tcBorders>
              <w:top w:val="single" w:sz="4" w:space="0" w:color="auto"/>
              <w:left w:val="nil"/>
              <w:bottom w:val="single" w:sz="4" w:space="0" w:color="auto"/>
              <w:right w:val="nil"/>
            </w:tcBorders>
            <w:hideMark/>
          </w:tcPr>
          <w:p w14:paraId="7B2BD394"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5B60D99D"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2D8937D3"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42F60B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89CFAE8"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29526E40" w14:textId="2E09CA25" w:rsidR="00F422E5" w:rsidRPr="00EC3E91" w:rsidRDefault="00F422E5" w:rsidP="00C02742">
            <w:pPr>
              <w:rPr>
                <w:sz w:val="20"/>
                <w:szCs w:val="20"/>
                <w:lang w:val="en-US"/>
              </w:rPr>
            </w:pPr>
            <w:r w:rsidRPr="00E119DD">
              <w:rPr>
                <w:sz w:val="20"/>
                <w:szCs w:val="20"/>
                <w:lang w:val="en-US"/>
              </w:rPr>
              <w:t xml:space="preserve">Boyd CM, Darer J, Boult C, </w:t>
            </w:r>
            <w:r w:rsidR="00DC480C" w:rsidRPr="00E119DD">
              <w:rPr>
                <w:sz w:val="20"/>
                <w:szCs w:val="20"/>
                <w:lang w:val="en-US"/>
              </w:rPr>
              <w:t>et al..</w:t>
            </w:r>
            <w:r w:rsidRPr="00E119DD">
              <w:rPr>
                <w:sz w:val="20"/>
                <w:szCs w:val="20"/>
                <w:lang w:val="en-US"/>
              </w:rPr>
              <w:t xml:space="preserve"> </w:t>
            </w:r>
            <w:r w:rsidRPr="00EC3E91">
              <w:rPr>
                <w:sz w:val="20"/>
                <w:szCs w:val="20"/>
                <w:lang w:val="en-US"/>
              </w:rPr>
              <w:t xml:space="preserve">Clinical practice guidelines and quality of care for older patients with multiple comorbid diseases. JAMA </w:t>
            </w:r>
            <w:r w:rsidR="00DC480C" w:rsidRPr="00EC3E91">
              <w:rPr>
                <w:sz w:val="20"/>
                <w:szCs w:val="20"/>
                <w:lang w:val="en-US"/>
              </w:rPr>
              <w:t>2005; 294:716</w:t>
            </w:r>
            <w:r w:rsidRPr="00EC3E91">
              <w:rPr>
                <w:sz w:val="20"/>
                <w:szCs w:val="20"/>
                <w:lang w:val="en-US"/>
              </w:rPr>
              <w:t xml:space="preserve">–24. </w:t>
            </w:r>
          </w:p>
        </w:tc>
        <w:tc>
          <w:tcPr>
            <w:tcW w:w="2551" w:type="dxa"/>
            <w:tcBorders>
              <w:top w:val="single" w:sz="4" w:space="0" w:color="auto"/>
              <w:left w:val="nil"/>
              <w:bottom w:val="single" w:sz="4" w:space="0" w:color="auto"/>
              <w:right w:val="nil"/>
            </w:tcBorders>
            <w:hideMark/>
          </w:tcPr>
          <w:p w14:paraId="5A5C4A2A" w14:textId="7930662C" w:rsidR="00F422E5" w:rsidRPr="00EC3E91" w:rsidRDefault="00F422E5" w:rsidP="00C02742">
            <w:pPr>
              <w:rPr>
                <w:sz w:val="20"/>
                <w:szCs w:val="20"/>
                <w:lang w:val="en-US"/>
              </w:rPr>
            </w:pPr>
            <w:r w:rsidRPr="00EC3E91">
              <w:rPr>
                <w:sz w:val="20"/>
                <w:szCs w:val="20"/>
                <w:lang w:val="en-US"/>
              </w:rPr>
              <w:t>make training dynamic, develop and organize quality monitoring system, [</w:t>
            </w:r>
            <w:r w:rsidR="005D4B7B">
              <w:rPr>
                <w:sz w:val="20"/>
                <w:szCs w:val="20"/>
                <w:lang w:val="en-US"/>
              </w:rPr>
              <w:t>COMMUNICATION TOOL</w:t>
            </w:r>
            <w:r w:rsidRPr="00EC3E91">
              <w:rPr>
                <w:sz w:val="20"/>
                <w:szCs w:val="20"/>
                <w:lang w:val="en-US"/>
              </w:rPr>
              <w:t>]</w:t>
            </w:r>
          </w:p>
        </w:tc>
      </w:tr>
      <w:tr w:rsidR="00F422E5" w:rsidRPr="00E119DD" w14:paraId="75F3E248" w14:textId="77777777" w:rsidTr="00F422E5">
        <w:trPr>
          <w:trHeight w:val="2235"/>
        </w:trPr>
        <w:tc>
          <w:tcPr>
            <w:tcW w:w="993" w:type="dxa"/>
            <w:tcBorders>
              <w:top w:val="single" w:sz="4" w:space="0" w:color="auto"/>
              <w:left w:val="nil"/>
              <w:bottom w:val="single" w:sz="4" w:space="0" w:color="auto"/>
              <w:right w:val="nil"/>
            </w:tcBorders>
          </w:tcPr>
          <w:p w14:paraId="177ACF24" w14:textId="080B427C" w:rsidR="00F422E5" w:rsidRPr="00EC3E91" w:rsidRDefault="004C3202"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{"citationItems":[{"id":"ITEM-1","itemData":{"DOI":"10.1016/j.ajp.2019.07.041","ISSN":"1876-2018","abstract":"•This is the first study in India that has assessed the feasibility of deprescribing of BZDs.•Deprescribing is practicable among the patients utilizing BZD inappropriately more than the prescribed duration.\nIn current clinical practice, regardless of the clinical guidelines, BZDs and Z drugs are used beyond the period of indication, resulting in undesirable effects. This study aimed to assess feasibility of deprescribing amongst patients utilizing BZDs and Z drugs inappropriately for longer duration than the prescribed period. The study also analysed the Quality of Sleep (QoS) and Cost Savings incurred amongst deprescribed patients.\nIt was a prospective interventional study conducted in IP and OP settings of Psychiatry Department, Bangalore, India. Based on inclusion criteria, 109 patients were recruited for the study for a period of 7 months. Deprescribing was advised to inappropriate BZD and Z-drug users by clinical pharmacist after discussing with the prescribing psychiatrist. The patients were followed-up twice in a month after deprescribing. QoS was assessed by using Pittsburg Sleep Quality Index (PSQI) scale. The total medications cost incurred per patient/month before and after the intervention among both the groups was measured.\nPost-intervention, 40(30.69%) BZD users were deprescribed i.e, either dose tapered 6(5.5%), completely ceased 27(24.8%) or on si opus sit (SOS) BZDs prescription 7(6.4%). A majority of 44(40.36%) patients continued BZDs according to the algorithm. Clonazepam 35(87.5%) was the most deprescribed BZD. Deprescribing of BZDs showed an association with QoS of patients, p-value (&lt;0.05). A statistically significant cost reduction was observed after deprescribing BZDs, (Z = 5.465, p=&lt;0.001).\nDeprescribing BZDs was associated with decline in its usage; implementing deprescribing practice amongst the inappropriate BZD users is feasible, provides an improved QoS and an economic benefit.","author":[{"dropping-particle":"","family":"Shilpa","given":"Halumatha Surendra Shree","non-dropping-particle":"","parse-names":false,"suffix":""},{"dropping-particle":"","family":"Kumar","given":"N Naveen","non-dropping-particle":"","parse-names":false,"suffix":""},{"dropping-particle":"","family":"Maheswari","given":"Eswaran","non-dropping-particle":"","parse-names":false,"suffix":""},{"dropping-particle":"","family":"Virupaksha","given":"Harave Shanmugam","non-dropping-particle":"","parse-names":false,"suffix":""},{"dropping-particle":"","family":"Subeesh","given":"Viswam","non-dropping-particle":"","parse-names":false,"suffix":""},{"dropping-particle":"","family":"Saraswathy","given":"Ganesan Rajalekshmi","non-dropping-particle":"","parse-names":false,"suffix":""},{"dropping-particle":"","family":"Kunnavil","given":"Radhika","non-dropping-particle":"","parse-names":false,"suffix":""}],"container-title":"Asian journal of psychiatry","id":"ITEM-1","issued":{"date-parts":[["2019"]]},"page":"189-194","publisher":"Elsevier B.V","publisher-place":"Netherlands","title":"Deprescribing of benzodiazepines and Z-drugs amongst the psychiatric patients of a tertiary care Hospital","type":"article-journal","volume":"44"},"uris":["http://www.mendeley.com/documents/?uuid=9c66cbeb-d5d3-4fc6-82bf-704edc511afa"]}],"mendeley":{"formattedCitation":"(276)","plainTextFormattedCitation":"(276)","previouslyFormattedCitation":"(276)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D6948C8" w14:textId="77777777" w:rsidR="00F422E5" w:rsidRPr="00EC3E91" w:rsidRDefault="00F422E5" w:rsidP="00C02742">
            <w:pPr>
              <w:rPr>
                <w:sz w:val="20"/>
                <w:szCs w:val="20"/>
                <w:lang w:val="en-US"/>
              </w:rPr>
            </w:pPr>
            <w:r w:rsidRPr="00EC3E91">
              <w:rPr>
                <w:sz w:val="20"/>
                <w:szCs w:val="20"/>
                <w:lang w:val="en-US"/>
              </w:rPr>
              <w:t>India</w:t>
            </w:r>
          </w:p>
        </w:tc>
        <w:tc>
          <w:tcPr>
            <w:tcW w:w="993" w:type="dxa"/>
            <w:tcBorders>
              <w:top w:val="single" w:sz="4" w:space="0" w:color="auto"/>
              <w:left w:val="nil"/>
              <w:bottom w:val="single" w:sz="4" w:space="0" w:color="auto"/>
              <w:right w:val="nil"/>
            </w:tcBorders>
            <w:hideMark/>
          </w:tcPr>
          <w:p w14:paraId="2B19FD0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F0D676A"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60450DDF" w14:textId="41E38356" w:rsidR="00F422E5" w:rsidRPr="00EC3E91" w:rsidRDefault="00DC480C"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5431FEF9"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1D0F83EE" w14:textId="77777777" w:rsidR="00F422E5" w:rsidRPr="00EC3E91" w:rsidRDefault="00F422E5" w:rsidP="00C02742">
            <w:pPr>
              <w:rPr>
                <w:sz w:val="20"/>
                <w:szCs w:val="20"/>
                <w:lang w:val="en-US"/>
              </w:rPr>
            </w:pPr>
            <w:r w:rsidRPr="00EC3E91">
              <w:rPr>
                <w:sz w:val="20"/>
                <w:szCs w:val="20"/>
                <w:lang w:val="en-US"/>
              </w:rPr>
              <w:t>Inappropriate prescribing of Benzodiazepines and Z drugs</w:t>
            </w:r>
          </w:p>
        </w:tc>
        <w:tc>
          <w:tcPr>
            <w:tcW w:w="3970" w:type="dxa"/>
            <w:tcBorders>
              <w:top w:val="single" w:sz="4" w:space="0" w:color="auto"/>
              <w:left w:val="nil"/>
              <w:bottom w:val="single" w:sz="4" w:space="0" w:color="auto"/>
              <w:right w:val="nil"/>
            </w:tcBorders>
            <w:hideMark/>
          </w:tcPr>
          <w:p w14:paraId="77450365" w14:textId="77777777" w:rsidR="00F422E5" w:rsidRPr="00EC3E91" w:rsidRDefault="00F422E5" w:rsidP="00C02742">
            <w:pPr>
              <w:rPr>
                <w:sz w:val="20"/>
                <w:szCs w:val="20"/>
                <w:lang w:val="en-US"/>
              </w:rPr>
            </w:pPr>
            <w:r w:rsidRPr="00EC3E91">
              <w:rPr>
                <w:sz w:val="20"/>
                <w:szCs w:val="20"/>
                <w:lang w:val="en-US"/>
              </w:rPr>
              <w:t>Pottie et al., 2018 K. Pottie, W. Thompson, S. Davies, J. Grenier, C. Sadowski, V. Welch, ..., B. Farrell Evidence-based clinical practice guideline for deprescribing benzodiazepine receptor. Can Fam Physician, 64 (2018), pp. 339-351</w:t>
            </w:r>
          </w:p>
        </w:tc>
        <w:tc>
          <w:tcPr>
            <w:tcW w:w="2551" w:type="dxa"/>
            <w:tcBorders>
              <w:top w:val="single" w:sz="4" w:space="0" w:color="auto"/>
              <w:left w:val="nil"/>
              <w:bottom w:val="single" w:sz="4" w:space="0" w:color="auto"/>
              <w:right w:val="nil"/>
            </w:tcBorders>
            <w:hideMark/>
          </w:tcPr>
          <w:p w14:paraId="2DA033E7" w14:textId="5BB90183" w:rsidR="00F422E5" w:rsidRPr="00EC3E91" w:rsidRDefault="00F422E5" w:rsidP="00C02742">
            <w:pPr>
              <w:rPr>
                <w:sz w:val="20"/>
                <w:szCs w:val="20"/>
                <w:lang w:val="en-US"/>
              </w:rPr>
            </w:pPr>
            <w:r w:rsidRPr="00EC3E91">
              <w:rPr>
                <w:sz w:val="20"/>
                <w:szCs w:val="20"/>
                <w:lang w:val="en-US"/>
              </w:rPr>
              <w:t xml:space="preserve">develop and organize </w:t>
            </w:r>
            <w:r w:rsidR="00DC480C" w:rsidRPr="00EC3E91">
              <w:rPr>
                <w:sz w:val="20"/>
                <w:szCs w:val="20"/>
                <w:lang w:val="en-US"/>
              </w:rPr>
              <w:t>quality</w:t>
            </w:r>
            <w:r w:rsidRPr="00EC3E91">
              <w:rPr>
                <w:sz w:val="20"/>
                <w:szCs w:val="20"/>
                <w:lang w:val="en-US"/>
              </w:rPr>
              <w:t xml:space="preserve"> monitoring system, [</w:t>
            </w:r>
            <w:r w:rsidR="005D4B7B">
              <w:rPr>
                <w:sz w:val="20"/>
                <w:szCs w:val="20"/>
                <w:lang w:val="en-US"/>
              </w:rPr>
              <w:t>COMMUNICATION TOOL</w:t>
            </w:r>
            <w:r w:rsidRPr="00EC3E91">
              <w:rPr>
                <w:sz w:val="20"/>
                <w:szCs w:val="20"/>
                <w:lang w:val="en-US"/>
              </w:rPr>
              <w:t>].</w:t>
            </w:r>
          </w:p>
        </w:tc>
      </w:tr>
      <w:tr w:rsidR="00F422E5" w:rsidRPr="00E119DD" w14:paraId="12A0DE94" w14:textId="77777777" w:rsidTr="00F422E5">
        <w:trPr>
          <w:trHeight w:val="2235"/>
        </w:trPr>
        <w:tc>
          <w:tcPr>
            <w:tcW w:w="993" w:type="dxa"/>
            <w:tcBorders>
              <w:top w:val="single" w:sz="4" w:space="0" w:color="auto"/>
              <w:left w:val="nil"/>
              <w:bottom w:val="single" w:sz="4" w:space="0" w:color="auto"/>
              <w:right w:val="nil"/>
            </w:tcBorders>
          </w:tcPr>
          <w:p w14:paraId="283CDB4B" w14:textId="5FFC8A76" w:rsidR="00F422E5" w:rsidRPr="00EC3E91" w:rsidRDefault="007B3644"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{"citationItems":[{"id":"ITEM-1","itemData":{"DOI":"https://doi.org/10.1111/bcpt.12989","ISSN":"1742-7835","abstract":"Abstract The aim of this controlled, before-and-after study in the Department of Psychiatry in a university hospital in Denmark was to examine the potential effects and characteristics of nurses reviewing psychiatric patients? medication records to identify potentially inappropriate prescriptions (PIPs). The control group and the intervention group each consisted of two bed units chosen based on patients? diagnoses and age categories. There were 396 patients (age ≥18 years) included in the study. Senior clinical pharmacology physicians performed medication reviews for all patients in the study; these medication reviews were considered gold standard. The intervention group: nurses were given a pharmacology course after which the nurses reviewed medication lists and subsequently conferred any identified PIPs with physicians. The control group: medication was reviewed as usual and nurses did not participate. Primary outcome measure was the potential difference in PIPs between the control group and the intervention group, analysed in two ways: (i) difference in mean number of PIPs and (ii) difference in number of patients exposed to ≥1 PIP, using regression analysis with an approximated difference-in-difference (DID) approach. Secondary outcome measure was characteristics of PIPs where physicians responded to nurse-identified PIPs. The DID between intervention group and control group for mean number of PIPs per patient was ?0.23 (?1.07 to 0.60), and for number of patients receiving ≥1 PIP, the odds ratio was 0.61 (0.25 to 1.46). Physicians changed most prescriptions in the category interaction between drugs. Nurses could not significantly reduce the prevalence of PIPs for psychiatric patients.","author":[{"dropping-particle":"","family":"Soerensen","given":"Ann L","non-dropping-particle":"","parse-names":false,"suffix":""},{"dropping-particle":"","family":"Lisby","given":"Marianne","non-dropping-particle":"","parse-names":false,"suffix":""},{"dropping-particle":"","family":"Nielsen","given":"Lars P","non-dropping-particle":"","parse-names":false,"suffix":""},{"dropping-particle":"","family":"Poulsen","given":"Birgitte K","non-dropping-particle":"","parse-names":false,"suffix":""},{"dropping-particle":"","family":"Mainz","given":"Jan","non-dropping-particle":"","parse-names":false,"suffix":""}],"container-title":"Basic &amp; Clinical Pharmacology &amp; Toxicology","id":"ITEM-1","issue":"2","issued":{"date-parts":[["2018","8","1"]]},"page":"174-181","publisher":"John Wiley &amp; Sons, Ltd","title":"Improving Medication Safety in Psychiatry – A Controlled Intervention Study of Nurse Involvement in Avoidance of Potentially Inappropriate Prescriptions","type":"article-journal","volume":"123"},"uris":["http://www.mendeley.com/documents/?uuid=4f4778a0-6191-3de8-9aa0-9818bc8b8210"]}],"mendeley":{"formattedCitation":"(277)","plainTextFormattedCitation":"(277)","previouslyFormattedCitation":"(277)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1B59EE4" w14:textId="77777777" w:rsidR="00F422E5" w:rsidRPr="00EC3E91" w:rsidRDefault="00F422E5" w:rsidP="00C02742">
            <w:pPr>
              <w:rPr>
                <w:sz w:val="20"/>
                <w:szCs w:val="20"/>
                <w:lang w:val="en-US"/>
              </w:rPr>
            </w:pPr>
            <w:r w:rsidRPr="00EC3E91">
              <w:rPr>
                <w:sz w:val="20"/>
                <w:szCs w:val="20"/>
                <w:lang w:val="en-US"/>
              </w:rPr>
              <w:t>Denmark</w:t>
            </w:r>
          </w:p>
        </w:tc>
        <w:tc>
          <w:tcPr>
            <w:tcW w:w="993" w:type="dxa"/>
            <w:tcBorders>
              <w:top w:val="single" w:sz="4" w:space="0" w:color="auto"/>
              <w:left w:val="nil"/>
              <w:bottom w:val="single" w:sz="4" w:space="0" w:color="auto"/>
              <w:right w:val="nil"/>
            </w:tcBorders>
            <w:hideMark/>
          </w:tcPr>
          <w:p w14:paraId="6F9D781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7147CA6"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37FE96A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3CE5DD1B"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5960323E"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5A7461C5" w14:textId="77777777" w:rsidR="00F422E5" w:rsidRPr="00EC3E91" w:rsidRDefault="00F422E5" w:rsidP="00C02742">
            <w:pPr>
              <w:rPr>
                <w:sz w:val="20"/>
                <w:szCs w:val="20"/>
                <w:lang w:val="en-US"/>
              </w:rPr>
            </w:pPr>
            <w:r w:rsidRPr="00EC3E91">
              <w:rPr>
                <w:sz w:val="20"/>
                <w:szCs w:val="20"/>
                <w:lang w:val="en-US"/>
              </w:rPr>
              <w:t>Beers Criteria</w:t>
            </w:r>
            <w:r w:rsidRPr="00EC3E91">
              <w:rPr>
                <w:sz w:val="20"/>
                <w:szCs w:val="20"/>
                <w:lang w:val="en-US"/>
              </w:rPr>
              <w:br/>
            </w:r>
            <w:r w:rsidRPr="00EC3E91">
              <w:rPr>
                <w:sz w:val="20"/>
                <w:szCs w:val="20"/>
                <w:lang w:val="en-US"/>
              </w:rPr>
              <w:br/>
              <w:t>Improved Prescribing in the Elderly Tool (IPET))</w:t>
            </w:r>
          </w:p>
        </w:tc>
        <w:tc>
          <w:tcPr>
            <w:tcW w:w="2551" w:type="dxa"/>
            <w:tcBorders>
              <w:top w:val="single" w:sz="4" w:space="0" w:color="auto"/>
              <w:left w:val="nil"/>
              <w:bottom w:val="single" w:sz="4" w:space="0" w:color="auto"/>
              <w:right w:val="nil"/>
            </w:tcBorders>
            <w:hideMark/>
          </w:tcPr>
          <w:p w14:paraId="3DD795F6"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make training dynamic, </w:t>
            </w:r>
          </w:p>
        </w:tc>
      </w:tr>
      <w:tr w:rsidR="00F422E5" w:rsidRPr="00E119DD" w14:paraId="745AD518" w14:textId="77777777" w:rsidTr="00F422E5">
        <w:trPr>
          <w:trHeight w:val="2235"/>
        </w:trPr>
        <w:tc>
          <w:tcPr>
            <w:tcW w:w="993" w:type="dxa"/>
            <w:tcBorders>
              <w:top w:val="single" w:sz="4" w:space="0" w:color="auto"/>
              <w:left w:val="nil"/>
              <w:bottom w:val="single" w:sz="4" w:space="0" w:color="auto"/>
              <w:right w:val="nil"/>
            </w:tcBorders>
          </w:tcPr>
          <w:p w14:paraId="40878FEF" w14:textId="4362D7BD" w:rsidR="00F422E5" w:rsidRPr="00EC3E91" w:rsidRDefault="007B3644"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{"citationItems":[{"id":"ITEM-1","itemData":{"DOI":"10.1136/bmjqs-2018-008659","abstract":"Objective ‘Nudges’ are subtle cognitive cues thought to influence behaviour. We investigated whether embedding nudges in a general practitioner (GP) clinical decision support display can reduce low-value management decisions .Methods Australian GPs completed four clinical vignettes of patients with low back pain. Participants chose from three guideline-concordant and three guideline-discordant (low-value) management options for each vignette, on a computer screen. A 2×2 factorial design randomised participants to two possible nudge interventions: ‘partition display’ nudge (low-value options presented horizontally, high-value options listed vertically) or ‘default option’ nudge (high-value options presented as the default, low-value options presented only after clicking for more). The primary outcome was the proportion of scenarios where practitioners chose at least one of the low-value care options.Results 120 GPs (72% male, 28% female) completed the trial (n=480 vignettes). Participants using a conventional menu display without nudges chose at least one low-value care option in 42% of scenarios. Participants exposed to the default option nudge were 44% less likely to choose at least one low-value care option (OR 0.56, 95%CI 0.37 to 0.85; p=0.006) compared with those not exposed. The partition display nudge had no effect on choice of low-value care (OR 1.08, 95%CI 0.72 to 1.64; p=0.7). There was no interaction between the nudges (OR 0.94, 95% CI 0.41 to 2.15; p=0.89).Interpretation A default option nudge reduced the odds of choosing low-value options for low back pain in clinical vignettes. Embedding high value options as defaults in clinical decision support tools could improve quality of care. More research is needed into how nudges impact clinical decision-making in different contexts.","author":[{"dropping-particle":"","family":"Soon","given":"Jason","non-dropping-particle":"","parse-names":false,"suffix":""},{"dropping-particle":"","family":"Traeger","given":"Adrian C","non-dropping-particle":"","parse-names":false,"suffix":""},{"dropping-particle":"","family":"Elshaug","given":"Adam G","non-dropping-particle":"","parse-names":false,"suffix":""},{"dropping-particle":"","family":"Cvejic","given":"Erin","non-dropping-particle":"","parse-names":false,"suffix":""},{"dropping-particle":"","family":"Maher","given":"Chris G","non-dropping-particle":"","parse-names":false,"suffix":""},{"dropping-particle":"","family":"Doust","given":"Jenny A","non-dropping-particle":"","parse-names":false,"suffix":""},{"dropping-particle":"","family":"Mathieson","given":"Stephanie","non-dropping-particle":"","parse-names":false,"suffix":""},{"dropping-particle":"","family":"McCaffery","given":"Kirsten","non-dropping-particle":"","parse-names":false,"suffix":""},{"dropping-particle":"","family":"Bonner","given":"Carissa","non-dropping-particle":"","parse-names":false,"suffix":""}],"container-title":"BMJ Quality &amp;amp;amp; Safety","id":"ITEM-1","issue":"7","issued":{"date-parts":[["2019","7","1"]]},"page":"547","title":"Effect of two behavioural ‘nudging’ interventions on management decisions for low back pain: a randomised vignette-based study in general practitioners","type":"article-journal","volume":"28"},"uris":["http://www.mendeley.com/documents/?uuid=c66c5c37-a530-35d2-a299-fb6a9e29f4a6"]}],"mendeley":{"formattedCitation":"(278)","plainTextFormattedCitation":"(278)","previouslyFormattedCitation":"(278)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BA99832"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24407DDF"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5929A755"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E05411F"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AA0028E"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078EAF39" w14:textId="77777777" w:rsidR="00F422E5" w:rsidRPr="00EC3E91" w:rsidRDefault="00F422E5" w:rsidP="00C02742">
            <w:pPr>
              <w:rPr>
                <w:sz w:val="20"/>
                <w:szCs w:val="20"/>
                <w:lang w:val="en-US"/>
              </w:rPr>
            </w:pPr>
            <w:r w:rsidRPr="00EC3E91">
              <w:rPr>
                <w:sz w:val="20"/>
                <w:szCs w:val="20"/>
                <w:lang w:val="en-US"/>
              </w:rPr>
              <w:t>Clinical management decisions related to imaging and complex medicines for low back pain</w:t>
            </w:r>
          </w:p>
        </w:tc>
        <w:tc>
          <w:tcPr>
            <w:tcW w:w="3970" w:type="dxa"/>
            <w:tcBorders>
              <w:top w:val="single" w:sz="4" w:space="0" w:color="auto"/>
              <w:left w:val="nil"/>
              <w:bottom w:val="single" w:sz="4" w:space="0" w:color="auto"/>
              <w:right w:val="nil"/>
            </w:tcBorders>
            <w:hideMark/>
          </w:tcPr>
          <w:p w14:paraId="07E4C293" w14:textId="77777777" w:rsidR="00F422E5" w:rsidRPr="00EC3E91" w:rsidRDefault="00F422E5" w:rsidP="00C02742">
            <w:pPr>
              <w:rPr>
                <w:sz w:val="20"/>
                <w:szCs w:val="20"/>
                <w:lang w:val="en-US"/>
              </w:rPr>
            </w:pPr>
            <w:r w:rsidRPr="00EC3E91">
              <w:rPr>
                <w:sz w:val="20"/>
                <w:szCs w:val="20"/>
                <w:lang w:val="en-US"/>
              </w:rPr>
              <w:t>International clinical guidelines by the American College of Physicians</w:t>
            </w:r>
          </w:p>
        </w:tc>
        <w:tc>
          <w:tcPr>
            <w:tcW w:w="2551" w:type="dxa"/>
            <w:tcBorders>
              <w:top w:val="single" w:sz="4" w:space="0" w:color="auto"/>
              <w:left w:val="nil"/>
              <w:bottom w:val="single" w:sz="4" w:space="0" w:color="auto"/>
              <w:right w:val="nil"/>
            </w:tcBorders>
            <w:hideMark/>
          </w:tcPr>
          <w:p w14:paraId="6E0942F6" w14:textId="284E0F3B" w:rsidR="00F422E5" w:rsidRPr="00EC3E91" w:rsidRDefault="00F422E5" w:rsidP="00C02742">
            <w:pPr>
              <w:rPr>
                <w:sz w:val="20"/>
                <w:szCs w:val="20"/>
                <w:lang w:val="en-US"/>
              </w:rPr>
            </w:pPr>
            <w:r w:rsidRPr="00EC3E91">
              <w:rPr>
                <w:sz w:val="20"/>
                <w:szCs w:val="20"/>
                <w:lang w:val="en-US"/>
              </w:rPr>
              <w:t xml:space="preserve">remind clinicians, change physical </w:t>
            </w:r>
            <w:r w:rsidR="00F560E2" w:rsidRPr="00EC3E91">
              <w:rPr>
                <w:sz w:val="20"/>
                <w:szCs w:val="20"/>
                <w:lang w:val="en-US"/>
              </w:rPr>
              <w:t>structure</w:t>
            </w:r>
            <w:r w:rsidRPr="00EC3E91">
              <w:rPr>
                <w:sz w:val="20"/>
                <w:szCs w:val="20"/>
                <w:lang w:val="en-US"/>
              </w:rPr>
              <w:t xml:space="preserve"> and equipment</w:t>
            </w:r>
          </w:p>
        </w:tc>
      </w:tr>
      <w:tr w:rsidR="00F422E5" w:rsidRPr="00E119DD" w14:paraId="7FAB5143" w14:textId="77777777" w:rsidTr="00F422E5">
        <w:trPr>
          <w:trHeight w:val="2235"/>
        </w:trPr>
        <w:tc>
          <w:tcPr>
            <w:tcW w:w="993" w:type="dxa"/>
            <w:tcBorders>
              <w:top w:val="single" w:sz="4" w:space="0" w:color="auto"/>
              <w:left w:val="nil"/>
              <w:bottom w:val="single" w:sz="4" w:space="0" w:color="auto"/>
              <w:right w:val="nil"/>
            </w:tcBorders>
          </w:tcPr>
          <w:p w14:paraId="5BADF221" w14:textId="7BD4A0E8" w:rsidR="00F422E5" w:rsidRPr="00EC3E91" w:rsidRDefault="00684E7D"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{"citationItems":[{"id":"ITEM-1","itemData":{"DOI":"10.1016/J.CLINBIOCHEM.2020.05.004","ISSN":"0009-9120","PMID":"32416171","abstract":"Objectives: Free thyroid hormones (fT4 and fT3) are one of the most commonly ordered laboratory tests and often ordered when not clinically meaningful. Based on this, many studies have sought to identify strategies to reduce inappropriate fT4 and fT3 testing. The goal of the current study was to implement a quality improvement (QI) framework to identify an optimal approach to reducing inappropriate free thyroid hormone testing through multiple change ideas and Plan-Do-Study-Act (PDSA) cycles. The aim was to reduce fT4 and fT3 30% from baseline at a large tertiary hospital within 12 months. Methods: The Model for Improvement Framework was used to implement a total of 3 change ideas in the first and second PDSA cycles. Change ideas included implementation and refinement of a free thyroid hormone forced function reflex system, modifications to test requisitions/order-entry interfaces, and a TSH-only option. Process and balancing measures were evaluated to fine-tune the change interventions. Data was continuously monitored pre and post interventions to assess progress, impact and potential errors. Results: In the first PDSA cycle, laboratory testing of fT4 was decreased by 24% and fT3 by 18%. Soliciting physician feedback and assessing balancing measures was important in refining the approach. In the second PDSA cycle, fT4 was decreased by an additional 16% and fT3 by 29%. An audit of the process showed that phone calls to the laboratory to add-on free thyroid hormones did not increase after the second PDSA, averaging 2 calls per month. Conclusions: To achieve optimal reductions in free thyroid hormone testing, multiple PDSA cycles were required alongside assessing process and balancing measures. Overall, fT4 and fT3 testing was decreased by 39% and 47%, respectively.","author":[{"dropping-particle":"","family":"Taher","given":"Jennifer","non-dropping-particle":"","parse-names":false,"suffix":""},{"dropping-particle":"","family":"Beriault","given":"Daniel R.","non-dropping-particle":"","parse-names":false,"suffix":""},{"dropping-particle":"","family":"Yip","given":"Drake","non-dropping-particle":"","parse-names":false,"suffix":""},{"dropping-particle":"","family":"Tahir","given":"Shafqat","non-dropping-particle":"","parse-names":false,"suffix":""},{"dropping-particle":"","family":"Hicks","given":"Lisa K.","non-dropping-particle":"","parse-names":false,"suffix":""},{"dropping-particle":"","family":"Gilmour","given":"Julie A.","non-dropping-particle":"","parse-names":false,"suffix":""}],"container-title":"Clinical Biochemistry","id":"ITEM-1","issued":{"date-parts":[["2020","7","1"]]},"page":"41-46","publisher":"Elsevier","title":"Reducing free thyroid hormone testing through multiple Plan-Do-Study-Act cycles","type":"article-journal","volume":"81"},"uris":["http://www.mendeley.com/documents/?uuid=5e9b0a52-279f-3f11-b3b4-f21d0e9fd75f"]}],"mendeley":{"formattedCitation":"(279)","plainTextFormattedCitation":"(279)","previouslyFormattedCitation":"(279)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(279)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B2EB1EF"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096CDE6B"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309D5204"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1E601E33" w14:textId="77777777" w:rsidR="00F422E5" w:rsidRPr="00EC3E91" w:rsidRDefault="00F422E5" w:rsidP="00C02742">
            <w:pPr>
              <w:rPr>
                <w:sz w:val="20"/>
                <w:szCs w:val="20"/>
                <w:lang w:val="en-US"/>
              </w:rPr>
            </w:pPr>
            <w:r w:rsidRPr="00EC3E91">
              <w:rPr>
                <w:sz w:val="20"/>
                <w:szCs w:val="20"/>
                <w:lang w:val="en-US"/>
              </w:rPr>
              <w:t>Process evaluation/cost saving</w:t>
            </w:r>
          </w:p>
        </w:tc>
        <w:tc>
          <w:tcPr>
            <w:tcW w:w="1134" w:type="dxa"/>
            <w:tcBorders>
              <w:top w:val="single" w:sz="4" w:space="0" w:color="auto"/>
              <w:left w:val="nil"/>
              <w:bottom w:val="single" w:sz="4" w:space="0" w:color="auto"/>
              <w:right w:val="nil"/>
            </w:tcBorders>
            <w:hideMark/>
          </w:tcPr>
          <w:p w14:paraId="68734D96"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2A746323" w14:textId="77777777" w:rsidR="00F422E5" w:rsidRPr="00EC3E91" w:rsidRDefault="00F422E5" w:rsidP="00C02742">
            <w:pPr>
              <w:rPr>
                <w:sz w:val="20"/>
                <w:szCs w:val="20"/>
                <w:lang w:val="en-US"/>
              </w:rPr>
            </w:pPr>
            <w:r w:rsidRPr="00EC3E91">
              <w:rPr>
                <w:sz w:val="20"/>
                <w:szCs w:val="20"/>
                <w:lang w:val="en-US"/>
              </w:rPr>
              <w:t>Inappropriate laboratory testing</w:t>
            </w:r>
          </w:p>
        </w:tc>
        <w:tc>
          <w:tcPr>
            <w:tcW w:w="3970" w:type="dxa"/>
            <w:tcBorders>
              <w:top w:val="single" w:sz="4" w:space="0" w:color="auto"/>
              <w:left w:val="nil"/>
              <w:bottom w:val="single" w:sz="4" w:space="0" w:color="auto"/>
              <w:right w:val="nil"/>
            </w:tcBorders>
            <w:hideMark/>
          </w:tcPr>
          <w:p w14:paraId="4E0C01EB" w14:textId="77777777" w:rsidR="00F422E5" w:rsidRPr="00EC3E91" w:rsidRDefault="00F422E5" w:rsidP="00C02742">
            <w:pPr>
              <w:rPr>
                <w:sz w:val="20"/>
                <w:szCs w:val="20"/>
                <w:lang w:val="en-US"/>
              </w:rPr>
            </w:pPr>
            <w:r w:rsidRPr="00EC3E91">
              <w:rPr>
                <w:sz w:val="20"/>
                <w:szCs w:val="20"/>
                <w:lang w:val="en-US"/>
              </w:rPr>
              <w:t xml:space="preserve">Choosing Wisely Canada </w:t>
            </w:r>
            <w:r w:rsidRPr="00EC3E91">
              <w:rPr>
                <w:sz w:val="20"/>
                <w:szCs w:val="20"/>
                <w:lang w:val="en-US"/>
              </w:rPr>
              <w:br/>
            </w:r>
            <w:r w:rsidRPr="00EC3E91">
              <w:rPr>
                <w:sz w:val="20"/>
                <w:szCs w:val="20"/>
                <w:lang w:val="en-US"/>
              </w:rPr>
              <w:br/>
              <w:t>Clinical practice guidelines for hypothyroidism in adults: cosponsored by the American Association of Clinical Endocrinologists and the American Thyroid Association</w:t>
            </w:r>
          </w:p>
        </w:tc>
        <w:tc>
          <w:tcPr>
            <w:tcW w:w="2551" w:type="dxa"/>
            <w:tcBorders>
              <w:top w:val="single" w:sz="4" w:space="0" w:color="auto"/>
              <w:left w:val="nil"/>
              <w:bottom w:val="single" w:sz="4" w:space="0" w:color="auto"/>
              <w:right w:val="nil"/>
            </w:tcBorders>
            <w:hideMark/>
          </w:tcPr>
          <w:p w14:paraId="3DB263CC" w14:textId="45491C27" w:rsidR="00F422E5" w:rsidRPr="00EC3E91" w:rsidRDefault="00F422E5" w:rsidP="00C02742">
            <w:pPr>
              <w:rPr>
                <w:sz w:val="20"/>
                <w:szCs w:val="20"/>
                <w:lang w:val="en-US"/>
              </w:rPr>
            </w:pPr>
            <w:r w:rsidRPr="00EC3E91">
              <w:rPr>
                <w:sz w:val="20"/>
                <w:szCs w:val="20"/>
                <w:lang w:val="en-US"/>
              </w:rPr>
              <w:t>change physical structure and equipment, [</w:t>
            </w:r>
            <w:r w:rsidR="00804306">
              <w:rPr>
                <w:sz w:val="20"/>
                <w:szCs w:val="20"/>
                <w:lang w:val="en-US"/>
              </w:rPr>
              <w:t>ACCOUNTABILITY TOOL</w:t>
            </w:r>
            <w:r w:rsidRPr="00EC3E91">
              <w:rPr>
                <w:sz w:val="20"/>
                <w:szCs w:val="20"/>
                <w:lang w:val="en-US"/>
              </w:rPr>
              <w:t>], conduct educational meeting, develop educational materials, remind clinicians</w:t>
            </w:r>
          </w:p>
        </w:tc>
      </w:tr>
      <w:tr w:rsidR="00F422E5" w:rsidRPr="00E119DD" w14:paraId="6B8A2785" w14:textId="77777777" w:rsidTr="00F422E5">
        <w:trPr>
          <w:trHeight w:val="2235"/>
        </w:trPr>
        <w:tc>
          <w:tcPr>
            <w:tcW w:w="993" w:type="dxa"/>
            <w:tcBorders>
              <w:top w:val="single" w:sz="4" w:space="0" w:color="auto"/>
              <w:left w:val="nil"/>
              <w:bottom w:val="single" w:sz="4" w:space="0" w:color="auto"/>
              <w:right w:val="nil"/>
            </w:tcBorders>
          </w:tcPr>
          <w:p w14:paraId="6A597478" w14:textId="4CD3F743" w:rsidR="00F422E5" w:rsidRPr="00EC3E91" w:rsidRDefault="008F7755"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{"citationItems":[{"id":"ITEM-1","itemData":{"DOI":"10.1186/s12962-018-0086-y","ISSN":"1478-7547","abstract":"The overuse of antibiotics has been identified as a major challenge in regard to the rational prescription of medicines in low and middle income countries. Extensive studies on the effectiveness of persuasive interventions, such as guidelines have been undertaken. There is a dearth of research pertaining to the effects of restrictive interventions. This study aimed to evaluate the impacts of prescription restrictions in relation to types and administration routes of antibiotics on antibiotic procurement in primary care settings in China.\nData were drawn from the monthly procurement records of medicines for primary care institutions in Hubei province over a 31-month period from May 2011 to November 2013. We analyzed the monthly procurement volume and costs of antibiotics. Interrupted time series analyses with a difference-in-difference approach were performed to evaluate the effect of the restrictive intervention (started in August 2012) on antibiotic procurement in comparison with those for cardiovascular conditions. Sensitivity tests were performed by replacing outliers using a simple linear interpolation technique.\nOver the entire study period, antibiotics accounted for 33.65% of the total costs of medicines procured for primary care institutions: mostly non-restricted antibiotics (86.03%) and antibiotics administered through parenteral routes (79.59%). On average, 17.14 million defined daily doses (DDDs) of antibiotics were procured per month, with the majority (93.09%) for non-restricted antibiotics and over half (52.38%) for parenteral administered antibiotics. The restrictive intervention was associated with a decline in the secular trend of costs for non-restricted oral antibiotics (- 0.36 million Yuan per month, p = 0.029), and for parenteral administered restricted antibiotics (- 0.28 million Yuan per month, p = 0.019), as well as a decline in the secular trend of procurement volume for parenteral administered non-restricted antibiotics (- 0.038 million DDDs per month, p = 0.05).\nRestrictive interventions are effective in reducing the procurement of antibiotics. However, the effect size is relatively small and antibiotic consumptions remain high, especially parenteral administered antibiotics.","author":[{"dropping-particle":"","family":"Tang","given":"Yuqing","non-dropping-particle":"","parse-names":false,"suffix":""},{"dropping-particle":"","family":"Liu","given":"Chaojie","non-dropping-particle":"","parse-names":false,"suffix":""},{"dropping-particle":"","family":"Zhang","given":"Zinan","non-dropping-particle":"","parse-names":false,"suffix":""},{"dropping-particle":"","family":"Zhang","given":"Xinping","non-dropping-particle":"","parse-names":false,"suffix":""}],"container-title":"Cost effectiveness and resource allocation","id":"ITEM-1","issue":"1","issued":{"date-parts":[["2018"]]},"page":"1","publisher":"BioMed Central Ltd","publisher-place":"England","title":"Effects of prescription restrictive interventions on antibiotic procurement in primary care settings: a controlled interrupted time series study in China","type":"article-journal","volume":"16"},"uris":["http://www.mendeley.com/documents/?uuid=81d05bfb-dfe0-4d31-9ade-05496e889736"]}],"mendeley":{"formattedCitation":"(280)","plainTextFormattedCitation":"(280)","previouslyFormattedCitation":"(280)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4D606A0"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21C8D23D"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303624C9"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82DF675" w14:textId="22676215" w:rsidR="00F422E5" w:rsidRPr="00EC3E91" w:rsidRDefault="00F422E5" w:rsidP="00C02742">
            <w:pPr>
              <w:rPr>
                <w:sz w:val="20"/>
                <w:szCs w:val="20"/>
                <w:lang w:val="en-US"/>
              </w:rPr>
            </w:pPr>
            <w:r w:rsidRPr="00EC3E91">
              <w:rPr>
                <w:sz w:val="20"/>
                <w:szCs w:val="20"/>
                <w:lang w:val="en-US"/>
              </w:rPr>
              <w:t>Efficacy/Effectiveness, Cost-</w:t>
            </w:r>
            <w:r w:rsidR="00F560E2" w:rsidRPr="00EC3E91">
              <w:rPr>
                <w:sz w:val="20"/>
                <w:szCs w:val="20"/>
                <w:lang w:val="en-US"/>
              </w:rPr>
              <w:t>effectiveness</w:t>
            </w:r>
          </w:p>
        </w:tc>
        <w:tc>
          <w:tcPr>
            <w:tcW w:w="1134" w:type="dxa"/>
            <w:tcBorders>
              <w:top w:val="single" w:sz="4" w:space="0" w:color="auto"/>
              <w:left w:val="nil"/>
              <w:bottom w:val="single" w:sz="4" w:space="0" w:color="auto"/>
              <w:right w:val="nil"/>
            </w:tcBorders>
            <w:hideMark/>
          </w:tcPr>
          <w:p w14:paraId="0654AC44"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961644C" w14:textId="77777777" w:rsidR="00F422E5" w:rsidRPr="00EC3E91" w:rsidRDefault="00F422E5" w:rsidP="00C02742">
            <w:pPr>
              <w:rPr>
                <w:sz w:val="20"/>
                <w:szCs w:val="20"/>
                <w:lang w:val="en-US"/>
              </w:rPr>
            </w:pPr>
            <w:r w:rsidRPr="00EC3E91">
              <w:rPr>
                <w:sz w:val="20"/>
                <w:szCs w:val="20"/>
                <w:lang w:val="en-US"/>
              </w:rPr>
              <w:t>Inappropriate prescribing of antibiotics</w:t>
            </w:r>
          </w:p>
        </w:tc>
        <w:tc>
          <w:tcPr>
            <w:tcW w:w="3970" w:type="dxa"/>
            <w:tcBorders>
              <w:top w:val="single" w:sz="4" w:space="0" w:color="auto"/>
              <w:left w:val="nil"/>
              <w:bottom w:val="single" w:sz="4" w:space="0" w:color="auto"/>
              <w:right w:val="nil"/>
            </w:tcBorders>
            <w:hideMark/>
          </w:tcPr>
          <w:p w14:paraId="2851AF46" w14:textId="77777777" w:rsidR="00F422E5" w:rsidRPr="00EC3E91" w:rsidRDefault="00F422E5" w:rsidP="00C02742">
            <w:pPr>
              <w:rPr>
                <w:sz w:val="20"/>
                <w:szCs w:val="20"/>
                <w:lang w:val="en-US"/>
              </w:rPr>
            </w:pPr>
            <w:r w:rsidRPr="00EC3E91">
              <w:rPr>
                <w:sz w:val="20"/>
                <w:szCs w:val="20"/>
                <w:lang w:val="en-US"/>
              </w:rPr>
              <w:t>World Health Organization (WHO). The World medicines situation 2011: rational use of medicines.</w:t>
            </w:r>
          </w:p>
        </w:tc>
        <w:tc>
          <w:tcPr>
            <w:tcW w:w="2551" w:type="dxa"/>
            <w:tcBorders>
              <w:top w:val="single" w:sz="4" w:space="0" w:color="auto"/>
              <w:left w:val="nil"/>
              <w:bottom w:val="single" w:sz="4" w:space="0" w:color="auto"/>
              <w:right w:val="nil"/>
            </w:tcBorders>
            <w:hideMark/>
          </w:tcPr>
          <w:p w14:paraId="60BDC70D" w14:textId="31C4BE4B" w:rsidR="00F422E5" w:rsidRPr="00EC3E91" w:rsidRDefault="00F422E5" w:rsidP="00C02742">
            <w:pPr>
              <w:rPr>
                <w:sz w:val="20"/>
                <w:szCs w:val="20"/>
                <w:lang w:val="en-US"/>
              </w:rPr>
            </w:pPr>
            <w:r w:rsidRPr="00EC3E91">
              <w:rPr>
                <w:sz w:val="20"/>
                <w:szCs w:val="20"/>
                <w:lang w:val="en-US"/>
              </w:rPr>
              <w:t>[</w:t>
            </w:r>
            <w:r w:rsidR="00804306">
              <w:rPr>
                <w:sz w:val="20"/>
                <w:szCs w:val="20"/>
                <w:lang w:val="en-US"/>
              </w:rPr>
              <w:t>POLICY AND REGULATION</w:t>
            </w:r>
            <w:r w:rsidRPr="00EC3E91">
              <w:rPr>
                <w:sz w:val="20"/>
                <w:szCs w:val="20"/>
                <w:lang w:val="en-US"/>
              </w:rPr>
              <w:t>], distribute educational materials, change physical structure and equipment, [</w:t>
            </w:r>
            <w:r w:rsidR="00052EAE">
              <w:rPr>
                <w:sz w:val="20"/>
                <w:szCs w:val="20"/>
                <w:lang w:val="en-US"/>
              </w:rPr>
              <w:t>ACCOUNTABILITY TOOL</w:t>
            </w:r>
            <w:r w:rsidRPr="00EC3E91">
              <w:rPr>
                <w:sz w:val="20"/>
                <w:szCs w:val="20"/>
                <w:lang w:val="en-US"/>
              </w:rPr>
              <w:t>], develop and organize quality monitoring system</w:t>
            </w:r>
          </w:p>
        </w:tc>
      </w:tr>
      <w:tr w:rsidR="00F422E5" w:rsidRPr="00E119DD" w14:paraId="303A9902" w14:textId="77777777" w:rsidTr="00F422E5">
        <w:trPr>
          <w:trHeight w:val="2235"/>
        </w:trPr>
        <w:tc>
          <w:tcPr>
            <w:tcW w:w="993" w:type="dxa"/>
            <w:tcBorders>
              <w:top w:val="single" w:sz="4" w:space="0" w:color="auto"/>
              <w:left w:val="nil"/>
              <w:bottom w:val="single" w:sz="4" w:space="0" w:color="auto"/>
              <w:right w:val="nil"/>
            </w:tcBorders>
          </w:tcPr>
          <w:p w14:paraId="2E1B0570" w14:textId="36C2E68A" w:rsidR="00F422E5" w:rsidRPr="00EC3E91" w:rsidRDefault="00B32B6F" w:rsidP="00C02742">
            <w:pPr>
              <w:rPr>
                <w:sz w:val="20"/>
                <w:szCs w:val="20"/>
                <w:lang w:val="en-US"/>
              </w:rPr>
            </w:pPr>
            <w:r w:rsidRPr="00EC3E91">
              <w:rPr>
                <w:sz w:val="20"/>
                <w:szCs w:val="20"/>
                <w:lang w:val="en-US"/>
              </w:rPr>
              <w:lastRenderedPageBreak/>
              <w:fldChar w:fldCharType="begin" w:fldLock="1"/>
            </w:r>
            <w:r w:rsidR="00DA54B9">
              <w:rPr>
                <w:sz w:val="20"/>
                <w:szCs w:val="20"/>
                <w:lang w:val="en-US"/>
              </w:rPr>
              <w:instrText>ADDIN CSL_CITATION {"citationItems":[{"id":"ITEM-1","itemData":{"ISSN":"0749-5161","abstract":"Objective This study aimed (1) to reduce use of ineffective testing and therapies in children with bronchiolitis across outpatient settings in a large pediatric health care system and (2) to assess the cost impact and sustainability of these initiatives. Methods We designed a system-wide quality improvement project for patients with bronchiolitis seen in 3 emergency departments (EDs) and 5 urgent care (UC) centers. Interventions included development of a best-practice guideline and education of all clinicians (physicians, nurses, and respiratory therapists), ongoing performance feedback for physicians, and a small physician financial incentive. Measures evaluated included use of chest x-ray (CXR), albuterol, viral testing, and direct (variable) costs. Data were tracked using statistical process control charts. Results For 3 bronchiolitis seasons, albuterol use decreased from 54% to 16% in UC and from 45% to 16% in ED. Chest x-ray usage decreased from 29% to 9% in UC and from 21% to 12% in the ED. Viral testing in UC decreased from 18% to 2%. Cost of care was reduced by $283,384 within our system in the first 2 seasons following guideline implementation. Improvements beginning in the first bronchiolitis season were sustained and strengthened in the second and third seasons. Admissions from the ED and admissions after return to the ED within 48 hours of initial discharge did not change. Conclusion A system-wide quality improvement project involving multiple outpatient care settings reduced the use of ineffective therapies and interventions in patients with bronchiolitis and resulted in significant cost savings. Improvements in care were sustained for 3 bronchiolitis seasons.","author":[{"dropping-particle":"","family":"Tejedor-Sojo","given":"Javier","non-dropping-particle":"","parse-names":false,"suffix":""},{"dropping-particle":"","family":"Chan","given":"K Ning","non-dropping-particle":"","parse-names":false,"suffix":""},{"dropping-particle":"","family":"Bailey","given":"Martha","non-dropping-particle":"","parse-names":false,"suffix":""},{"dropping-particle":"","family":"Williams","given":"Abby","non-dropping-particle":"","parse-names":false,"suffix":""},{"dropping-particle":"","family":"Killgore","given":"Maggie","non-dropping-particle":"","parse-names":false,"suffix":""},{"dropping-particle":"","family":"Gillard","given":"Laura","non-dropping-particle":"","parse-names":false,"suffix":""},{"dropping-particle":"","family":"Campo","given":"Mary","non-dropping-particle":"","parse-names":false,"suffix":""},{"dropping-particle":"","family":"Hua","given":"Hannah","non-dropping-particle":"","parse-names":false,"suffix":""},{"dropping-particle":"","family":"Jain","given":"Shabnam","non-dropping-particle":"","parse-names":false,"suffix":""}],"container-title":"Pediatric Emergency Care","id":"ITEM-1","issue":"11","issued":{"date-parts":[["2019"]]},"title":"Improving Bronchiolitis Care in Outpatient Settings Across a Health Care System","type":"article-journal","volume":"35"},"uris":["http://www.mendeley.com/documents/?uuid=21c004ab-e58a-303e-b6e3-6b4188d07bea"]}],"mendeley":{"formattedCitation":"(281)","plainTextFormattedCitation":"(281)","previouslyFormattedCitation":"(281)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DAC77B9"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3C79CC79"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27A616C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9C38098" w14:textId="219683A7" w:rsidR="00F422E5" w:rsidRPr="00EC3E91" w:rsidRDefault="00F422E5" w:rsidP="00C02742">
            <w:pPr>
              <w:rPr>
                <w:sz w:val="20"/>
                <w:szCs w:val="20"/>
                <w:lang w:val="en-US"/>
              </w:rPr>
            </w:pPr>
            <w:r w:rsidRPr="00EC3E91">
              <w:rPr>
                <w:sz w:val="20"/>
                <w:szCs w:val="20"/>
                <w:lang w:val="en-US"/>
              </w:rPr>
              <w:t>Efficacy/Effectiveness, Cost-</w:t>
            </w:r>
            <w:r w:rsidR="00F560E2" w:rsidRPr="00EC3E91">
              <w:rPr>
                <w:sz w:val="20"/>
                <w:szCs w:val="20"/>
                <w:lang w:val="en-US"/>
              </w:rPr>
              <w:t>effectiveness</w:t>
            </w:r>
          </w:p>
        </w:tc>
        <w:tc>
          <w:tcPr>
            <w:tcW w:w="1134" w:type="dxa"/>
            <w:tcBorders>
              <w:top w:val="single" w:sz="4" w:space="0" w:color="auto"/>
              <w:left w:val="nil"/>
              <w:bottom w:val="single" w:sz="4" w:space="0" w:color="auto"/>
              <w:right w:val="nil"/>
            </w:tcBorders>
            <w:hideMark/>
          </w:tcPr>
          <w:p w14:paraId="4C290D93" w14:textId="77777777" w:rsidR="00F422E5" w:rsidRPr="00EC3E91" w:rsidRDefault="00F422E5" w:rsidP="00C02742">
            <w:pPr>
              <w:rPr>
                <w:sz w:val="20"/>
                <w:szCs w:val="20"/>
                <w:lang w:val="en-US"/>
              </w:rPr>
            </w:pPr>
            <w:r w:rsidRPr="00EC3E91">
              <w:rPr>
                <w:sz w:val="20"/>
                <w:szCs w:val="20"/>
                <w:lang w:val="en-US"/>
              </w:rPr>
              <w:t>Lab tests, 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5DFAAFBF" w14:textId="77777777" w:rsidR="00F422E5" w:rsidRPr="00EC3E91" w:rsidRDefault="00F422E5" w:rsidP="00C02742">
            <w:pPr>
              <w:rPr>
                <w:sz w:val="20"/>
                <w:szCs w:val="20"/>
                <w:lang w:val="en-US"/>
              </w:rPr>
            </w:pPr>
            <w:r w:rsidRPr="00EC3E91">
              <w:rPr>
                <w:sz w:val="20"/>
                <w:szCs w:val="20"/>
                <w:lang w:val="en-US"/>
              </w:rPr>
              <w:t>ineffective testing and therapies in children with bronchiolitis</w:t>
            </w:r>
          </w:p>
        </w:tc>
        <w:tc>
          <w:tcPr>
            <w:tcW w:w="3970" w:type="dxa"/>
            <w:tcBorders>
              <w:top w:val="single" w:sz="4" w:space="0" w:color="auto"/>
              <w:left w:val="nil"/>
              <w:bottom w:val="single" w:sz="4" w:space="0" w:color="auto"/>
              <w:right w:val="nil"/>
            </w:tcBorders>
            <w:hideMark/>
          </w:tcPr>
          <w:p w14:paraId="75350913"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American Academy of Pediatrics Guideline</w:t>
            </w:r>
          </w:p>
        </w:tc>
        <w:tc>
          <w:tcPr>
            <w:tcW w:w="2551" w:type="dxa"/>
            <w:tcBorders>
              <w:top w:val="single" w:sz="4" w:space="0" w:color="auto"/>
              <w:left w:val="nil"/>
              <w:bottom w:val="single" w:sz="4" w:space="0" w:color="auto"/>
              <w:right w:val="nil"/>
            </w:tcBorders>
            <w:hideMark/>
          </w:tcPr>
          <w:p w14:paraId="0EAA242D" w14:textId="7AF70CAE" w:rsidR="00F422E5" w:rsidRPr="00EC3E91" w:rsidRDefault="00F422E5" w:rsidP="00C02742">
            <w:pPr>
              <w:rPr>
                <w:sz w:val="20"/>
                <w:szCs w:val="20"/>
                <w:lang w:val="en-US"/>
              </w:rPr>
            </w:pPr>
            <w:r w:rsidRPr="00EC3E91">
              <w:rPr>
                <w:sz w:val="20"/>
                <w:szCs w:val="20"/>
                <w:lang w:val="en-US"/>
              </w:rPr>
              <w:t xml:space="preserve">distribute </w:t>
            </w:r>
            <w:r w:rsidR="00F560E2" w:rsidRPr="00EC3E91">
              <w:rPr>
                <w:sz w:val="20"/>
                <w:szCs w:val="20"/>
                <w:lang w:val="en-US"/>
              </w:rPr>
              <w:t>educational</w:t>
            </w:r>
            <w:r w:rsidRPr="00EC3E91">
              <w:rPr>
                <w:sz w:val="20"/>
                <w:szCs w:val="20"/>
                <w:lang w:val="en-US"/>
              </w:rPr>
              <w:t xml:space="preserve"> materials, change physical structure and equipment, make training dynamic, develop educational materials, audit and provide feedback, alter incentive/</w:t>
            </w:r>
            <w:r w:rsidR="00F560E2" w:rsidRPr="00EC3E91">
              <w:rPr>
                <w:sz w:val="20"/>
                <w:szCs w:val="20"/>
                <w:lang w:val="en-US"/>
              </w:rPr>
              <w:t>allowance</w:t>
            </w:r>
            <w:r w:rsidRPr="00EC3E91">
              <w:rPr>
                <w:sz w:val="20"/>
                <w:szCs w:val="20"/>
                <w:lang w:val="en-US"/>
              </w:rPr>
              <w:t xml:space="preserve"> structure. Assess readiness and identify barriers and facilitators </w:t>
            </w:r>
          </w:p>
        </w:tc>
      </w:tr>
      <w:tr w:rsidR="00F422E5" w:rsidRPr="00E119DD" w14:paraId="7E4B5C43" w14:textId="77777777" w:rsidTr="00F422E5">
        <w:trPr>
          <w:trHeight w:val="2235"/>
        </w:trPr>
        <w:tc>
          <w:tcPr>
            <w:tcW w:w="993" w:type="dxa"/>
            <w:tcBorders>
              <w:top w:val="single" w:sz="4" w:space="0" w:color="auto"/>
              <w:left w:val="nil"/>
              <w:bottom w:val="single" w:sz="4" w:space="0" w:color="auto"/>
              <w:right w:val="nil"/>
            </w:tcBorders>
          </w:tcPr>
          <w:p w14:paraId="530CA037" w14:textId="22A7BC90" w:rsidR="00F422E5" w:rsidRPr="00EC3E91" w:rsidRDefault="00EE1FBA"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{"citationItems":[{"id":"ITEM-1","itemData":{"DOI":"10.1186/s12913-019-4033-1","ISSN":"1472-6963","abstract":"Concerted quality improvement (QI) efforts have been taken to discourage the practice of early elective deliveries (EEDs), but few studies have robustly examined the impact of directed QI interventions in reducing EED practices. Using quasi-experimental methods, we sought to evaluate the impact of a statewide QI intervention to reduce the practice of EEDs.","author":[{"dropping-particle":"","family":"Thompson","given":"Michael P","non-dropping-particle":"","parse-names":false,"suffix":""},{"dropping-particle":"","family":"Graetz","given":"Ilana","non-dropping-particle":"","parse-names":false,"suffix":""},{"dropping-particle":"","family":"McKillop","given":"Caitlin N","non-dropping-particle":"","parse-names":false,"suffix":""},{"dropping-particle":"","family":"Grubb","given":"Peter H","non-dropping-particle":"","parse-names":false,"suffix":""},{"dropping-particle":"","family":"Waters","given":"Teresa M","non-dropping-particle":"","parse-names":false,"suffix":""}],"container-title":"BMC Health Services Research","id":"ITEM-1","issue":"1","issued":{"date-parts":[["2019"]]},"page":"208","title":"Evaluation of a Tennessee statewide initiative to reduce early elective deliveries using quasi-experimental methods","type":"article-journal","volume":"19"},"uris":["http://www.mendeley.com/documents/?uuid=e871cd92-c6a9-348b-9d48-41e7d4f6394e"]}],"mendeley":{"formattedCitation":"(282)","plainTextFormattedCitation":"(282)","previouslyFormattedCitation":"(282)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66B4A8E"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7D17E4A0"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8AAD36D"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6C7DB577"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DA79144" w14:textId="2A08FAD7" w:rsidR="00F422E5" w:rsidRPr="00EC3E91" w:rsidRDefault="00F422E5" w:rsidP="00C02742">
            <w:pPr>
              <w:rPr>
                <w:sz w:val="20"/>
                <w:szCs w:val="20"/>
                <w:lang w:val="en-US"/>
              </w:rPr>
            </w:pPr>
            <w:r w:rsidRPr="00EC3E91">
              <w:rPr>
                <w:sz w:val="20"/>
                <w:szCs w:val="20"/>
                <w:lang w:val="en-US"/>
              </w:rPr>
              <w:t xml:space="preserve">Surgical and </w:t>
            </w:r>
            <w:r w:rsidR="00F560E2" w:rsidRPr="00EC3E91">
              <w:rPr>
                <w:sz w:val="20"/>
                <w:szCs w:val="20"/>
                <w:lang w:val="en-US"/>
              </w:rPr>
              <w:t>non-surgical</w:t>
            </w:r>
            <w:r w:rsidRPr="00EC3E91">
              <w:rPr>
                <w:sz w:val="20"/>
                <w:szCs w:val="20"/>
                <w:lang w:val="en-US"/>
              </w:rPr>
              <w:t xml:space="preserve"> procedures</w:t>
            </w:r>
          </w:p>
        </w:tc>
        <w:tc>
          <w:tcPr>
            <w:tcW w:w="2126" w:type="dxa"/>
            <w:tcBorders>
              <w:top w:val="single" w:sz="4" w:space="0" w:color="auto"/>
              <w:left w:val="nil"/>
              <w:bottom w:val="single" w:sz="4" w:space="0" w:color="auto"/>
              <w:right w:val="nil"/>
            </w:tcBorders>
            <w:hideMark/>
          </w:tcPr>
          <w:p w14:paraId="107C9B13" w14:textId="77777777" w:rsidR="00F422E5" w:rsidRPr="00EC3E91" w:rsidRDefault="00F422E5" w:rsidP="00C02742">
            <w:pPr>
              <w:rPr>
                <w:sz w:val="20"/>
                <w:szCs w:val="20"/>
                <w:lang w:val="en-US"/>
              </w:rPr>
            </w:pPr>
            <w:r w:rsidRPr="00EC3E91">
              <w:rPr>
                <w:sz w:val="20"/>
                <w:szCs w:val="20"/>
                <w:lang w:val="en-US"/>
              </w:rPr>
              <w:t>Early elective deliveries (EEDs)</w:t>
            </w:r>
          </w:p>
        </w:tc>
        <w:tc>
          <w:tcPr>
            <w:tcW w:w="3970" w:type="dxa"/>
            <w:tcBorders>
              <w:top w:val="single" w:sz="4" w:space="0" w:color="auto"/>
              <w:left w:val="nil"/>
              <w:bottom w:val="single" w:sz="4" w:space="0" w:color="auto"/>
              <w:right w:val="nil"/>
            </w:tcBorders>
            <w:hideMark/>
          </w:tcPr>
          <w:p w14:paraId="1755D251" w14:textId="77777777" w:rsidR="00F422E5" w:rsidRPr="00EC3E91" w:rsidRDefault="00F422E5" w:rsidP="00C02742">
            <w:pPr>
              <w:rPr>
                <w:sz w:val="20"/>
                <w:szCs w:val="20"/>
                <w:lang w:val="en-US"/>
              </w:rPr>
            </w:pPr>
            <w:r w:rsidRPr="00EC3E91">
              <w:rPr>
                <w:sz w:val="20"/>
                <w:szCs w:val="20"/>
                <w:lang w:val="en-US"/>
              </w:rPr>
              <w:t>The American College of Obstetricians and Gynecologists. Avoidance of Nonmedically Indicated Early-Term Deliveries and Associated Neonatal Morbidities.</w:t>
            </w:r>
          </w:p>
        </w:tc>
        <w:tc>
          <w:tcPr>
            <w:tcW w:w="2551" w:type="dxa"/>
            <w:tcBorders>
              <w:top w:val="single" w:sz="4" w:space="0" w:color="auto"/>
              <w:left w:val="nil"/>
              <w:bottom w:val="single" w:sz="4" w:space="0" w:color="auto"/>
              <w:right w:val="nil"/>
            </w:tcBorders>
            <w:hideMark/>
          </w:tcPr>
          <w:p w14:paraId="5272198F" w14:textId="7CE34889" w:rsidR="00B41291" w:rsidRPr="00EC3E91" w:rsidRDefault="00F422E5" w:rsidP="00C02742">
            <w:pPr>
              <w:rPr>
                <w:sz w:val="20"/>
                <w:szCs w:val="20"/>
                <w:lang w:val="en-US"/>
              </w:rPr>
            </w:pPr>
            <w:r w:rsidRPr="00EC3E91">
              <w:rPr>
                <w:sz w:val="20"/>
                <w:szCs w:val="20"/>
                <w:lang w:val="en-US"/>
              </w:rPr>
              <w:t>audit and provide feedback, conduct educational meeting, create a learning collaborative</w:t>
            </w:r>
          </w:p>
        </w:tc>
      </w:tr>
      <w:tr w:rsidR="00FE3AF6" w:rsidRPr="00E119DD" w14:paraId="04934006" w14:textId="77777777" w:rsidTr="00F422E5">
        <w:trPr>
          <w:trHeight w:val="2235"/>
        </w:trPr>
        <w:tc>
          <w:tcPr>
            <w:tcW w:w="993" w:type="dxa"/>
            <w:tcBorders>
              <w:top w:val="single" w:sz="4" w:space="0" w:color="auto"/>
              <w:left w:val="nil"/>
              <w:bottom w:val="single" w:sz="4" w:space="0" w:color="auto"/>
              <w:right w:val="nil"/>
            </w:tcBorders>
          </w:tcPr>
          <w:p w14:paraId="63E0EEB8" w14:textId="1FF57437" w:rsidR="00FE3AF6" w:rsidRPr="00EC3E91" w:rsidRDefault="00217E76"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{"citationItems":[{"id":"ITEM-1","itemData":{"DOI":"10.1186/s12913-019-4033-1","ISSN":"1472-6963","abstract":"Concerted quality improvement (QI) efforts have been taken to discourage the practice of early elective deliveries (EEDs), but few studies have robustly examined the impact of directed QI interventions in reducing EED practices. Using quasi-experimental methods, we sought to evaluate the impact of a statewide QI intervention to reduce the practice of EEDs.","author":[{"dropping-particle":"","family":"Thompson","given":"Michael P","non-dropping-particle":"","parse-names":false,"suffix":""},{"dropping-particle":"","family":"Graetz","given":"Ilana","non-dropping-particle":"","parse-names":false,"suffix":""},{"dropping-particle":"","family":"McKillop","given":"Caitlin N","non-dropping-particle":"","parse-names":false,"suffix":""},{"dropping-particle":"","family":"Grubb","given":"Peter H","non-dropping-particle":"","parse-names":false,"suffix":""},{"dropping-particle":"","family":"Waters","given":"Teresa M","non-dropping-particle":"","parse-names":false,"suffix":""}],"container-title":"BMC Health Services Research","id":"ITEM-1","issue":"1","issued":{"date-parts":[["2019"]]},"page":"208","title":"Evaluation of a Tennessee statewide initiative to reduce early elective deliveries using quasi-experimental methods","type":"article-journal","volume":"19"},"uris":["http://www.mendeley.com/documents/?uuid=e871cd92-c6a9-348b-9d48-41e7d4f6394e"]}],"mendeley":{"formattedCitation":"(282)","plainTextFormattedCitation":"(282)","previouslyFormattedCitation":"(282)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(282)</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47330081" w14:textId="4139911B" w:rsidR="00FE3AF6" w:rsidRPr="00EC3E91" w:rsidRDefault="00217E76"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tcPr>
          <w:p w14:paraId="0AA731C7" w14:textId="223DCCB0" w:rsidR="00FE3AF6" w:rsidRPr="00EC3E91" w:rsidRDefault="00217E76"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tcPr>
          <w:p w14:paraId="4B2D5BC2" w14:textId="26123A52" w:rsidR="00FE3AF6" w:rsidRPr="00EC3E91" w:rsidRDefault="00217E76" w:rsidP="00C02742">
            <w:pPr>
              <w:rPr>
                <w:sz w:val="20"/>
                <w:szCs w:val="20"/>
                <w:lang w:val="en-US"/>
              </w:rPr>
            </w:pPr>
            <w:r w:rsidRPr="00EC3E91">
              <w:rPr>
                <w:sz w:val="20"/>
                <w:szCs w:val="20"/>
                <w:lang w:val="en-US"/>
              </w:rPr>
              <w:t>Mixed</w:t>
            </w:r>
            <w:r w:rsidR="00F4627B" w:rsidRPr="00EC3E91">
              <w:rPr>
                <w:sz w:val="20"/>
                <w:szCs w:val="20"/>
                <w:lang w:val="en-US"/>
              </w:rPr>
              <w:t>/Quasi-experimental</w:t>
            </w:r>
          </w:p>
        </w:tc>
        <w:tc>
          <w:tcPr>
            <w:tcW w:w="851" w:type="dxa"/>
            <w:tcBorders>
              <w:top w:val="single" w:sz="4" w:space="0" w:color="auto"/>
              <w:left w:val="nil"/>
              <w:bottom w:val="single" w:sz="4" w:space="0" w:color="auto"/>
              <w:right w:val="nil"/>
            </w:tcBorders>
          </w:tcPr>
          <w:p w14:paraId="262611B9" w14:textId="0434A4C0" w:rsidR="00FE3AF6" w:rsidRPr="00EC3E91" w:rsidRDefault="00F4627B"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1D829D6E" w14:textId="493AC674" w:rsidR="00FE3AF6" w:rsidRPr="00EC3E91" w:rsidRDefault="00C91A58"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tcPr>
          <w:p w14:paraId="36DE59C8" w14:textId="53E07094" w:rsidR="00FE3AF6" w:rsidRPr="00EC3E91" w:rsidRDefault="00197F01" w:rsidP="00C02742">
            <w:pPr>
              <w:rPr>
                <w:sz w:val="20"/>
                <w:szCs w:val="20"/>
                <w:lang w:val="en-US"/>
              </w:rPr>
            </w:pPr>
            <w:r w:rsidRPr="00EC3E91">
              <w:rPr>
                <w:sz w:val="20"/>
                <w:szCs w:val="20"/>
                <w:lang w:val="en-US"/>
              </w:rPr>
              <w:t>CXR ordering</w:t>
            </w:r>
          </w:p>
        </w:tc>
        <w:tc>
          <w:tcPr>
            <w:tcW w:w="3970" w:type="dxa"/>
            <w:tcBorders>
              <w:top w:val="single" w:sz="4" w:space="0" w:color="auto"/>
              <w:left w:val="nil"/>
              <w:bottom w:val="single" w:sz="4" w:space="0" w:color="auto"/>
              <w:right w:val="nil"/>
            </w:tcBorders>
          </w:tcPr>
          <w:p w14:paraId="0BD26893" w14:textId="77777777" w:rsidR="00C91A58" w:rsidRPr="00EC3E91" w:rsidRDefault="00C91A58" w:rsidP="00C91A58">
            <w:pPr>
              <w:rPr>
                <w:sz w:val="20"/>
                <w:szCs w:val="20"/>
                <w:lang w:val="en-US"/>
              </w:rPr>
            </w:pPr>
            <w:r w:rsidRPr="00EC3E91">
              <w:rPr>
                <w:sz w:val="20"/>
                <w:szCs w:val="20"/>
                <w:lang w:val="en-US"/>
              </w:rPr>
              <w:t xml:space="preserve">An official American Thoracic Society/American Association of Critical-Care Nurses/American College of Chest Physicians/Society of Critical Care Medicine policy statement: the Choosing Wisely® top 5 list in critical care medicine. </w:t>
            </w:r>
          </w:p>
          <w:p w14:paraId="70A88153" w14:textId="77777777" w:rsidR="00C91A58" w:rsidRPr="00EC3E91" w:rsidRDefault="00C91A58" w:rsidP="00C91A58">
            <w:pPr>
              <w:rPr>
                <w:sz w:val="20"/>
                <w:szCs w:val="20"/>
                <w:lang w:val="en-US"/>
              </w:rPr>
            </w:pPr>
          </w:p>
          <w:p w14:paraId="0B2718D0" w14:textId="5DAA7DC9" w:rsidR="00FE3AF6" w:rsidRPr="00EC3E91" w:rsidRDefault="00C91A58" w:rsidP="00C91A58">
            <w:pPr>
              <w:rPr>
                <w:sz w:val="20"/>
                <w:szCs w:val="20"/>
                <w:lang w:val="en-US"/>
              </w:rPr>
            </w:pPr>
            <w:r w:rsidRPr="00EC3E91">
              <w:rPr>
                <w:sz w:val="20"/>
                <w:szCs w:val="20"/>
                <w:lang w:val="en-US"/>
              </w:rPr>
              <w:t>ACR appropriateness criteria® routine chest radiography.</w:t>
            </w:r>
          </w:p>
        </w:tc>
        <w:tc>
          <w:tcPr>
            <w:tcW w:w="2551" w:type="dxa"/>
            <w:tcBorders>
              <w:top w:val="single" w:sz="4" w:space="0" w:color="auto"/>
              <w:left w:val="nil"/>
              <w:bottom w:val="single" w:sz="4" w:space="0" w:color="auto"/>
              <w:right w:val="nil"/>
            </w:tcBorders>
          </w:tcPr>
          <w:p w14:paraId="75EF9E27" w14:textId="358661BC" w:rsidR="00FE3AF6" w:rsidRPr="00EC3E91" w:rsidRDefault="000E59FA" w:rsidP="00C02742">
            <w:pPr>
              <w:rPr>
                <w:sz w:val="20"/>
                <w:szCs w:val="20"/>
                <w:lang w:val="en-US"/>
              </w:rPr>
            </w:pPr>
            <w:r w:rsidRPr="00EC3E91">
              <w:rPr>
                <w:sz w:val="20"/>
                <w:szCs w:val="20"/>
                <w:lang w:val="en-US"/>
              </w:rPr>
              <w:t xml:space="preserve">conduct educational meeting, audit and feedback, develop educational materials, </w:t>
            </w:r>
            <w:r w:rsidR="00F560E2" w:rsidRPr="00EC3E91">
              <w:rPr>
                <w:sz w:val="20"/>
                <w:szCs w:val="20"/>
                <w:lang w:val="en-US"/>
              </w:rPr>
              <w:t>use</w:t>
            </w:r>
            <w:r w:rsidRPr="00EC3E91">
              <w:rPr>
                <w:sz w:val="20"/>
                <w:szCs w:val="20"/>
                <w:lang w:val="en-US"/>
              </w:rPr>
              <w:t xml:space="preserve"> advisory boards and workgroups, conduct cyclical small tests of change, </w:t>
            </w:r>
            <w:r w:rsidR="00D15AE9" w:rsidRPr="00EC3E91">
              <w:rPr>
                <w:sz w:val="20"/>
                <w:szCs w:val="20"/>
                <w:lang w:val="en-US"/>
              </w:rPr>
              <w:t>assess</w:t>
            </w:r>
            <w:r w:rsidRPr="00EC3E91">
              <w:rPr>
                <w:sz w:val="20"/>
                <w:szCs w:val="20"/>
                <w:lang w:val="en-US"/>
              </w:rPr>
              <w:t xml:space="preserve"> readiness and identify barriers and facilitators</w:t>
            </w:r>
          </w:p>
        </w:tc>
      </w:tr>
      <w:tr w:rsidR="00F422E5" w:rsidRPr="00E119DD" w14:paraId="36886E64" w14:textId="77777777" w:rsidTr="00F422E5">
        <w:trPr>
          <w:trHeight w:val="2235"/>
        </w:trPr>
        <w:tc>
          <w:tcPr>
            <w:tcW w:w="993" w:type="dxa"/>
            <w:tcBorders>
              <w:top w:val="single" w:sz="4" w:space="0" w:color="auto"/>
              <w:left w:val="nil"/>
              <w:bottom w:val="single" w:sz="4" w:space="0" w:color="auto"/>
              <w:right w:val="nil"/>
            </w:tcBorders>
          </w:tcPr>
          <w:p w14:paraId="2C1F63F6" w14:textId="2C9039E5" w:rsidR="00F422E5" w:rsidRPr="00EC3E91" w:rsidRDefault="00B47D17"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 xml:space="preserve">ADDIN CSL_CITATION {"citationItems":[{"id":"ITEM-1","itemData":{"DOI":"10.1177/2042098618804490","ISSN":"2042-0986","abstract":"Background:\nLittle is known about the initiation, style and content of patient and healthcare provider communication around deprescribing. We report the findings from a content analysis of audio-recorded discussions of proton pump inhibitor (PPI) and benzodiazepine deprescribing in primary care.\nMethods:\nParticipants were healthcare providers (n = 13) from primary care practices (n = 3) and patients aged </w:instrText>
            </w:r>
            <w:r w:rsidR="006A62A1">
              <w:rPr>
                <w:rFonts w:ascii="Cambria Math" w:hAnsi="Cambria Math" w:cs="Cambria Math"/>
                <w:sz w:val="20"/>
                <w:szCs w:val="20"/>
                <w:lang w:val="en-US"/>
              </w:rPr>
              <w:instrText>⩾</w:instrText>
            </w:r>
            <w:r w:rsidR="006A62A1">
              <w:rPr>
                <w:sz w:val="20"/>
                <w:szCs w:val="20"/>
                <w:lang w:val="en-US"/>
              </w:rPr>
              <w:instrText>65 (n = 24) who were chronic users of PPIs or benzodiazepines. The EMPOWER educational brochures were distributed prior to (n = 15) or after (n = 9) the patient’s usual healthcare provider appointment. Conversations were audio-recorded and coded using MEDICODE to analyze who initiated different themes, whether they followed a monologue or dialogue style, and to what extent the thematic content addressed issues pertaining to: ‘dosage/instructions,’ ‘medication action and efficacy,’ ‘risk/adverse effects,’ ‘attitudes/emotions,’ ‘adherence’ and ‘follow up.’ Descriptive analysis of the conversations was performed with comparison between patients who received the EMPOWER brochure before or after their appointments.\nResults:\nPatients were mostly women (67%) with a mean age of 74 ± 6 years. For PPI users, prior education resulted in a greater proportion of themes initiated by patients (44% versus 17%) and maintaining dialogue-style conversations (48% versus 28%). Among benzodiazepine users, conversation initiation (52% versus 47%) and conversation style was similar between both groups. The content of deprescribing conversations for PPIs revealed that patients and their healthcare providers focused less on ‘dosage/instructions,’ and more on the ‘medication action and efficacy’ and the necessity for ‘follow up.’ Conversations about stopping benzodiazepines were more likely to stagnate on the ‘if’ rather than the ‘how.’\nConclusion:\nThe initiation, style and content of the conversations varied between PPI and benzodiazepine users, suggesting that healthcare providers will need to tailor deprescribing conversations accordingly.","author":[{"dropping-particle":"","family":"Turner","given":"Justin P","non-dropping-particle":"","parse-names":false,"suffix":""},{"dropping-particle":"","family":"Richard","given":"Claude","non-dropping-particle":"","parse-names":false,"suffix":""},{"dropping-particle":"","family":"Lussier","given":"Marie-Thérèse","non-dropping-particle":"","parse-names":false,"suffix":""},{"dropping-particle":"","family":"Lavoie","given":"Marie-Eve","non-dropping-particle":"","parse-names":false,"suffix":""},{"dropping-particle":"","family":"Farrell","given":"Barbara","non-dropping-particle":"","parse-names":false,"suffix":""},{"dropping-particle":"","family":"Roberge","given":"Denis","non-dropping-particle":"","parse-names":false,"suffix":""},{"dropping-particle":"","family":"Tannenbaum","given":"Cara","non-dropping-particle":"","parse-names":false,"suffix":""}],"container-title":"Therapeutic advances in drug safety","id":"ITEM-1","issue":"12","issued":{"date-parts":[["2018"]]},"page":"687-698","publisher":"SAGE Publications","publisher-place":"London, England","title":"Deprescribing conversations: a closer look at prescriber–patient communication","type":"article-journal","volume":"9"},"uris":["http://www.mendeley.com/documents/?uuid=45402b9f-777c-428a-952a-899d571277ea"]}],"mendeley":{"formattedCitation":"(283)","plainTextFormattedCitation":"(283)","previouslyFormattedCitation":"(283)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B4AA451"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098E8A00"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3C50DBEC" w14:textId="77777777" w:rsidR="00F422E5" w:rsidRPr="00EC3E91" w:rsidRDefault="00F422E5" w:rsidP="00C02742">
            <w:pPr>
              <w:rPr>
                <w:sz w:val="20"/>
                <w:szCs w:val="20"/>
                <w:lang w:val="en-US"/>
              </w:rPr>
            </w:pPr>
            <w:r w:rsidRPr="00EC3E91">
              <w:rPr>
                <w:sz w:val="20"/>
                <w:szCs w:val="20"/>
                <w:lang w:val="en-US"/>
              </w:rPr>
              <w:t>Qual Quasi-experimental</w:t>
            </w:r>
          </w:p>
        </w:tc>
        <w:tc>
          <w:tcPr>
            <w:tcW w:w="851" w:type="dxa"/>
            <w:tcBorders>
              <w:top w:val="single" w:sz="4" w:space="0" w:color="auto"/>
              <w:left w:val="nil"/>
              <w:bottom w:val="single" w:sz="4" w:space="0" w:color="auto"/>
              <w:right w:val="nil"/>
            </w:tcBorders>
            <w:hideMark/>
          </w:tcPr>
          <w:p w14:paraId="0511AFE0" w14:textId="76FD30B9" w:rsidR="00F422E5" w:rsidRPr="00EC3E91" w:rsidRDefault="00F560E2" w:rsidP="00C02742">
            <w:pPr>
              <w:rPr>
                <w:sz w:val="20"/>
                <w:szCs w:val="20"/>
                <w:lang w:val="en-US"/>
              </w:rPr>
            </w:pPr>
            <w:r w:rsidRPr="00EC3E91">
              <w:rPr>
                <w:sz w:val="20"/>
                <w:szCs w:val="20"/>
                <w:lang w:val="en-US"/>
              </w:rPr>
              <w:t>Feasibility</w:t>
            </w:r>
            <w:r w:rsidR="00F422E5" w:rsidRPr="00EC3E91">
              <w:rPr>
                <w:sz w:val="20"/>
                <w:szCs w:val="20"/>
                <w:lang w:val="en-US"/>
              </w:rPr>
              <w:t xml:space="preserve"> study</w:t>
            </w:r>
          </w:p>
        </w:tc>
        <w:tc>
          <w:tcPr>
            <w:tcW w:w="1134" w:type="dxa"/>
            <w:tcBorders>
              <w:top w:val="single" w:sz="4" w:space="0" w:color="auto"/>
              <w:left w:val="nil"/>
              <w:bottom w:val="single" w:sz="4" w:space="0" w:color="auto"/>
              <w:right w:val="nil"/>
            </w:tcBorders>
            <w:hideMark/>
          </w:tcPr>
          <w:p w14:paraId="1294CE43" w14:textId="77777777" w:rsidR="00F422E5" w:rsidRPr="00EC3E91" w:rsidRDefault="00F422E5" w:rsidP="00C02742">
            <w:pPr>
              <w:rPr>
                <w:sz w:val="20"/>
                <w:szCs w:val="20"/>
                <w:vertAlign w:val="superscript"/>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71B9A86B" w14:textId="77777777" w:rsidR="00F422E5" w:rsidRPr="00EC3E91" w:rsidRDefault="00F422E5" w:rsidP="00C02742">
            <w:pPr>
              <w:rPr>
                <w:sz w:val="20"/>
                <w:szCs w:val="20"/>
                <w:lang w:val="en-US"/>
              </w:rPr>
            </w:pPr>
            <w:r w:rsidRPr="00EC3E91">
              <w:rPr>
                <w:sz w:val="20"/>
                <w:szCs w:val="20"/>
                <w:lang w:val="en-US"/>
              </w:rPr>
              <w:t>inappropriate prescriptions of PPIs and benzodiazepines</w:t>
            </w:r>
          </w:p>
        </w:tc>
        <w:tc>
          <w:tcPr>
            <w:tcW w:w="3970" w:type="dxa"/>
            <w:tcBorders>
              <w:top w:val="single" w:sz="4" w:space="0" w:color="auto"/>
              <w:left w:val="nil"/>
              <w:bottom w:val="single" w:sz="4" w:space="0" w:color="auto"/>
              <w:right w:val="nil"/>
            </w:tcBorders>
            <w:hideMark/>
          </w:tcPr>
          <w:p w14:paraId="7A7F0708" w14:textId="77777777" w:rsidR="00F422E5" w:rsidRPr="00EC3E91" w:rsidRDefault="00F422E5" w:rsidP="00C02742">
            <w:pPr>
              <w:rPr>
                <w:sz w:val="20"/>
                <w:szCs w:val="20"/>
                <w:lang w:val="en-US"/>
              </w:rPr>
            </w:pPr>
            <w:r w:rsidRPr="00EC3E91">
              <w:rPr>
                <w:sz w:val="20"/>
                <w:szCs w:val="20"/>
                <w:lang w:val="en-US"/>
              </w:rPr>
              <w:t>Beers Criteria</w:t>
            </w:r>
            <w:r w:rsidRPr="00EC3E91">
              <w:rPr>
                <w:sz w:val="20"/>
                <w:szCs w:val="20"/>
                <w:lang w:val="en-US"/>
              </w:rPr>
              <w:br/>
            </w:r>
            <w:r w:rsidRPr="00EC3E91">
              <w:rPr>
                <w:sz w:val="20"/>
                <w:szCs w:val="20"/>
                <w:lang w:val="en-US"/>
              </w:rPr>
              <w:b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763DA8FA" w14:textId="77777777" w:rsidR="00F422E5" w:rsidRPr="00EC3E91" w:rsidRDefault="00F422E5" w:rsidP="00C02742">
            <w:pPr>
              <w:rPr>
                <w:sz w:val="20"/>
                <w:szCs w:val="20"/>
                <w:lang w:val="en-US"/>
              </w:rPr>
            </w:pPr>
            <w:r w:rsidRPr="00EC3E91">
              <w:rPr>
                <w:sz w:val="20"/>
                <w:szCs w:val="20"/>
                <w:lang w:val="en-US"/>
              </w:rPr>
              <w:t>conduct educational meetings, develop educational materials, remind clinicians</w:t>
            </w:r>
          </w:p>
        </w:tc>
      </w:tr>
      <w:tr w:rsidR="00C41AFC" w:rsidRPr="00E119DD" w14:paraId="04F27A71" w14:textId="77777777" w:rsidTr="00F422E5">
        <w:trPr>
          <w:trHeight w:val="2235"/>
        </w:trPr>
        <w:tc>
          <w:tcPr>
            <w:tcW w:w="993" w:type="dxa"/>
            <w:tcBorders>
              <w:top w:val="single" w:sz="4" w:space="0" w:color="auto"/>
              <w:left w:val="nil"/>
              <w:bottom w:val="single" w:sz="4" w:space="0" w:color="auto"/>
              <w:right w:val="nil"/>
            </w:tcBorders>
          </w:tcPr>
          <w:p w14:paraId="124730FB" w14:textId="6AA95A48" w:rsidR="00C41AFC" w:rsidRPr="00EC3E91" w:rsidRDefault="0022019B"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{"citationItems":[{"id":"ITEM-1","itemData":{"DOI":"10.1186/s12877-018-0843-y","ISSN":"1471-2318","abstract":"Interdisciplinary geriatric consultation teams (IGCT) are regularly requested to provide comprehensive geriatric assessments in older inpatients. Our primary aim was to evaluate whether medication reviews increased the number of IGCT-provided drug-related recommendations. Secondary aims were to reduce the number of potentially inappropriate medications (PIMs), and to identify the acceptance rate of and determinants for the number of recommendations.","author":[{"dropping-particle":"","family":"Linden","given":"Lorenz","non-dropping-particle":"Van der","parse-names":false,"suffix":""},{"dropping-particle":"","family":"Hias","given":"Julie","non-dropping-particle":"","parse-names":false,"suffix":""},{"dropping-particle":"","family":"Dreessen","given":"Lisa","non-dropping-particle":"","parse-names":false,"suffix":""},{"dropping-particle":"","family":"Milisen","given":"Koen","non-dropping-particle":"","parse-names":false,"suffix":""},{"dropping-particle":"","family":"Flamaing","given":"Johan","non-dropping-particle":"","parse-names":false,"suffix":""},{"dropping-particle":"","family":"Spriet","given":"Isabel","non-dropping-particle":"","parse-names":false,"suffix":""},{"dropping-particle":"","family":"Tournoy","given":"Jos","non-dropping-particle":"","parse-names":false,"suffix":""}],"container-title":"BMC Geriatrics","id":"ITEM-1","issue":"1","issued":{"date-parts":[["2018"]]},"page":"155","title":"Medication review versus usual care to improve drug therapies in older inpatients not admitted to geriatric wards: a quasi-experimental study (RASP-IGCT)","type":"article-journal","volume":"18"},"uris":["http://www.mendeley.com/documents/?uuid=f89d68de-3c51-33fb-b930-e5cb7cece4c3"]}],"mendeley":{"formattedCitation":"(284)","plainTextFormattedCitation":"(284)","previouslyFormattedCitation":"(284)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(284)</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502EB7D1" w14:textId="6284C2F6" w:rsidR="00C41AFC" w:rsidRPr="00EC3E91" w:rsidRDefault="00F936E9" w:rsidP="00C02742">
            <w:pPr>
              <w:rPr>
                <w:sz w:val="20"/>
                <w:szCs w:val="20"/>
                <w:lang w:val="en-US"/>
              </w:rPr>
            </w:pPr>
            <w:r w:rsidRPr="00EC3E91">
              <w:rPr>
                <w:sz w:val="20"/>
                <w:szCs w:val="20"/>
                <w:lang w:val="en-US"/>
              </w:rPr>
              <w:t>Belgium</w:t>
            </w:r>
          </w:p>
        </w:tc>
        <w:tc>
          <w:tcPr>
            <w:tcW w:w="993" w:type="dxa"/>
            <w:tcBorders>
              <w:top w:val="single" w:sz="4" w:space="0" w:color="auto"/>
              <w:left w:val="nil"/>
              <w:bottom w:val="single" w:sz="4" w:space="0" w:color="auto"/>
              <w:right w:val="nil"/>
            </w:tcBorders>
          </w:tcPr>
          <w:p w14:paraId="2B4EB454" w14:textId="5B1E56DD" w:rsidR="00C41AFC" w:rsidRPr="00EC3E91" w:rsidRDefault="00F936E9"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tcPr>
          <w:p w14:paraId="0568C779" w14:textId="53AC8AF6" w:rsidR="00C41AFC" w:rsidRPr="00EC3E91" w:rsidRDefault="00F936E9" w:rsidP="00C02742">
            <w:pPr>
              <w:rPr>
                <w:sz w:val="20"/>
                <w:szCs w:val="20"/>
                <w:lang w:val="en-US"/>
              </w:rPr>
            </w:pPr>
            <w:r w:rsidRPr="00EC3E91">
              <w:rPr>
                <w:sz w:val="20"/>
                <w:szCs w:val="20"/>
                <w:lang w:val="en-US"/>
              </w:rPr>
              <w:t>Quant/Quasi-experimental</w:t>
            </w:r>
          </w:p>
        </w:tc>
        <w:tc>
          <w:tcPr>
            <w:tcW w:w="851" w:type="dxa"/>
            <w:tcBorders>
              <w:top w:val="single" w:sz="4" w:space="0" w:color="auto"/>
              <w:left w:val="nil"/>
              <w:bottom w:val="single" w:sz="4" w:space="0" w:color="auto"/>
              <w:right w:val="nil"/>
            </w:tcBorders>
          </w:tcPr>
          <w:p w14:paraId="1FB90EFA" w14:textId="1AB3BE1E" w:rsidR="00C41AFC" w:rsidRPr="00EC3E91" w:rsidRDefault="005D038C"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19805222" w14:textId="40947C85" w:rsidR="00C41AFC" w:rsidRPr="00EC3E91" w:rsidRDefault="005D038C"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tcPr>
          <w:p w14:paraId="6ADB9680" w14:textId="4DA33498" w:rsidR="00C41AFC" w:rsidRPr="00EC3E91" w:rsidRDefault="005C2B26"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tcPr>
          <w:p w14:paraId="5E3ABA43" w14:textId="77777777" w:rsidR="005D038C" w:rsidRPr="00EC3E91" w:rsidRDefault="005D038C" w:rsidP="005D038C">
            <w:pPr>
              <w:rPr>
                <w:sz w:val="20"/>
                <w:szCs w:val="20"/>
                <w:lang w:val="en-US"/>
              </w:rPr>
            </w:pPr>
            <w:r w:rsidRPr="00EC3E91">
              <w:rPr>
                <w:sz w:val="20"/>
                <w:szCs w:val="20"/>
                <w:lang w:val="en-US"/>
              </w:rPr>
              <w:t>RASP (Rationalization of</w:t>
            </w:r>
          </w:p>
          <w:p w14:paraId="05299687" w14:textId="0E0871FC" w:rsidR="00C41AFC" w:rsidRPr="00EC3E91" w:rsidRDefault="005D038C" w:rsidP="005D038C">
            <w:pPr>
              <w:rPr>
                <w:sz w:val="20"/>
                <w:szCs w:val="20"/>
                <w:lang w:val="en-US"/>
              </w:rPr>
            </w:pPr>
            <w:r w:rsidRPr="00EC3E91">
              <w:rPr>
                <w:sz w:val="20"/>
                <w:szCs w:val="20"/>
                <w:lang w:val="en-US"/>
              </w:rPr>
              <w:t>Home Medication by an Adjusted STOPP in Older Patients) list</w:t>
            </w:r>
          </w:p>
        </w:tc>
        <w:tc>
          <w:tcPr>
            <w:tcW w:w="2551" w:type="dxa"/>
            <w:tcBorders>
              <w:top w:val="single" w:sz="4" w:space="0" w:color="auto"/>
              <w:left w:val="nil"/>
              <w:bottom w:val="single" w:sz="4" w:space="0" w:color="auto"/>
              <w:right w:val="nil"/>
            </w:tcBorders>
          </w:tcPr>
          <w:p w14:paraId="27806D6B" w14:textId="15CBB64C" w:rsidR="00C41AFC" w:rsidRPr="00EC3E91" w:rsidRDefault="005C2B26" w:rsidP="00C02742">
            <w:pPr>
              <w:rPr>
                <w:sz w:val="20"/>
                <w:szCs w:val="20"/>
                <w:lang w:val="en-US"/>
              </w:rPr>
            </w:pPr>
            <w:r w:rsidRPr="00EC3E91">
              <w:rPr>
                <w:sz w:val="20"/>
                <w:szCs w:val="20"/>
                <w:lang w:val="en-US"/>
              </w:rPr>
              <w:t xml:space="preserve">provide clinical supervision, </w:t>
            </w:r>
            <w:r w:rsidR="00AD4ED3">
              <w:rPr>
                <w:sz w:val="20"/>
                <w:szCs w:val="20"/>
                <w:lang w:val="en-US"/>
              </w:rPr>
              <w:t>de</w:t>
            </w:r>
            <w:r w:rsidRPr="00EC3E91">
              <w:rPr>
                <w:sz w:val="20"/>
                <w:szCs w:val="20"/>
                <w:lang w:val="en-US"/>
              </w:rPr>
              <w:t>velop and organize quality monitoring systems</w:t>
            </w:r>
          </w:p>
        </w:tc>
      </w:tr>
      <w:tr w:rsidR="00F422E5" w:rsidRPr="00E119DD" w14:paraId="16F44718" w14:textId="77777777" w:rsidTr="00F422E5">
        <w:trPr>
          <w:trHeight w:val="2235"/>
        </w:trPr>
        <w:tc>
          <w:tcPr>
            <w:tcW w:w="993" w:type="dxa"/>
            <w:tcBorders>
              <w:top w:val="single" w:sz="4" w:space="0" w:color="auto"/>
              <w:left w:val="nil"/>
              <w:bottom w:val="single" w:sz="4" w:space="0" w:color="auto"/>
              <w:right w:val="nil"/>
            </w:tcBorders>
          </w:tcPr>
          <w:p w14:paraId="4FF075A9" w14:textId="24B0CC69" w:rsidR="00F422E5" w:rsidRPr="00EC3E91" w:rsidRDefault="009C67EF"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{"citationItems":[{"id":"ITEM-1","itemData":{"ISSN":"1468-2834 0002-0729","abstract":"Objective: We studied the efficacy of biannual structured medication reviews to improve the appropriateness of psychotropic drug (PD) prescriptions for neuropsychiatric symptoms (NPS) in nursing home patients with dementia. Study Design and Setting: In this randomised controlled trial, the intervention encompassed a structured multidisciplinary medication review by physician, pharmacist and nurse. During this 18-month study, the patient's medical files were assessed every 6 months. The primary outcome was the appropriateness of PD prescriptions defined by the Appropriate Psychotropic drug use In Dementia (APID) index sum score, lower scores indicating more appropriate use. Results: At baseline, 380 patients were included, of which 222 were randomised to the intervention group. Compared to the control group, the APID index sum score in the intervention group improved significantly for all PD prescriptions (-5.28, P = 0.005). Conclusion: We advise the implementation of a structured, repeated medication review with the essential roles of pharmacist, physician and nurse, into daily practice. This work was supported and funded by the Netherlands Organisation for Health Research and Development (ZonMw). Netherlands Trial Register (NTR3569).","author":[{"dropping-particle":"","family":"Spek","given":"K","non-dropping-particle":"Van Der","parse-names":false,"suffix":""},{"dropping-particle":"","family":"Koopmans","given":"R T","non-dropping-particle":"","parse-names":false,"suffix":""},{"dropping-particle":"","family":"Smalbrugge","given":"M","non-dropping-particle":"","parse-names":false,"suffix":""},{"dropping-particle":"","family":"Nelissen-Vrancken","given":"M H","non-dropping-particle":"","parse-names":false,"suffix":""},{"dropping-particle":"","family":"Wetzels","given":"R B","non-dropping-particle":"","parse-names":false,"suffix":""},{"dropping-particle":"","family":"Smeets","given":"C H","non-dropping-particle":"","parse-names":false,"suffix":""},{"dropping-particle":"","family":"Vries","given":"E D","non-dropping-particle":"","parse-names":false,"suffix":""},{"dropping-particle":"","family":"Teerenstra","given":"S","non-dropping-particle":"","parse-names":false,"suffix":""},{"dropping-particle":"","family":"Zuidema","given":"S U","non-dropping-particle":"","parse-names":false,"suffix":""},{"dropping-particle":"","family":"Gerritsen","given":"D L","non-dropping-particle":"","parse-names":false,"suffix":""}],"container-title":"Age and Ageing","id":"ITEM-1","issue":"3","issued":{"date-parts":[["2018"]]},"language":"English","page":"430-437","publisher-place":"K. Van Der Spek, Department of Primary and Community Care, Centre for Family Medicine, Geriatric Care and Public Health, Radboud University Medical Centre, Nijmegen Huispost 117 ELG, PO Box 9101, Nijmegen, Netherlands","title":"The effect of biannual medication reviews on the appropriateness of psychotropic drug use for neuropsychiatric symptoms in patients with dementia: A randomised controlled trial","type":"article-journal","volume":"47"},"uris":["http://www.mendeley.com/documents/?uuid=64e21498-c3b3-3bf6-8746-b7421ec5f8bf"]}],"mendeley":{"formattedCitation":"(285)","plainTextFormattedCitation":"(285)","previouslyFormattedCitation":"(285)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6DEB786" w14:textId="77777777" w:rsidR="00F422E5" w:rsidRPr="00EC3E91" w:rsidRDefault="00F422E5" w:rsidP="00C02742">
            <w:pPr>
              <w:rPr>
                <w:sz w:val="20"/>
                <w:szCs w:val="20"/>
                <w:lang w:val="en-US"/>
              </w:rPr>
            </w:pPr>
            <w:r w:rsidRPr="00EC3E91">
              <w:rPr>
                <w:sz w:val="20"/>
                <w:szCs w:val="20"/>
                <w:lang w:val="en-US"/>
              </w:rPr>
              <w:t>The Netherlands</w:t>
            </w:r>
          </w:p>
        </w:tc>
        <w:tc>
          <w:tcPr>
            <w:tcW w:w="993" w:type="dxa"/>
            <w:tcBorders>
              <w:top w:val="single" w:sz="4" w:space="0" w:color="auto"/>
              <w:left w:val="nil"/>
              <w:bottom w:val="single" w:sz="4" w:space="0" w:color="auto"/>
              <w:right w:val="nil"/>
            </w:tcBorders>
            <w:hideMark/>
          </w:tcPr>
          <w:p w14:paraId="3933756F"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062CF06E"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05105BE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FA3037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BC7BAF4"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85BDF43" w14:textId="77777777" w:rsidR="00F422E5" w:rsidRPr="00EC3E91" w:rsidRDefault="00F422E5" w:rsidP="00C02742">
            <w:pPr>
              <w:rPr>
                <w:sz w:val="20"/>
                <w:szCs w:val="20"/>
                <w:lang w:val="en-US"/>
              </w:rPr>
            </w:pPr>
            <w:r w:rsidRPr="00EC3E91">
              <w:rPr>
                <w:sz w:val="20"/>
                <w:szCs w:val="20"/>
                <w:lang w:val="en-US"/>
              </w:rPr>
              <w:t>Guideline for problem behaviour of the Dutch Association of Elderly Care Physicians and Social Geriatricians (Verenso)</w:t>
            </w:r>
            <w:r w:rsidRPr="00EC3E91">
              <w:rPr>
                <w:sz w:val="20"/>
                <w:szCs w:val="20"/>
                <w:lang w:val="en-US"/>
              </w:rPr>
              <w:br/>
            </w:r>
            <w:r w:rsidRPr="00EC3E91">
              <w:rPr>
                <w:sz w:val="20"/>
                <w:szCs w:val="20"/>
                <w:lang w:val="en-US"/>
              </w:rPr>
              <w:br/>
              <w:t>the Systematic Tool to Reduce Inappropriate Prescribing (STRIP)</w:t>
            </w:r>
            <w:r w:rsidRPr="00EC3E91">
              <w:rPr>
                <w:sz w:val="20"/>
                <w:szCs w:val="20"/>
                <w:lang w:val="en-US"/>
              </w:rPr>
              <w:br/>
            </w:r>
            <w:r w:rsidRPr="00EC3E91">
              <w:rPr>
                <w:sz w:val="20"/>
                <w:szCs w:val="20"/>
                <w:lang w:val="en-US"/>
              </w:rPr>
              <w:br/>
              <w:t xml:space="preserve">the Screening Tool to Alert doctors to Right Treatment (START) </w:t>
            </w:r>
            <w:r w:rsidRPr="00EC3E91">
              <w:rPr>
                <w:sz w:val="20"/>
                <w:szCs w:val="20"/>
                <w:lang w:val="en-US"/>
              </w:rPr>
              <w:br/>
            </w:r>
            <w:r w:rsidRPr="00EC3E91">
              <w:rPr>
                <w:sz w:val="20"/>
                <w:szCs w:val="20"/>
                <w:lang w:val="en-US"/>
              </w:rPr>
              <w:br/>
              <w:t>the Screening Tool of Older Person’s potentially inappropriate Prescriptions (STOPP)</w:t>
            </w:r>
          </w:p>
        </w:tc>
        <w:tc>
          <w:tcPr>
            <w:tcW w:w="2551" w:type="dxa"/>
            <w:tcBorders>
              <w:top w:val="single" w:sz="4" w:space="0" w:color="auto"/>
              <w:left w:val="nil"/>
              <w:bottom w:val="single" w:sz="4" w:space="0" w:color="auto"/>
              <w:right w:val="nil"/>
            </w:tcBorders>
            <w:hideMark/>
          </w:tcPr>
          <w:p w14:paraId="4790BECB" w14:textId="27667CCA" w:rsidR="00F422E5" w:rsidRPr="00EC3E91" w:rsidRDefault="00F422E5" w:rsidP="00C02742">
            <w:pPr>
              <w:rPr>
                <w:sz w:val="20"/>
                <w:szCs w:val="20"/>
                <w:lang w:val="en-US"/>
              </w:rPr>
            </w:pPr>
            <w:r w:rsidRPr="00EC3E91">
              <w:rPr>
                <w:sz w:val="20"/>
                <w:szCs w:val="20"/>
                <w:lang w:val="en-US"/>
              </w:rPr>
              <w:t xml:space="preserve">develop and organize quality monitoring systems, conduct </w:t>
            </w:r>
            <w:r w:rsidR="009E59A6" w:rsidRPr="00EC3E91">
              <w:rPr>
                <w:sz w:val="20"/>
                <w:szCs w:val="20"/>
                <w:lang w:val="en-US"/>
              </w:rPr>
              <w:t>educational</w:t>
            </w:r>
            <w:r w:rsidRPr="00EC3E91">
              <w:rPr>
                <w:sz w:val="20"/>
                <w:szCs w:val="20"/>
                <w:lang w:val="en-US"/>
              </w:rPr>
              <w:t xml:space="preserve"> meetings, use advisory boards and workgroups </w:t>
            </w:r>
          </w:p>
        </w:tc>
      </w:tr>
      <w:tr w:rsidR="00F422E5" w:rsidRPr="00E119DD" w14:paraId="540DCD6D" w14:textId="77777777" w:rsidTr="00F422E5">
        <w:trPr>
          <w:trHeight w:val="2235"/>
        </w:trPr>
        <w:tc>
          <w:tcPr>
            <w:tcW w:w="993" w:type="dxa"/>
            <w:tcBorders>
              <w:top w:val="single" w:sz="4" w:space="0" w:color="auto"/>
              <w:left w:val="nil"/>
              <w:bottom w:val="single" w:sz="4" w:space="0" w:color="auto"/>
              <w:right w:val="nil"/>
            </w:tcBorders>
          </w:tcPr>
          <w:p w14:paraId="345812ED" w14:textId="608EF1F9" w:rsidR="00F422E5" w:rsidRPr="00EC3E91" w:rsidRDefault="00590678"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{"citationItems":[{"id":"ITEM-1","itemData":{"DOI":"10.1007/s00228-021-03185-y","ISSN":"1432-1041","abstract":"Treatment schedules for antithrombotic therapy are complex, and there is a risk of inappropriate prescribing or continuation of antithrombotic therapy beyond the intended period of time. The primary aim of this study was to determine the frequency of unintentional guideline deviations in hospitalized patients. Secondary aims were to determine whether the frequency of unintentional guideline deviations decreased after intervention by a pharmacist, to determine the acceptance rate of the interventions and to determine the type of interventions.","author":[{"dropping-particle":"","family":"Uden","given":"Renate C A E","non-dropping-particle":"van","parse-names":false,"suffix":""},{"dropping-particle":"","family":"Broek","given":"Marcel P H","non-dropping-particle":"van den","parse-names":false,"suffix":""},{"dropping-particle":"","family":"Houtenbos","given":"Ilse","non-dropping-particle":"","parse-names":false,"suffix":""},{"dropping-particle":"","family":"Jaspers","given":"Tessa C C","non-dropping-particle":"","parse-names":false,"suffix":""},{"dropping-particle":"","family":"Harmsze","given":"Ankie M","non-dropping-particle":"","parse-names":false,"suffix":""},{"dropping-particle":"","family":"Kingma","given":"Hylke J","non-dropping-particle":"","parse-names":false,"suffix":""},{"dropping-particle":"","family":"Odekerken","given":"Diego A M","non-dropping-particle":"","parse-names":false,"suffix":""},{"dropping-particle":"","family":"Meijer","given":"Karina","non-dropping-particle":"","parse-names":false,"suffix":""},{"dropping-particle":"","family":"Bemt","given":"Patricia M L A","non-dropping-particle":"van den","parse-names":false,"suffix":""},{"dropping-particle":"","family":"Becker","given":"Matthijs L","non-dropping-particle":"","parse-names":false,"suffix":""}],"container-title":"European Journal of Clinical Pharmacology","id":"ITEM-1","issue":"12","issued":{"date-parts":[["2021"]]},"page":"1919-1926","title":"Unintentional guideline deviations in hospitalized patients with two or more antithrombotic agents: an intervention study","type":"article-journal","volume":"77"},"uris":["http://www.mendeley.com/documents/?uuid=fc10878e-cfc0-37e9-bd14-8534d2c932c9"]}],"mendeley":{"formattedCitation":"(286)","plainTextFormattedCitation":"(286)","previouslyFormattedCitation":"(286)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31DAD235" w14:textId="77777777" w:rsidR="00F422E5" w:rsidRPr="00EC3E91" w:rsidRDefault="00F422E5" w:rsidP="00C02742">
            <w:pPr>
              <w:rPr>
                <w:sz w:val="20"/>
                <w:szCs w:val="20"/>
                <w:lang w:val="en-US"/>
              </w:rPr>
            </w:pPr>
            <w:r w:rsidRPr="00EC3E91">
              <w:rPr>
                <w:sz w:val="20"/>
                <w:szCs w:val="20"/>
                <w:lang w:val="en-US"/>
              </w:rPr>
              <w:t>The Netherlands</w:t>
            </w:r>
          </w:p>
        </w:tc>
        <w:tc>
          <w:tcPr>
            <w:tcW w:w="993" w:type="dxa"/>
            <w:tcBorders>
              <w:top w:val="single" w:sz="4" w:space="0" w:color="auto"/>
              <w:left w:val="nil"/>
              <w:bottom w:val="single" w:sz="4" w:space="0" w:color="auto"/>
              <w:right w:val="nil"/>
            </w:tcBorders>
            <w:hideMark/>
          </w:tcPr>
          <w:p w14:paraId="32BF195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683CE404"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0304687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5B2940A0"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58A12353" w14:textId="77777777" w:rsidR="00F422E5" w:rsidRPr="00EC3E91" w:rsidRDefault="00F422E5" w:rsidP="00C02742">
            <w:pPr>
              <w:rPr>
                <w:sz w:val="20"/>
                <w:szCs w:val="20"/>
                <w:lang w:val="en-US"/>
              </w:rPr>
            </w:pPr>
            <w:r w:rsidRPr="00EC3E91">
              <w:rPr>
                <w:sz w:val="20"/>
                <w:szCs w:val="20"/>
                <w:lang w:val="en-US"/>
              </w:rPr>
              <w:t xml:space="preserve">Inappropriate Use of antithrombotic </w:t>
            </w:r>
            <w:r w:rsidRPr="00EC3E91">
              <w:rPr>
                <w:sz w:val="20"/>
                <w:szCs w:val="20"/>
                <w:lang w:val="en-US"/>
              </w:rPr>
              <w:br/>
              <w:t>agents</w:t>
            </w:r>
          </w:p>
        </w:tc>
        <w:tc>
          <w:tcPr>
            <w:tcW w:w="3970" w:type="dxa"/>
            <w:tcBorders>
              <w:top w:val="single" w:sz="4" w:space="0" w:color="auto"/>
              <w:left w:val="nil"/>
              <w:bottom w:val="single" w:sz="4" w:space="0" w:color="auto"/>
              <w:right w:val="nil"/>
            </w:tcBorders>
            <w:hideMark/>
          </w:tcPr>
          <w:p w14:paraId="38D518E5" w14:textId="7C23A979" w:rsidR="00F422E5" w:rsidRPr="00EC3E91" w:rsidRDefault="00F422E5" w:rsidP="00C02742">
            <w:pPr>
              <w:rPr>
                <w:sz w:val="20"/>
                <w:szCs w:val="20"/>
                <w:lang w:val="en-US"/>
              </w:rPr>
            </w:pPr>
            <w:r w:rsidRPr="00EC3E91">
              <w:rPr>
                <w:sz w:val="20"/>
                <w:szCs w:val="20"/>
                <w:lang w:val="en-US"/>
              </w:rPr>
              <w:t xml:space="preserve">The European guidelines from the European Society of Cardiology (ESC), the European Association for Cardio-Thoracic Surgery (EACTS), European Respiratory </w:t>
            </w:r>
            <w:r w:rsidRPr="00EC3E91">
              <w:rPr>
                <w:sz w:val="20"/>
                <w:szCs w:val="20"/>
                <w:lang w:val="en-US"/>
              </w:rPr>
              <w:br/>
              <w:t>Society (ERS) and the European Society for Vascular Surgery (ESVS)</w:t>
            </w:r>
            <w:r w:rsidRPr="00EC3E91">
              <w:rPr>
                <w:sz w:val="20"/>
                <w:szCs w:val="20"/>
                <w:lang w:val="en-US"/>
              </w:rPr>
              <w:br/>
            </w:r>
            <w:r w:rsidRPr="00EC3E91">
              <w:rPr>
                <w:sz w:val="20"/>
                <w:szCs w:val="20"/>
                <w:lang w:val="en-US"/>
              </w:rPr>
              <w:br/>
            </w:r>
            <w:r w:rsidR="009E59A6" w:rsidRPr="00EC3E91">
              <w:rPr>
                <w:sz w:val="20"/>
                <w:szCs w:val="20"/>
                <w:lang w:val="en-US"/>
              </w:rPr>
              <w:t>Dutch national</w:t>
            </w:r>
            <w:r w:rsidRPr="00EC3E91">
              <w:rPr>
                <w:sz w:val="20"/>
                <w:szCs w:val="20"/>
                <w:lang w:val="en-US"/>
              </w:rPr>
              <w:t xml:space="preserve"> guidelines.</w:t>
            </w:r>
          </w:p>
        </w:tc>
        <w:tc>
          <w:tcPr>
            <w:tcW w:w="2551" w:type="dxa"/>
            <w:tcBorders>
              <w:top w:val="single" w:sz="4" w:space="0" w:color="auto"/>
              <w:left w:val="nil"/>
              <w:bottom w:val="single" w:sz="4" w:space="0" w:color="auto"/>
              <w:right w:val="nil"/>
            </w:tcBorders>
            <w:hideMark/>
          </w:tcPr>
          <w:p w14:paraId="6228D8B0" w14:textId="77777777" w:rsidR="00F422E5" w:rsidRPr="00EC3E91" w:rsidRDefault="00F422E5" w:rsidP="00C02742">
            <w:pPr>
              <w:rPr>
                <w:sz w:val="20"/>
                <w:szCs w:val="20"/>
                <w:lang w:val="en-US"/>
              </w:rPr>
            </w:pPr>
            <w:r w:rsidRPr="00EC3E91">
              <w:rPr>
                <w:sz w:val="20"/>
                <w:szCs w:val="20"/>
                <w:lang w:val="en-US"/>
              </w:rPr>
              <w:t>remind clinicians, develop and organize quality monitoring system</w:t>
            </w:r>
          </w:p>
        </w:tc>
      </w:tr>
      <w:tr w:rsidR="00590678" w:rsidRPr="00E119DD" w14:paraId="78EFA61D" w14:textId="77777777" w:rsidTr="00F422E5">
        <w:trPr>
          <w:trHeight w:val="2235"/>
        </w:trPr>
        <w:tc>
          <w:tcPr>
            <w:tcW w:w="993" w:type="dxa"/>
            <w:tcBorders>
              <w:top w:val="single" w:sz="4" w:space="0" w:color="auto"/>
              <w:left w:val="nil"/>
              <w:bottom w:val="single" w:sz="4" w:space="0" w:color="auto"/>
              <w:right w:val="nil"/>
            </w:tcBorders>
          </w:tcPr>
          <w:p w14:paraId="760568D7" w14:textId="59EF5548" w:rsidR="00590678" w:rsidRPr="00EC3E91" w:rsidRDefault="006D7F09"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10.3399/BJGPO.2021.0113","author":[{"dropping-particle":"","family":"Vugt","given":"Saskia","non-dropping-particle":"","parse-names":false,"suffix":""},{"dropping-particle":"","family":"Schepper","given":"Evelien","non-dropping-particle":"","parse-names":false,"suffix":""},{"dropping-particle":"","family":"Delft","given":"Sanne","non-dropping-particle":"","parse-names":false,"suffix":""},{"dropping-particle":"","family":"Zuithoff","given":"Nicolaas","non-dropping-particle":"","parse-names":false,"suffix":""},{"dropping-particle":"","family":"Wit","given":"Niek","non-dropping-particle":"","parse-names":false,"suffix":""},{"dropping-particle":"","family":"Bindels","given":"Patrick","non-dropping-particle":"","parse-names":false,"suffix":""}],"container-title":"BJGP Open","id":"ITEM-1","issued":{"date-parts":[["2021","8","18"]]},"page":"BJGPO.2021.0113","title":"Reducing vitamin test ordering in primary care; the effectiveness of professional and patient oriented strategies in a Cluster randomized Intervention Study","type":"article-journal","volume":"5"},"uris":["http://www.mendeley.com/documents/?uuid=419de972-9718-4c95-8801-fd11a27d9359"]}],"mendeley":{"formattedCitation":"(287)","plainTextFormattedCitation":"(287)","previouslyFormattedCitation":"(287)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(287)</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4893F285" w14:textId="2EAD249A" w:rsidR="00590678" w:rsidRPr="00EC3E91" w:rsidRDefault="00DB0A38" w:rsidP="00C02742">
            <w:pPr>
              <w:rPr>
                <w:sz w:val="20"/>
                <w:szCs w:val="20"/>
                <w:lang w:val="en-US"/>
              </w:rPr>
            </w:pPr>
            <w:r w:rsidRPr="00EC3E91">
              <w:rPr>
                <w:sz w:val="20"/>
                <w:szCs w:val="20"/>
                <w:lang w:val="en-US"/>
              </w:rPr>
              <w:t xml:space="preserve">The Netherlands </w:t>
            </w:r>
          </w:p>
        </w:tc>
        <w:tc>
          <w:tcPr>
            <w:tcW w:w="993" w:type="dxa"/>
            <w:tcBorders>
              <w:top w:val="single" w:sz="4" w:space="0" w:color="auto"/>
              <w:left w:val="nil"/>
              <w:bottom w:val="single" w:sz="4" w:space="0" w:color="auto"/>
              <w:right w:val="nil"/>
            </w:tcBorders>
          </w:tcPr>
          <w:p w14:paraId="6ECBC03D" w14:textId="407B699F" w:rsidR="00590678" w:rsidRPr="00EC3E91" w:rsidRDefault="00DB0A38"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tcPr>
          <w:p w14:paraId="199AE1E4" w14:textId="44B217CA" w:rsidR="00590678" w:rsidRPr="00EC3E91" w:rsidRDefault="00DB0A38" w:rsidP="00C02742">
            <w:pPr>
              <w:rPr>
                <w:sz w:val="20"/>
                <w:szCs w:val="20"/>
                <w:lang w:val="en-US"/>
              </w:rPr>
            </w:pPr>
            <w:r w:rsidRPr="00EC3E91">
              <w:rPr>
                <w:sz w:val="20"/>
                <w:szCs w:val="20"/>
                <w:lang w:val="en-US"/>
              </w:rPr>
              <w:t>Quant</w:t>
            </w:r>
            <w:r w:rsidR="00AA0CE6" w:rsidRPr="00EC3E91">
              <w:rPr>
                <w:sz w:val="20"/>
                <w:szCs w:val="20"/>
                <w:lang w:val="en-US"/>
              </w:rPr>
              <w:t xml:space="preserve"> Quasi-experimental</w:t>
            </w:r>
          </w:p>
        </w:tc>
        <w:tc>
          <w:tcPr>
            <w:tcW w:w="851" w:type="dxa"/>
            <w:tcBorders>
              <w:top w:val="single" w:sz="4" w:space="0" w:color="auto"/>
              <w:left w:val="nil"/>
              <w:bottom w:val="single" w:sz="4" w:space="0" w:color="auto"/>
              <w:right w:val="nil"/>
            </w:tcBorders>
          </w:tcPr>
          <w:p w14:paraId="65D8B9DF" w14:textId="3D738175" w:rsidR="00590678" w:rsidRPr="00EC3E91" w:rsidRDefault="00AA0CE6" w:rsidP="00C02742">
            <w:pPr>
              <w:rPr>
                <w:sz w:val="20"/>
                <w:szCs w:val="20"/>
                <w:lang w:val="en-US"/>
              </w:rPr>
            </w:pPr>
            <w:r w:rsidRPr="00EC3E91">
              <w:rPr>
                <w:sz w:val="20"/>
                <w:szCs w:val="20"/>
                <w:lang w:val="en-US"/>
              </w:rPr>
              <w:t>Efficacy/Effectiveness, cost-effectiveness</w:t>
            </w:r>
          </w:p>
        </w:tc>
        <w:tc>
          <w:tcPr>
            <w:tcW w:w="1134" w:type="dxa"/>
            <w:tcBorders>
              <w:top w:val="single" w:sz="4" w:space="0" w:color="auto"/>
              <w:left w:val="nil"/>
              <w:bottom w:val="single" w:sz="4" w:space="0" w:color="auto"/>
              <w:right w:val="nil"/>
            </w:tcBorders>
          </w:tcPr>
          <w:p w14:paraId="465F9C3E" w14:textId="3294178C" w:rsidR="00590678" w:rsidRPr="00EC3E91" w:rsidRDefault="00BA3743"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tcPr>
          <w:p w14:paraId="5CF9D681" w14:textId="7AF6CD90" w:rsidR="00590678" w:rsidRPr="00EC3E91" w:rsidRDefault="00BA3743" w:rsidP="00C02742">
            <w:pPr>
              <w:rPr>
                <w:sz w:val="20"/>
                <w:szCs w:val="20"/>
                <w:lang w:val="en-US"/>
              </w:rPr>
            </w:pPr>
            <w:r w:rsidRPr="00EC3E91">
              <w:rPr>
                <w:sz w:val="20"/>
                <w:szCs w:val="20"/>
                <w:lang w:val="en-US"/>
              </w:rPr>
              <w:t>vitamin D and B12 tests</w:t>
            </w:r>
          </w:p>
        </w:tc>
        <w:tc>
          <w:tcPr>
            <w:tcW w:w="3970" w:type="dxa"/>
            <w:tcBorders>
              <w:top w:val="single" w:sz="4" w:space="0" w:color="auto"/>
              <w:left w:val="nil"/>
              <w:bottom w:val="single" w:sz="4" w:space="0" w:color="auto"/>
              <w:right w:val="nil"/>
            </w:tcBorders>
          </w:tcPr>
          <w:p w14:paraId="77A706D9" w14:textId="35933414" w:rsidR="00590678" w:rsidRPr="00EC3E91" w:rsidRDefault="00BA3743" w:rsidP="00C02742">
            <w:pPr>
              <w:rPr>
                <w:sz w:val="20"/>
                <w:szCs w:val="20"/>
                <w:lang w:val="en-US"/>
              </w:rPr>
            </w:pPr>
            <w:r w:rsidRPr="00EC3E91">
              <w:rPr>
                <w:sz w:val="20"/>
                <w:szCs w:val="20"/>
                <w:lang w:val="en-US"/>
              </w:rPr>
              <w:t>Choosing wisely</w:t>
            </w:r>
          </w:p>
        </w:tc>
        <w:tc>
          <w:tcPr>
            <w:tcW w:w="2551" w:type="dxa"/>
            <w:tcBorders>
              <w:top w:val="single" w:sz="4" w:space="0" w:color="auto"/>
              <w:left w:val="nil"/>
              <w:bottom w:val="single" w:sz="4" w:space="0" w:color="auto"/>
              <w:right w:val="nil"/>
            </w:tcBorders>
          </w:tcPr>
          <w:p w14:paraId="5DBEB9ED" w14:textId="713C46A6" w:rsidR="00590678" w:rsidRPr="00EC3E91" w:rsidRDefault="000B7505" w:rsidP="00C02742">
            <w:pPr>
              <w:rPr>
                <w:sz w:val="20"/>
                <w:szCs w:val="20"/>
                <w:lang w:val="en-US"/>
              </w:rPr>
            </w:pPr>
            <w:r w:rsidRPr="00EC3E91">
              <w:rPr>
                <w:sz w:val="20"/>
                <w:szCs w:val="20"/>
                <w:lang w:val="en-US"/>
              </w:rPr>
              <w:t>conduct educational meeting, audit and provide feedback, develop educational materials.</w:t>
            </w:r>
          </w:p>
        </w:tc>
      </w:tr>
      <w:tr w:rsidR="00F422E5" w:rsidRPr="00E119DD" w14:paraId="249335D3" w14:textId="77777777" w:rsidTr="00F422E5">
        <w:trPr>
          <w:trHeight w:val="2235"/>
        </w:trPr>
        <w:tc>
          <w:tcPr>
            <w:tcW w:w="993" w:type="dxa"/>
            <w:tcBorders>
              <w:top w:val="single" w:sz="4" w:space="0" w:color="auto"/>
              <w:left w:val="nil"/>
              <w:bottom w:val="single" w:sz="4" w:space="0" w:color="auto"/>
              <w:right w:val="nil"/>
            </w:tcBorders>
          </w:tcPr>
          <w:p w14:paraId="308EA13F" w14:textId="23D7A270" w:rsidR="00F422E5" w:rsidRPr="00EC3E91" w:rsidRDefault="000C4DD7"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{"citationItems":[{"id":"ITEM-1","itemData":{"DOI":"10.1111/jgs.15247","ISSN":"0002-8614","abstract":"Suboptimal prescribing persists as a driver of poor quality care of older veterans and is associated with risk of hospitalization and emergency department visits. We adapted a successful medication management model, Integrated Management and Polypharmacy Review of Vulnerable Elders (IMPROVE), from an urban geriatric specialty clinic to rural community‐based clinics that deliver primary care. The goals were to promote prescribing quality and safety for older adults, including reduced prescribing of potentially inappropriate medications (PIMs). We augmented the original model, which involved a pharmacist‐led, one‐on‐one medication review with high‐risk older veterans, to provide rural primary care providers (PCPs) and pharmacists with educational outreach through academic detailing and tools to support safe geriatric prescribing practices, as well as individual audit and feedback on prescribing practice and confidential peer benchmarking. Twenty PCPs and 4 pharmacists at 4 rural Georgia community‐based outpatient clinics participated. More than 7,000 older veterans were seen in more than 20,000 PCP encounters during the 14‐month intervention period. Implementation of the IMPROVE intervention reduced PIM prescribing incidence from 9.6 new medications per 100 encounters during baseline to 8.7 after the intervention (P = .009). IMPROVE reduced PIM prevalence (proportion of encounters involving veterans who were taking at least 1 PIM) from 22.6% to 16.7% (P &lt; .001). These approaches were effective in reducing PIMs prescribed to older veterans in a rural setting and constitute a feasible model for disseminating geriatric best practices to the primary care setting. ","author":[{"dropping-particle":"","family":"Vandenberg","given":"Ann E","non-dropping-particle":"","parse-names":false,"suffix":""},{"dropping-particle":"V","family":"Echt","given":"Katharina","non-dropping-particle":"","parse-names":false,"suffix":""},{"dropping-particle":"","family":"Kemp","given":"Lawanda","non-dropping-particle":"","parse-names":false,"suffix":""},{"dropping-particle":"","family":"McGwin","given":"Gerald","non-dropping-particle":"","parse-names":false,"suffix":""},{"dropping-particle":"","family":"Perkins","given":"Molly M","non-dropping-particle":"","parse-names":false,"suffix":""},{"dropping-particle":"","family":"Mirk","given":"Anna K","non-dropping-particle":"","parse-names":false,"suffix":""}],"container-title":"Journal of the American Geriatrics Society (JAGS)","id":"ITEM-1","issue":"3","issued":{"date-parts":[["2018"]]},"page":"621-627","publisher":"Wiley Subscription Services, Inc","publisher-place":"United States","title":"Academic Detailing with Provider Audit and Feedback Improve Prescribing Quality for Older Veterans","type":"article-journal","volume":"66"},"uris":["http://www.mendeley.com/documents/?uuid=91baa902-7990-4d9c-ba7f-5ce2b9cf0778"]}],"mendeley":{"formattedCitation":"(288)","plainTextFormattedCitation":"(288)","previouslyFormattedCitation":"(288)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ACCAEC6"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4959C74F"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43FF266" w14:textId="77777777" w:rsidR="00F422E5" w:rsidRPr="00EC3E91" w:rsidRDefault="00F422E5" w:rsidP="00C02742">
            <w:pPr>
              <w:rPr>
                <w:sz w:val="20"/>
                <w:szCs w:val="20"/>
                <w:lang w:val="en-US"/>
              </w:rPr>
            </w:pPr>
            <w:r w:rsidRPr="00EC3E91">
              <w:rPr>
                <w:sz w:val="20"/>
                <w:szCs w:val="20"/>
                <w:lang w:val="en-US"/>
              </w:rPr>
              <w:t>Mixed Quasi-experimental</w:t>
            </w:r>
          </w:p>
        </w:tc>
        <w:tc>
          <w:tcPr>
            <w:tcW w:w="851" w:type="dxa"/>
            <w:tcBorders>
              <w:top w:val="single" w:sz="4" w:space="0" w:color="auto"/>
              <w:left w:val="nil"/>
              <w:bottom w:val="single" w:sz="4" w:space="0" w:color="auto"/>
              <w:right w:val="nil"/>
            </w:tcBorders>
            <w:hideMark/>
          </w:tcPr>
          <w:p w14:paraId="7442FE94" w14:textId="7575759C" w:rsidR="00F422E5" w:rsidRPr="00EC3E91" w:rsidRDefault="00F422E5" w:rsidP="00C02742">
            <w:pPr>
              <w:rPr>
                <w:sz w:val="20"/>
                <w:szCs w:val="20"/>
                <w:lang w:val="en-US"/>
              </w:rPr>
            </w:pPr>
            <w:r w:rsidRPr="00EC3E91">
              <w:rPr>
                <w:sz w:val="20"/>
                <w:szCs w:val="20"/>
                <w:lang w:val="en-US"/>
              </w:rPr>
              <w:t xml:space="preserve">Efficacy/Effectiveness, </w:t>
            </w:r>
            <w:r w:rsidR="009E59A6"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492D779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7050BCA1"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4616D37" w14:textId="77777777" w:rsidR="00F422E5" w:rsidRPr="00EC3E91" w:rsidRDefault="00F422E5" w:rsidP="00C02742">
            <w:pPr>
              <w:rPr>
                <w:sz w:val="20"/>
                <w:szCs w:val="20"/>
                <w:lang w:val="en-US"/>
              </w:rPr>
            </w:pPr>
            <w:r w:rsidRPr="00EC3E91">
              <w:rPr>
                <w:sz w:val="20"/>
                <w:szCs w:val="20"/>
                <w:lang w:val="en-US"/>
              </w:rPr>
              <w:t>Beers Criteria</w:t>
            </w:r>
            <w:r w:rsidRPr="00EC3E91">
              <w:rPr>
                <w:sz w:val="20"/>
                <w:szCs w:val="20"/>
                <w:lang w:val="en-US"/>
              </w:rPr>
              <w:br/>
            </w:r>
            <w:r w:rsidRPr="00EC3E91">
              <w:rPr>
                <w:sz w:val="20"/>
                <w:szCs w:val="20"/>
                <w:lang w:val="en-US"/>
              </w:rPr>
              <w:br/>
              <w:t>The National Committee for Quality Assurance. 2015 State of Healthcare Quality</w:t>
            </w:r>
          </w:p>
        </w:tc>
        <w:tc>
          <w:tcPr>
            <w:tcW w:w="2551" w:type="dxa"/>
            <w:tcBorders>
              <w:top w:val="single" w:sz="4" w:space="0" w:color="auto"/>
              <w:left w:val="nil"/>
              <w:bottom w:val="single" w:sz="4" w:space="0" w:color="auto"/>
              <w:right w:val="nil"/>
            </w:tcBorders>
            <w:hideMark/>
          </w:tcPr>
          <w:p w14:paraId="08A7B339" w14:textId="77777777" w:rsidR="00F422E5" w:rsidRPr="00EC3E91" w:rsidRDefault="00F422E5" w:rsidP="00C02742">
            <w:pPr>
              <w:rPr>
                <w:sz w:val="20"/>
                <w:szCs w:val="20"/>
                <w:lang w:val="en-US"/>
              </w:rPr>
            </w:pPr>
            <w:r w:rsidRPr="00EC3E91">
              <w:rPr>
                <w:sz w:val="20"/>
                <w:szCs w:val="20"/>
                <w:lang w:val="en-US"/>
              </w:rPr>
              <w:t xml:space="preserve">conduct educational outreach visits, develop educational materials, remind clinicians, develop and organize quality monitoring systems, audit and provide feedback </w:t>
            </w:r>
          </w:p>
        </w:tc>
      </w:tr>
      <w:tr w:rsidR="00F422E5" w:rsidRPr="00E119DD" w14:paraId="43223E22" w14:textId="77777777" w:rsidTr="00F422E5">
        <w:trPr>
          <w:trHeight w:val="2235"/>
        </w:trPr>
        <w:tc>
          <w:tcPr>
            <w:tcW w:w="993" w:type="dxa"/>
            <w:tcBorders>
              <w:top w:val="single" w:sz="4" w:space="0" w:color="auto"/>
              <w:left w:val="nil"/>
              <w:bottom w:val="single" w:sz="4" w:space="0" w:color="auto"/>
              <w:right w:val="nil"/>
            </w:tcBorders>
          </w:tcPr>
          <w:p w14:paraId="3E84A842" w14:textId="44B26117" w:rsidR="00F422E5" w:rsidRPr="00EC3E91" w:rsidRDefault="00C262BC"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{"citationItems":[{"id":"ITEM-1","itemData":{"DOI":"https://doi.org/10.1111/ecc.13185","ISSN":"0961-5423","abstract":"Abstract Objective Polypharmacy is frequent among older cancer patients and increases the risk of potential drug-related problems (DRPs). DRPs are associated with adverse drug events, drug-drug interactions and hospitalisations. Since no standardised polypharmacy assessment methods for oncology patients exist, we aimed to develop one that can be integrated into routine care. Methods Based on the Systematic Tool to Reduce Inappropriate Prescribing (STRIP), we developed OncoSTRIP, which includes a polypharmacy anamnesis, a concise geriatric assessment, a polypharmacy analysis taking life expectancy into account and an optimised treatment plan. Patients ≥65 years with ≥5 chronic drugs visiting our outpatient oncology clinic were eligible for the polypharmacy assessment. Results OncoSTRIP was integrated into routine care of our older cancer patients. In 47 of 60 patients (78%), potential DRPs (n = 101) were found. In total, 85 optimisations were recommended, with an acceptance rate of 41%. It was possible to reduce the number of potential DRPs by 41% and the number of patients with at least one potential DRP by 30%. Mean time spent per patient was 71 min. Conclusions Polypharmacy assessment of older cancer patients identifies many pharmacotherapeutic optimisations. With OncoSTRIP, polypharmacy assessments can be integrated into routine care.","author":[{"dropping-particle":"","family":"Vrijkorte","given":"Elze","non-dropping-particle":"","parse-names":false,"suffix":""},{"dropping-particle":"","family":"Vries","given":"Jennifer","non-dropping-particle":"de","parse-names":false,"suffix":""},{"dropping-particle":"","family":"Schaafsma","given":"Ron","non-dropping-particle":"","parse-names":false,"suffix":""},{"dropping-particle":"","family":"Wymenga","given":"Machteld","non-dropping-particle":"","parse-names":false,"suffix":""},{"dropping-particle":"","family":"Oude Munnink","given":"Thijs","non-dropping-particle":"","parse-names":false,"suffix":""}],"container-title":"European Journal of Cancer Care","id":"ITEM-1","issue":"1","issued":{"date-parts":[["2020","1","1"]]},"page":"e13185","publisher":"John Wiley &amp; Sons, Ltd","title":"Optimising pharmacotherapy in older cancer patients with polypharmacy","type":"article-journal","volume":"29"},"uris":["http://www.mendeley.com/documents/?uuid=8d7f966a-a748-3feb-b6b6-6971fff8b771"]}],"mendeley":{"formattedCitation":"(289)","plainTextFormattedCitation":"(289)","previouslyFormattedCitation":"(289)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(289)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237C632" w14:textId="77777777" w:rsidR="00F422E5" w:rsidRPr="00EC3E91" w:rsidRDefault="00F422E5" w:rsidP="00C02742">
            <w:pPr>
              <w:rPr>
                <w:sz w:val="20"/>
                <w:szCs w:val="20"/>
                <w:lang w:val="en-US"/>
              </w:rPr>
            </w:pPr>
            <w:r w:rsidRPr="00EC3E91">
              <w:rPr>
                <w:sz w:val="20"/>
                <w:szCs w:val="20"/>
                <w:lang w:val="en-US"/>
              </w:rPr>
              <w:t>Netherlands</w:t>
            </w:r>
          </w:p>
        </w:tc>
        <w:tc>
          <w:tcPr>
            <w:tcW w:w="993" w:type="dxa"/>
            <w:tcBorders>
              <w:top w:val="single" w:sz="4" w:space="0" w:color="auto"/>
              <w:left w:val="nil"/>
              <w:bottom w:val="single" w:sz="4" w:space="0" w:color="auto"/>
              <w:right w:val="nil"/>
            </w:tcBorders>
            <w:hideMark/>
          </w:tcPr>
          <w:p w14:paraId="30BB13F4"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3F93C6E" w14:textId="77777777" w:rsidR="00F422E5" w:rsidRPr="00EC3E91" w:rsidRDefault="00F422E5" w:rsidP="00C02742">
            <w:pPr>
              <w:rPr>
                <w:sz w:val="20"/>
                <w:szCs w:val="20"/>
                <w:lang w:val="en-US"/>
              </w:rPr>
            </w:pPr>
            <w:r w:rsidRPr="00EC3E91">
              <w:rPr>
                <w:sz w:val="20"/>
                <w:szCs w:val="20"/>
                <w:lang w:val="en-US"/>
              </w:rPr>
              <w:t xml:space="preserve">Quant </w:t>
            </w:r>
          </w:p>
        </w:tc>
        <w:tc>
          <w:tcPr>
            <w:tcW w:w="851" w:type="dxa"/>
            <w:tcBorders>
              <w:top w:val="single" w:sz="4" w:space="0" w:color="auto"/>
              <w:left w:val="nil"/>
              <w:bottom w:val="single" w:sz="4" w:space="0" w:color="auto"/>
              <w:right w:val="nil"/>
            </w:tcBorders>
            <w:hideMark/>
          </w:tcPr>
          <w:p w14:paraId="5B9008B3" w14:textId="04C5586B" w:rsidR="00F422E5" w:rsidRPr="00EC3E91" w:rsidRDefault="00C262BC"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3FAA9278"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DC1DE76"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18018AD" w14:textId="77777777" w:rsidR="00F422E5" w:rsidRPr="00EC3E91" w:rsidRDefault="00F422E5" w:rsidP="00C02742">
            <w:pPr>
              <w:rPr>
                <w:sz w:val="20"/>
                <w:szCs w:val="20"/>
                <w:lang w:val="en-US"/>
              </w:rPr>
            </w:pPr>
            <w:r w:rsidRPr="00EC3E91">
              <w:rPr>
                <w:sz w:val="20"/>
                <w:szCs w:val="20"/>
                <w:lang w:val="en-US"/>
              </w:rPr>
              <w:t>the Systematic Tool to Reduce Inappropriate Prescribing (STRIP) method embedded in the Dutch multidisciplinary polypharmacy guideline (Dutch General Practitioners, Dutch Geriatric Society, Dutch Order of Medical Specialists, 2012)</w:t>
            </w:r>
          </w:p>
        </w:tc>
        <w:tc>
          <w:tcPr>
            <w:tcW w:w="2551" w:type="dxa"/>
            <w:tcBorders>
              <w:top w:val="single" w:sz="4" w:space="0" w:color="auto"/>
              <w:left w:val="nil"/>
              <w:bottom w:val="single" w:sz="4" w:space="0" w:color="auto"/>
              <w:right w:val="nil"/>
            </w:tcBorders>
            <w:hideMark/>
          </w:tcPr>
          <w:p w14:paraId="0A3F8D73" w14:textId="77777777" w:rsidR="00F422E5" w:rsidRPr="00EC3E91" w:rsidRDefault="00F422E5" w:rsidP="00C02742">
            <w:pPr>
              <w:rPr>
                <w:sz w:val="20"/>
                <w:szCs w:val="20"/>
                <w:lang w:val="en-US"/>
              </w:rPr>
            </w:pPr>
            <w:r w:rsidRPr="00EC3E91">
              <w:rPr>
                <w:sz w:val="20"/>
                <w:szCs w:val="20"/>
                <w:lang w:val="en-US"/>
              </w:rPr>
              <w:t>develop and organize quality monitoring systems</w:t>
            </w:r>
          </w:p>
        </w:tc>
      </w:tr>
      <w:tr w:rsidR="00797F3C" w:rsidRPr="00E119DD" w14:paraId="22FFB0FF" w14:textId="77777777" w:rsidTr="00F422E5">
        <w:trPr>
          <w:trHeight w:val="2235"/>
        </w:trPr>
        <w:tc>
          <w:tcPr>
            <w:tcW w:w="993" w:type="dxa"/>
            <w:tcBorders>
              <w:top w:val="single" w:sz="4" w:space="0" w:color="auto"/>
              <w:left w:val="nil"/>
              <w:bottom w:val="single" w:sz="4" w:space="0" w:color="auto"/>
              <w:right w:val="nil"/>
            </w:tcBorders>
          </w:tcPr>
          <w:p w14:paraId="52D5B609" w14:textId="73CBBBDA" w:rsidR="00797F3C" w:rsidRPr="00EC3E91" w:rsidRDefault="00945A23"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{"citationItems":[{"id":"ITEM-1","itemData":{"ISSN":"2586-8470 2586-8195","abstract":"A high number of elderly patients are exposed to the risk of potentially inappropriate medications (PIMs). The Beers criteria, most recently in 2015, are the most widely cited criteria used to assess PIM prescribing for older patients. The purpose of this study was to evaluate the role of pharmacist's intervention in improvement of appropriate prescription for geriatric inpatients according to the 2015 Beers Criteria. The pharmacist's intervention method included training lectures on the Beers 2015 criteria in two hours for the medical doctors (MDs) of each study department; face-to-face visits with the MDs, and the notebook with the Beers 2015 provided to the MDs for reference. The study was designed as a before-and-after trial using medical records of patients aged 65 years or older, admitted to the one of three following study departments: endocrinology, cardiology, and neurology departments of Dong Nai General Hospital from 1st September 2015 to 30th June 2016. Data were analyzed using Statistical Package for Social Sciences (SPSS) Program, version 22.0. Binary logistic regression analysis was used to evaluate the factors associated with the prescription of PIMs. The pharmacist's intervention had an impact on decreasing the PIM exposure (OR=0.337, CI 95% 0.207-0.551, p &lt; 0.001). There was a significant decrease (p &lt; 0.05) in the rate of PIMs with diazepam, amitriptyline, metoclopramide after pharmacist's intervention. The pharmacist team was able to make a statistically significant difference in the number of elderly patients being prescribed PIMs.","author":[{"dropping-particle":"","family":"Vu","given":"T X","non-dropping-particle":"","parse-names":false,"suffix":""},{"dropping-particle":"","family":"Huong","given":"Q B T","non-dropping-particle":"","parse-names":false,"suffix":""}],"container-title":"Pharmaceutical Sciences Asia","id":"ITEM-1","issue":"1","issued":{"date-parts":[["2019"]]},"language":"English","page":"54-61","publisher-place":"Q.B.T. Huong, 1Department of Clinical Pharmacy, Faculty of Pharmacy, University of Medicine and Pharmacy, Ho Chi Minh City, Viet Nam","title":"The effect of the pharmacist's intervention on potentially inappropriate medication prescription in older adults in a Vietnamese hospital","type":"article-journal","volume":"46"},"uris":["http://www.mendeley.com/documents/?uuid=b047beeb-5163-34bd-a416-0d71aeb8b4bd"]}],"mendeley":{"formattedCitation":"(290)","plainTextFormattedCitation":"(290)","previouslyFormattedCitation":"(290)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(290)</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6BB54D82" w14:textId="7ADFD627" w:rsidR="00797F3C" w:rsidRPr="00EC3E91" w:rsidRDefault="00945A23" w:rsidP="00C02742">
            <w:pPr>
              <w:rPr>
                <w:sz w:val="20"/>
                <w:szCs w:val="20"/>
                <w:lang w:val="en-US"/>
              </w:rPr>
            </w:pPr>
            <w:r w:rsidRPr="00EC3E91">
              <w:rPr>
                <w:sz w:val="20"/>
                <w:szCs w:val="20"/>
                <w:lang w:val="en-US"/>
              </w:rPr>
              <w:t>Vietnam</w:t>
            </w:r>
          </w:p>
        </w:tc>
        <w:tc>
          <w:tcPr>
            <w:tcW w:w="993" w:type="dxa"/>
            <w:tcBorders>
              <w:top w:val="single" w:sz="4" w:space="0" w:color="auto"/>
              <w:left w:val="nil"/>
              <w:bottom w:val="single" w:sz="4" w:space="0" w:color="auto"/>
              <w:right w:val="nil"/>
            </w:tcBorders>
          </w:tcPr>
          <w:p w14:paraId="256B770E" w14:textId="341E8AB5" w:rsidR="00797F3C" w:rsidRPr="00EC3E91" w:rsidRDefault="005676F8"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tcPr>
          <w:p w14:paraId="26C30D42" w14:textId="2ED64254" w:rsidR="00797F3C" w:rsidRPr="00EC3E91" w:rsidRDefault="005676F8" w:rsidP="00C02742">
            <w:pPr>
              <w:rPr>
                <w:sz w:val="20"/>
                <w:szCs w:val="20"/>
                <w:lang w:val="en-US"/>
              </w:rPr>
            </w:pPr>
            <w:r w:rsidRPr="00EC3E91">
              <w:rPr>
                <w:sz w:val="20"/>
                <w:szCs w:val="20"/>
                <w:lang w:val="en-US"/>
              </w:rPr>
              <w:t>Quant Pre-post</w:t>
            </w:r>
          </w:p>
        </w:tc>
        <w:tc>
          <w:tcPr>
            <w:tcW w:w="851" w:type="dxa"/>
            <w:tcBorders>
              <w:top w:val="single" w:sz="4" w:space="0" w:color="auto"/>
              <w:left w:val="nil"/>
              <w:bottom w:val="single" w:sz="4" w:space="0" w:color="auto"/>
              <w:right w:val="nil"/>
            </w:tcBorders>
          </w:tcPr>
          <w:p w14:paraId="23E06728" w14:textId="2FEB3B66" w:rsidR="00797F3C" w:rsidRPr="00EC3E91" w:rsidRDefault="005676F8"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72E23CA0" w14:textId="3C15584E" w:rsidR="00797F3C" w:rsidRPr="00EC3E91" w:rsidRDefault="005676F8"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tcPr>
          <w:p w14:paraId="6C3CB0D2" w14:textId="28F29341" w:rsidR="00797F3C" w:rsidRPr="00EC3E91" w:rsidRDefault="00CB60D8"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tcPr>
          <w:p w14:paraId="6F585B4D" w14:textId="6B3AF4D1" w:rsidR="00797F3C" w:rsidRPr="00EC3E91" w:rsidRDefault="00CB60D8" w:rsidP="00C02742">
            <w:pPr>
              <w:rPr>
                <w:sz w:val="20"/>
                <w:szCs w:val="20"/>
                <w:lang w:val="en-US"/>
              </w:rPr>
            </w:pPr>
            <w:r w:rsidRPr="00EC3E91">
              <w:rPr>
                <w:sz w:val="20"/>
                <w:szCs w:val="20"/>
                <w:lang w:val="en-US"/>
              </w:rPr>
              <w:t>Beer’s criteria</w:t>
            </w:r>
          </w:p>
        </w:tc>
        <w:tc>
          <w:tcPr>
            <w:tcW w:w="2551" w:type="dxa"/>
            <w:tcBorders>
              <w:top w:val="single" w:sz="4" w:space="0" w:color="auto"/>
              <w:left w:val="nil"/>
              <w:bottom w:val="single" w:sz="4" w:space="0" w:color="auto"/>
              <w:right w:val="nil"/>
            </w:tcBorders>
          </w:tcPr>
          <w:p w14:paraId="2BB39248" w14:textId="63CF850D" w:rsidR="00797F3C" w:rsidRPr="00EC3E91" w:rsidRDefault="00CB60D8" w:rsidP="00C02742">
            <w:pPr>
              <w:rPr>
                <w:sz w:val="20"/>
                <w:szCs w:val="20"/>
                <w:lang w:val="en-US"/>
              </w:rPr>
            </w:pPr>
            <w:r w:rsidRPr="00EC3E91">
              <w:rPr>
                <w:sz w:val="20"/>
                <w:szCs w:val="20"/>
                <w:lang w:val="en-US"/>
              </w:rPr>
              <w:t>conduct educational meeting, develop educational materials.</w:t>
            </w:r>
          </w:p>
        </w:tc>
      </w:tr>
      <w:tr w:rsidR="00F422E5" w:rsidRPr="00E119DD" w14:paraId="7346B506" w14:textId="77777777" w:rsidTr="00F422E5">
        <w:trPr>
          <w:trHeight w:val="2235"/>
        </w:trPr>
        <w:tc>
          <w:tcPr>
            <w:tcW w:w="993" w:type="dxa"/>
            <w:tcBorders>
              <w:top w:val="single" w:sz="4" w:space="0" w:color="auto"/>
              <w:left w:val="nil"/>
              <w:bottom w:val="single" w:sz="4" w:space="0" w:color="auto"/>
              <w:right w:val="nil"/>
            </w:tcBorders>
          </w:tcPr>
          <w:p w14:paraId="13B67186" w14:textId="021A9CDF" w:rsidR="00F422E5" w:rsidRPr="00EC3E91" w:rsidRDefault="0036595A"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{"citationItems":[{"id":"ITEM-1","itemData":{"DOI":"10.1093/jac/dky528","ISSN":"0305-7453","abstract":"Abstract\nBackground\nAntimicrobial resistance is a growing problem, with the need for ‘strong action’ highlighted by the Chief Medical Officer for England in 2013, along with a 5 year antimicrobial resistance strategy.\nObjectives\nFive years on, we set out to determine if there was a measurable impact from the 5 year antimicrobial resistance strategy on overall antibiotic prescribing in NHS primary care in England.\nMethods\nWe calculated the volume of antibiotic prescription items using annual prescription cost analysis data from 1998 to 2017 and monthly prescribing data from October 2010 to June 2018. Antibiotic prescribing rate was calculated using an age- and sex-adjusted denominator (Specific Therapeutic group Age-sex Related Prescribing Units, STAR-PU). We conducted interrupted time series analysis to measure any change in prescribing rate after the intervention.\nResults\nAfter several years with a stable rate of antibiotic prescribing, there was a downward change in gradient after 2013: −46.4 items per 1000 STAR-PU per year (95% CI = −61.4 to −31.3). The prescribing rate dropped from 1378 per 1000 STAR-PU per year in 2013 to 1184 in 2017, representing a 14.1% reduction. The reduction is similar for monthly data (16.4%). Assuming causality, when compared with predicted prescribing if the rate of prescribing had continued at the pre-2013 trend, we estimate that 9.7 million antibiotic prescriptions were prevented over the past year by the 5 year antimicrobial resistance strategy.\nConclusions\nThough we cannot firmly attribute causality for the reduction in prescribing to the 5 year antimicrobial resistance strategy, the magnitude and timing of the change are noteworthy; the substantial change followed a long period of relatively static antibiotic prescribing.","author":[{"dropping-particle":"","family":"Walker","given":"Alex J","non-dropping-particle":"","parse-names":false,"suffix":""},{"dropping-particle":"","family":"Curtis","given":"Helen J","non-dropping-particle":"","parse-names":false,"suffix":""},{"dropping-particle":"","family":"Goldacre","given":"Ben","non-dropping-particle":"","parse-names":false,"suffix":""}],"container-title":"Journal of antimicrobial chemotherapy","id":"ITEM-1","issue":"4","issued":{"date-parts":[["2019"]]},"page":"1133-1136","publisher":"Oxford University Press","publisher-place":"England","title":"Impact of Chief Medical Officer activity on prescribing of antibiotics in England: an interrupted time series analysis","type":"article-journal","volume":"74"},"uris":["http://www.mendeley.com/documents/?uuid=0a4e25e8-a479-4a71-891b-705896f2fae4"]}],"mendeley":{"formattedCitation":"(291)","plainTextFormattedCitation":"(291)","previouslyFormattedCitation":"(291)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92DECFB" w14:textId="77777777" w:rsidR="00F422E5" w:rsidRPr="00EC3E91" w:rsidRDefault="00F422E5" w:rsidP="00C02742">
            <w:pPr>
              <w:rPr>
                <w:sz w:val="20"/>
                <w:szCs w:val="20"/>
                <w:lang w:val="en-US"/>
              </w:rPr>
            </w:pPr>
            <w:r w:rsidRPr="00EC3E91">
              <w:rPr>
                <w:sz w:val="20"/>
                <w:szCs w:val="20"/>
                <w:lang w:val="en-US"/>
              </w:rPr>
              <w:t>United Kingdom</w:t>
            </w:r>
          </w:p>
        </w:tc>
        <w:tc>
          <w:tcPr>
            <w:tcW w:w="993" w:type="dxa"/>
            <w:tcBorders>
              <w:top w:val="single" w:sz="4" w:space="0" w:color="auto"/>
              <w:left w:val="nil"/>
              <w:bottom w:val="single" w:sz="4" w:space="0" w:color="auto"/>
              <w:right w:val="nil"/>
            </w:tcBorders>
            <w:hideMark/>
          </w:tcPr>
          <w:p w14:paraId="51E94814"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7D7EFA82"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0B5D45DD"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44DF3D9"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0D908707" w14:textId="77777777" w:rsidR="00F422E5" w:rsidRPr="00EC3E91" w:rsidRDefault="00F422E5" w:rsidP="00C02742">
            <w:pPr>
              <w:rPr>
                <w:sz w:val="20"/>
                <w:szCs w:val="20"/>
                <w:lang w:val="en-US"/>
              </w:rPr>
            </w:pPr>
            <w:r w:rsidRPr="00EC3E91">
              <w:rPr>
                <w:sz w:val="20"/>
                <w:szCs w:val="20"/>
                <w:lang w:val="en-US"/>
              </w:rPr>
              <w:t>Inappropriate prescribing of antibiotics</w:t>
            </w:r>
          </w:p>
        </w:tc>
        <w:tc>
          <w:tcPr>
            <w:tcW w:w="3970" w:type="dxa"/>
            <w:tcBorders>
              <w:top w:val="single" w:sz="4" w:space="0" w:color="auto"/>
              <w:left w:val="nil"/>
              <w:bottom w:val="single" w:sz="4" w:space="0" w:color="auto"/>
              <w:right w:val="nil"/>
            </w:tcBorders>
            <w:hideMark/>
          </w:tcPr>
          <w:p w14:paraId="7C98DE0C" w14:textId="77777777" w:rsidR="00F422E5" w:rsidRPr="00EC3E91" w:rsidRDefault="00F422E5" w:rsidP="00C02742">
            <w:pPr>
              <w:rPr>
                <w:sz w:val="20"/>
                <w:szCs w:val="20"/>
                <w:lang w:val="en-US"/>
              </w:rPr>
            </w:pPr>
            <w:r w:rsidRPr="00EC3E91">
              <w:rPr>
                <w:sz w:val="20"/>
                <w:szCs w:val="20"/>
                <w:lang w:val="en-US"/>
              </w:rPr>
              <w:t>NICE guidelines</w:t>
            </w:r>
          </w:p>
        </w:tc>
        <w:tc>
          <w:tcPr>
            <w:tcW w:w="2551" w:type="dxa"/>
            <w:tcBorders>
              <w:top w:val="single" w:sz="4" w:space="0" w:color="auto"/>
              <w:left w:val="nil"/>
              <w:bottom w:val="single" w:sz="4" w:space="0" w:color="auto"/>
              <w:right w:val="nil"/>
            </w:tcBorders>
            <w:hideMark/>
          </w:tcPr>
          <w:p w14:paraId="0F8B6FA5" w14:textId="0979107C" w:rsidR="00F422E5" w:rsidRPr="00EC3E91" w:rsidRDefault="00F422E5" w:rsidP="00C02742">
            <w:pPr>
              <w:rPr>
                <w:sz w:val="20"/>
                <w:szCs w:val="20"/>
                <w:lang w:val="en-US"/>
              </w:rPr>
            </w:pPr>
            <w:r w:rsidRPr="00EC3E91">
              <w:rPr>
                <w:sz w:val="20"/>
                <w:szCs w:val="20"/>
                <w:lang w:val="en-US"/>
              </w:rPr>
              <w:t>[</w:t>
            </w:r>
            <w:r w:rsidR="00381BF2">
              <w:rPr>
                <w:sz w:val="20"/>
                <w:szCs w:val="20"/>
                <w:lang w:val="en-US"/>
              </w:rPr>
              <w:t>POLICY AND REGULATION</w:t>
            </w:r>
            <w:r w:rsidRPr="00EC3E91">
              <w:rPr>
                <w:sz w:val="20"/>
                <w:szCs w:val="20"/>
                <w:lang w:val="en-US"/>
              </w:rPr>
              <w:t xml:space="preserve">], distribute educational materials, develop educational materials, make training dynamic, use mass media, use data warehousing </w:t>
            </w:r>
            <w:r w:rsidR="009E59A6" w:rsidRPr="00EC3E91">
              <w:rPr>
                <w:sz w:val="20"/>
                <w:szCs w:val="20"/>
                <w:lang w:val="en-US"/>
              </w:rPr>
              <w:t>technique</w:t>
            </w:r>
            <w:r w:rsidRPr="00EC3E91">
              <w:rPr>
                <w:sz w:val="20"/>
                <w:szCs w:val="20"/>
                <w:lang w:val="en-US"/>
              </w:rPr>
              <w:t>, [</w:t>
            </w:r>
            <w:r w:rsidR="00FD49DC">
              <w:rPr>
                <w:sz w:val="20"/>
                <w:szCs w:val="20"/>
                <w:lang w:val="en-US"/>
              </w:rPr>
              <w:t>INTERNATIONAL COLLABORATION</w:t>
            </w:r>
            <w:r w:rsidRPr="00EC3E91">
              <w:rPr>
                <w:sz w:val="20"/>
                <w:szCs w:val="20"/>
                <w:lang w:val="en-US"/>
              </w:rPr>
              <w:t>]</w:t>
            </w:r>
          </w:p>
        </w:tc>
      </w:tr>
      <w:tr w:rsidR="00F422E5" w:rsidRPr="00E119DD" w14:paraId="490FA5E2" w14:textId="77777777" w:rsidTr="00F422E5">
        <w:trPr>
          <w:trHeight w:val="2235"/>
        </w:trPr>
        <w:tc>
          <w:tcPr>
            <w:tcW w:w="993" w:type="dxa"/>
            <w:tcBorders>
              <w:top w:val="single" w:sz="4" w:space="0" w:color="auto"/>
              <w:left w:val="nil"/>
              <w:bottom w:val="single" w:sz="4" w:space="0" w:color="auto"/>
              <w:right w:val="nil"/>
            </w:tcBorders>
          </w:tcPr>
          <w:p w14:paraId="7A9BAE32" w14:textId="4617F4EC" w:rsidR="00F422E5" w:rsidRPr="00EC3E91" w:rsidRDefault="006C1198"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{"citationItems":[{"id":"ITEM-1","itemData":{"DOI":"10.1016/j.jacr.2017.08.005","ISSN":"1546-1440","abstract":"The aim of this study is to evaluate the impact of educational sessions on reducing lumbar spine MRI inappropriateness for uncomplicated low back pain and to present our institutional experience on the use of ACR’s Radiology Support, Communication and Alignment Network (R-SCAN) program toward achieving appropriateness.\nThe R-SCAN web portal was accessed to register a project. Using order entry data, the number of lumbar spine MRI orders placed per month at three family medicine clinics was assessed over a 10-month period. After educational presentations were given at those three clinics highlighting the American College of Physicians and Choosing Wisely campaign imaging guidelines, the number of MRI orders placed was reassessed over an additional 10 months. For a subset of these exams, the ACR Appropriateness Criteria rating of the lumbar spine MRIs were compared between the pre- and posteducation periods. A P value &lt; .05 was considered statistically significant.\nThe average number of monthly MRIs ordered from all three clinics combined was 6.3 during the posteducation period, which was significantly less than during the pre-education period of 10.0 (P = .009). The combined average ACR Appropriateness Criteria rating made at all three clinics was 5.8 after educational sessions, which was significantly higher than the rating of 4.7 before educational sessions (P = .014).\nClinician education, facilitated by R-SCAN, resulted in a reduced number of MRI lumbar spine studies performed for uncomplicated low back pain and improved appropriateness of those studies as measured by the ACR Appropriateness Criteria rating.","author":[{"dropping-particle":"","family":"Wang","given":"Kevin Yuqi","non-dropping-particle":"","parse-names":false,"suffix":""},{"dropping-particle":"","family":"Yen","given":"Christopher James","non-dropping-particle":"","parse-names":false,"suffix":""},{"dropping-particle":"","family":"Chen","given":"Melissa","non-dropping-particle":"","parse-names":false,"suffix":""},{"dropping-particle":"","family":"Variyam","given":"Darshan","non-dropping-particle":"","parse-names":false,"suffix":""},{"dropping-particle":"","family":"Acosta","given":"Tomas Uribe","non-dropping-particle":"","parse-names":false,"suffix":""},{"dropping-particle":"","family":"Reed","given":"Brian","non-dropping-particle":"","parse-names":false,"suffix":""},{"dropping-particle":"","family":"Wintermark","given":"Max","non-dropping-particle":"","parse-names":false,"suffix":""},{"dropping-particle":"","family":"Lincoln","given":"Christie Mary","non-dropping-particle":"","parse-names":false,"suffix":""}],"container-title":"Journal of the American College of Radiology","id":"ITEM-1","issue":"1","issued":{"date-parts":[["2018"]]},"page":"116-122","publisher":"Elsevier Inc","publisher-place":"United States","title":"Reducing Inappropriate Lumbar Spine MRI for Low Back Pain: Radiology Support, Communication and Alignment Network","type":"article-journal","volume":"15"},"uris":["http://www.mendeley.com/documents/?uuid=68b6a6d9-4429-4fce-a4a8-6386c7bcb1ad"]}],"mendeley":{"formattedCitation":"(292)","plainTextFormattedCitation":"(292)","previouslyFormattedCitation":"(292)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176C0A8"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3C9B6B1"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C72469E"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70BFC9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1E5AA3C"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02C08C01" w14:textId="77777777" w:rsidR="00F422E5" w:rsidRPr="00EC3E91" w:rsidRDefault="00F422E5" w:rsidP="00C02742">
            <w:pPr>
              <w:rPr>
                <w:sz w:val="20"/>
                <w:szCs w:val="20"/>
                <w:lang w:val="en-US"/>
              </w:rPr>
            </w:pPr>
            <w:r w:rsidRPr="00EC3E91">
              <w:rPr>
                <w:sz w:val="20"/>
                <w:szCs w:val="20"/>
                <w:lang w:val="en-US"/>
              </w:rPr>
              <w:t>Inappropriate lumbar spine MRI for uncomplicated low back pain</w:t>
            </w:r>
          </w:p>
        </w:tc>
        <w:tc>
          <w:tcPr>
            <w:tcW w:w="3970" w:type="dxa"/>
            <w:tcBorders>
              <w:top w:val="single" w:sz="4" w:space="0" w:color="auto"/>
              <w:left w:val="nil"/>
              <w:bottom w:val="single" w:sz="4" w:space="0" w:color="auto"/>
              <w:right w:val="nil"/>
            </w:tcBorders>
            <w:hideMark/>
          </w:tcPr>
          <w:p w14:paraId="2FC7AB6D" w14:textId="77777777" w:rsidR="00F422E5" w:rsidRPr="00EC3E91" w:rsidRDefault="00F422E5" w:rsidP="00C02742">
            <w:pPr>
              <w:rPr>
                <w:sz w:val="20"/>
                <w:szCs w:val="20"/>
                <w:lang w:val="en-US"/>
              </w:rPr>
            </w:pPr>
            <w:r w:rsidRPr="00EC3E91">
              <w:rPr>
                <w:sz w:val="20"/>
                <w:szCs w:val="20"/>
                <w:lang w:val="en-US"/>
              </w:rPr>
              <w:t>Guidelines from the American College of Physicians and the American Pain Society</w:t>
            </w:r>
            <w:r w:rsidRPr="00EC3E91">
              <w:rPr>
                <w:sz w:val="20"/>
                <w:szCs w:val="20"/>
                <w:lang w:val="en-US"/>
              </w:rPr>
              <w:br/>
            </w:r>
            <w:r w:rsidRPr="00EC3E91">
              <w:rPr>
                <w:sz w:val="20"/>
                <w:szCs w:val="20"/>
                <w:lang w:val="en-US"/>
              </w:rPr>
              <w:br/>
              <w:t>ACR Appropriateness Criteria Low Back Pain</w:t>
            </w:r>
            <w:r w:rsidRPr="00EC3E91">
              <w:rPr>
                <w:sz w:val="20"/>
                <w:szCs w:val="20"/>
                <w:lang w:val="en-US"/>
              </w:rPr>
              <w:br/>
            </w:r>
            <w:r w:rsidRPr="00EC3E91">
              <w:rPr>
                <w:sz w:val="20"/>
                <w:szCs w:val="20"/>
                <w:lang w:val="en-US"/>
              </w:rPr>
              <w:br/>
              <w:t>Choosing Wisely</w:t>
            </w:r>
          </w:p>
        </w:tc>
        <w:tc>
          <w:tcPr>
            <w:tcW w:w="2551" w:type="dxa"/>
            <w:tcBorders>
              <w:top w:val="single" w:sz="4" w:space="0" w:color="auto"/>
              <w:left w:val="nil"/>
              <w:bottom w:val="single" w:sz="4" w:space="0" w:color="auto"/>
              <w:right w:val="nil"/>
            </w:tcBorders>
            <w:hideMark/>
          </w:tcPr>
          <w:p w14:paraId="1A083CC2" w14:textId="77777777" w:rsidR="00F422E5" w:rsidRPr="00EC3E91" w:rsidRDefault="00F422E5" w:rsidP="00C02742">
            <w:pPr>
              <w:rPr>
                <w:sz w:val="20"/>
                <w:szCs w:val="20"/>
                <w:lang w:val="en-US"/>
              </w:rPr>
            </w:pPr>
            <w:r w:rsidRPr="00EC3E91">
              <w:rPr>
                <w:sz w:val="20"/>
                <w:szCs w:val="20"/>
                <w:lang w:val="en-US"/>
              </w:rPr>
              <w:t>make training dynamic</w:t>
            </w:r>
          </w:p>
        </w:tc>
      </w:tr>
      <w:tr w:rsidR="00F422E5" w:rsidRPr="00E119DD" w14:paraId="31EFACC7" w14:textId="77777777" w:rsidTr="00F422E5">
        <w:trPr>
          <w:trHeight w:val="2235"/>
        </w:trPr>
        <w:tc>
          <w:tcPr>
            <w:tcW w:w="993" w:type="dxa"/>
            <w:tcBorders>
              <w:top w:val="single" w:sz="4" w:space="0" w:color="auto"/>
              <w:left w:val="nil"/>
              <w:bottom w:val="single" w:sz="4" w:space="0" w:color="auto"/>
              <w:right w:val="nil"/>
            </w:tcBorders>
          </w:tcPr>
          <w:p w14:paraId="785BACE9" w14:textId="3FD4FEF6" w:rsidR="00F422E5" w:rsidRPr="00EC3E91" w:rsidRDefault="009D0067"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{"citationItems":[{"id":"ITEM-1","itemData":{"DOI":"10.1542/peds.2017-4003","ISSN":"0031-4005","abstract":"Implementation of an asthma clinical practice guideline did not achieve desired chest radiograph (CXR) usage goals. We attempt to use quality improvement methodology to decrease the percentage of CXRs obtained for pediatric patients with acute asthma exacerbations from 29.3% to &lt;20% and to evaluate whether decreases in CXR use are associated with decreased antibiotic use.We included all children ≥2 years old at our children’s hospital with primary billing codes for asthma from May 2013 to April 2017. A multidisciplinary team tested targeted interventions on the basis of 3 key drivers aimed at reducing CXRs. We used statistical process control charts to study measures. The primary measure was the percentage of patients with an acute asthma exacerbation who were undergoing a CXR. The secondary measure was percentage of patients receiving systemic antibiotics. Balancing measures were all-cause, 3-day return emergency department visits and the percentage of pneumonia and/or asthma codiagnosis encounters.We included 6680 consecutive patients with 1539 CXRs. Implementation of an asthma clinical practice guideline was associated with decreased CXR use from 29.3% to 23.0%. Targeted interventions were associated with further reduction to 16.0%. For subset analyses, CXR use decreased from 21.3% to 12.5% for treat-and-release patients and from 53.5% to 31.1% for admitted patients. Antibiotic use varied slightly without temporal association with interventions or CXR reduction. There were no adverse changes in balancing measures.Quality improvement methodology and targeted interventions are associated with a sustained reduction in CXR use in pediatric patients with acute asthma exacerbations. Reduction of CXRs is not associated with decreased antibiotic use.","author":[{"dropping-particle":"","family":"Watnick","given":"Caroline S","non-dropping-particle":"","parse-names":false,"suffix":""},{"dropping-particle":"","family":"Arnold","given":"Donald H","non-dropping-particle":"","parse-names":false,"suffix":""},{"dropping-particle":"","family":"Latuska","given":"Richard","non-dropping-particle":"","parse-names":false,"suffix":""},{"dropping-particle":"","family":"O’Connor","given":"Michael","non-dropping-particle":"","parse-names":false,"suffix":""},{"dropping-particle":"","family":"Johnson","given":"David P","non-dropping-particle":"","parse-names":false,"suffix":""}],"container-title":"Pediatrics","id":"ITEM-1","issue":"2","issued":{"date-parts":[["2018","8","1"]]},"page":"e20174003","title":"Successful Chest Radiograph Reduction by Using Quality Improvement Methodology for Children With Asthma","type":"article-journal","volume":"142"},"uris":["http://www.mendeley.com/documents/?uuid=abf32e25-d617-4b2a-b4fe-6c129893f948"]}],"mendeley":{"formattedCitation":"(293)","plainTextFormattedCitation":"(293)","previouslyFormattedCitation":"(293)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005505E"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6E90B61"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5664B01"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405812C5"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DD4EC42"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3C78478A" w14:textId="77777777" w:rsidR="00F422E5" w:rsidRPr="00EC3E91" w:rsidRDefault="00F422E5" w:rsidP="00C02742">
            <w:pPr>
              <w:rPr>
                <w:sz w:val="20"/>
                <w:szCs w:val="20"/>
                <w:lang w:val="en-US"/>
              </w:rPr>
            </w:pPr>
            <w:r w:rsidRPr="00EC3E91">
              <w:rPr>
                <w:sz w:val="20"/>
                <w:szCs w:val="20"/>
                <w:lang w:val="en-US"/>
              </w:rPr>
              <w:t>inappropriate CXRs obtained for pediatric patients with acute asthma exacerbations</w:t>
            </w:r>
          </w:p>
        </w:tc>
        <w:tc>
          <w:tcPr>
            <w:tcW w:w="3970" w:type="dxa"/>
            <w:tcBorders>
              <w:top w:val="single" w:sz="4" w:space="0" w:color="auto"/>
              <w:left w:val="nil"/>
              <w:bottom w:val="single" w:sz="4" w:space="0" w:color="auto"/>
              <w:right w:val="nil"/>
            </w:tcBorders>
            <w:hideMark/>
          </w:tcPr>
          <w:p w14:paraId="6D5D4F5F" w14:textId="77777777" w:rsidR="00F422E5" w:rsidRPr="00EC3E91" w:rsidRDefault="00F422E5" w:rsidP="00C02742">
            <w:pPr>
              <w:rPr>
                <w:sz w:val="20"/>
                <w:szCs w:val="20"/>
                <w:lang w:val="en-US"/>
              </w:rPr>
            </w:pPr>
            <w:r w:rsidRPr="00EC3E91">
              <w:rPr>
                <w:sz w:val="20"/>
                <w:szCs w:val="20"/>
                <w:lang w:val="en-US"/>
              </w:rPr>
              <w:t xml:space="preserve">Guidelines for the diagnosis and management of asthma by the National Asthma Education and Prevention Program; National Heart, Lung, and Blood Institute. </w:t>
            </w:r>
          </w:p>
        </w:tc>
        <w:tc>
          <w:tcPr>
            <w:tcW w:w="2551" w:type="dxa"/>
            <w:tcBorders>
              <w:top w:val="single" w:sz="4" w:space="0" w:color="auto"/>
              <w:left w:val="nil"/>
              <w:bottom w:val="single" w:sz="4" w:space="0" w:color="auto"/>
              <w:right w:val="nil"/>
            </w:tcBorders>
            <w:hideMark/>
          </w:tcPr>
          <w:p w14:paraId="2FBAF256" w14:textId="3D5C5AE2" w:rsidR="00F422E5" w:rsidRPr="00EC3E91" w:rsidRDefault="00F422E5" w:rsidP="00C02742">
            <w:pPr>
              <w:rPr>
                <w:sz w:val="20"/>
                <w:szCs w:val="20"/>
                <w:lang w:val="en-US"/>
              </w:rPr>
            </w:pPr>
            <w:r w:rsidRPr="00EC3E91">
              <w:rPr>
                <w:sz w:val="20"/>
                <w:szCs w:val="20"/>
                <w:lang w:val="en-US"/>
              </w:rPr>
              <w:t xml:space="preserve">assess and redesign workflow, develop educational materials, change physical structure and equipment, remind </w:t>
            </w:r>
            <w:r w:rsidR="009E59A6" w:rsidRPr="00EC3E91">
              <w:rPr>
                <w:sz w:val="20"/>
                <w:szCs w:val="20"/>
                <w:lang w:val="en-US"/>
              </w:rPr>
              <w:t>clinicians</w:t>
            </w:r>
            <w:r w:rsidRPr="00EC3E91">
              <w:rPr>
                <w:sz w:val="20"/>
                <w:szCs w:val="20"/>
                <w:lang w:val="en-US"/>
              </w:rPr>
              <w:t xml:space="preserve">, conduct educational meeting, use advisory boards and workgroups, assess change </w:t>
            </w:r>
            <w:r w:rsidRPr="00EC3E91">
              <w:rPr>
                <w:sz w:val="20"/>
                <w:szCs w:val="20"/>
                <w:lang w:val="en-US"/>
              </w:rPr>
              <w:lastRenderedPageBreak/>
              <w:t xml:space="preserve">readiness and identify barriers and facilitators </w:t>
            </w:r>
          </w:p>
        </w:tc>
      </w:tr>
      <w:tr w:rsidR="00F422E5" w:rsidRPr="00E119DD" w14:paraId="318A7E1F" w14:textId="77777777" w:rsidTr="00F422E5">
        <w:trPr>
          <w:trHeight w:val="2235"/>
        </w:trPr>
        <w:tc>
          <w:tcPr>
            <w:tcW w:w="993" w:type="dxa"/>
            <w:tcBorders>
              <w:top w:val="single" w:sz="4" w:space="0" w:color="auto"/>
              <w:left w:val="nil"/>
              <w:bottom w:val="single" w:sz="4" w:space="0" w:color="auto"/>
              <w:right w:val="nil"/>
            </w:tcBorders>
          </w:tcPr>
          <w:p w14:paraId="52C41879" w14:textId="66F0B1E1" w:rsidR="00F422E5" w:rsidRPr="00EC3E91" w:rsidRDefault="0054414B" w:rsidP="00C02742">
            <w:pPr>
              <w:rPr>
                <w:sz w:val="20"/>
                <w:szCs w:val="20"/>
                <w:lang w:val="en-US"/>
              </w:rPr>
            </w:pPr>
            <w:r w:rsidRPr="00EC3E91">
              <w:rPr>
                <w:sz w:val="20"/>
                <w:szCs w:val="20"/>
                <w:lang w:val="en-US"/>
              </w:rPr>
              <w:lastRenderedPageBreak/>
              <w:fldChar w:fldCharType="begin" w:fldLock="1"/>
            </w:r>
            <w:r w:rsidR="00CF707F">
              <w:rPr>
                <w:sz w:val="20"/>
                <w:szCs w:val="20"/>
                <w:lang w:val="en-US"/>
              </w:rPr>
              <w:instrText>ADDIN CSL_CITATION {"citationItems":[{"id":"ITEM-1","itemData":{"ISSN":"1872-6976 0167-4943","abstract":"Aim(s): Exploring efficacy, feasibility and acceptability of a complex multifaced intervention (OptiMEDs) supporting multidisciplinary medication reviews in Belgian nursing homes (NHs). Methods: A pilot study in 2 intervention, 1 control NH was held, involving dementia and non-dementia NH residents (&gt;65 years). OptiMEDs provided automated assessment of possible inappropriate medications (PIMs) and patient-specific nurse observation lists of potential side-effects. Medication changes were evaluated one month after the medication review. Feasibility and acceptability was collected via surveys among the health-care professionals. Trial registration NCT04142645, 31/10/2019. Results: Participants (n = 148, n = 100 in the intervention NHs) had a mean age of 87.2 years, with 75.0% females and 49.3% non-dementia patients. Prevalence of PIM use was 84.7% and of potential medication side-effects 84.5%, (range 1–19 per resident). One month after the intervention, the medication use decreased in 35.8% and PIM use in 25.9% of surviving intervention NHresidents (n = 88). GPs changed more medications when side-effects were observed (42% when side-effects present versus 12% when no side-effects, p = 0.019). Median workload for nurses was 45 min, 20 for pharmacists, and 8 for GPs. User satisfaction for the OptiMEDs tool was high (n = 33, median score of 8, IQR 6 -8), with GPs (n = 19) showing the highest appreciation. Nurses (n = 9) reported a median score on the System Usability Scale of 70 (IQR 55 – 72), with lower scores for learnability aspects. Conclusion: The OptiMEDs intervention was feasible and user-friendly, showing decreases in the medication and PIM use; without affecting patient safety. A cluster-randomized trial is needed to explore impact on patient-related outcomes.","author":[{"dropping-particle":"","family":"Wauters","given":"M","non-dropping-particle":"","parse-names":false,"suffix":""},{"dropping-particle":"","family":"Elseviers","given":"M","non-dropping-particle":"","parse-names":false,"suffix":""},{"dropping-particle":"","family":"Stichele","given":"R","non-dropping-particle":"Vander","parse-names":false,"suffix":""},{"dropping-particle":"","family":"Dilles","given":"T","non-dropping-particle":"","parse-names":false,"suffix":""},{"dropping-particle":"","family":"Thienpont","given":"G","non-dropping-particle":"","parse-names":false,"suffix":""},{"dropping-particle":"","family":"Christiaens","given":"T","non-dropping-particle":"","parse-names":false,"suffix":""}],"container-title":"Archives of Gerontology and Geriatrics","id":"ITEM-1","issued":{"date-parts":[["2021"]]},"language":"English","publisher-place":"M. Wauters, C. Heymanslaan 10, Entrance 36 (1 blok B, first floor), Gent, Belgium","title":"Efficacy, feasibility and acceptability of the OptiMEDs tool for multidisciplinary medication review in nursing homes","type":"article-journal","volume":"95"},"uris":["http://www.mendeley.com/documents/?uuid=f4fd56a9-aedf-368d-8eb2-763c0d3cba4b"]}],"mendeley":{"formattedCitation":"(294)","plainTextFormattedCitation":"(294)","previouslyFormattedCitation":"(294)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47EBAD0D" w14:textId="77777777" w:rsidR="00F422E5" w:rsidRPr="00EC3E91" w:rsidRDefault="00F422E5" w:rsidP="00C02742">
            <w:pPr>
              <w:rPr>
                <w:sz w:val="20"/>
                <w:szCs w:val="20"/>
                <w:lang w:val="en-US"/>
              </w:rPr>
            </w:pPr>
            <w:r w:rsidRPr="00EC3E91">
              <w:rPr>
                <w:sz w:val="20"/>
                <w:szCs w:val="20"/>
                <w:lang w:val="en-US"/>
              </w:rPr>
              <w:t>Belgium</w:t>
            </w:r>
          </w:p>
        </w:tc>
        <w:tc>
          <w:tcPr>
            <w:tcW w:w="993" w:type="dxa"/>
            <w:tcBorders>
              <w:top w:val="single" w:sz="4" w:space="0" w:color="auto"/>
              <w:left w:val="nil"/>
              <w:bottom w:val="single" w:sz="4" w:space="0" w:color="auto"/>
              <w:right w:val="nil"/>
            </w:tcBorders>
            <w:hideMark/>
          </w:tcPr>
          <w:p w14:paraId="375AB66C"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2E1519E3"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7A8EEC55" w14:textId="6A1C7B4E" w:rsidR="00F422E5" w:rsidRPr="00EC3E91" w:rsidRDefault="00F422E5" w:rsidP="00C02742">
            <w:pPr>
              <w:rPr>
                <w:sz w:val="20"/>
                <w:szCs w:val="20"/>
                <w:lang w:val="en-US"/>
              </w:rPr>
            </w:pPr>
            <w:r w:rsidRPr="00EC3E91">
              <w:rPr>
                <w:sz w:val="20"/>
                <w:szCs w:val="20"/>
                <w:lang w:val="en-US"/>
              </w:rPr>
              <w:t xml:space="preserve">Efficacy/Effectiveness, </w:t>
            </w:r>
            <w:r w:rsidR="007178F1"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580D7509"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174FB35D"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67A0A923" w14:textId="25B01AA8" w:rsidR="00F422E5" w:rsidRPr="00EC3E91" w:rsidRDefault="00F422E5" w:rsidP="00C02742">
            <w:pPr>
              <w:rPr>
                <w:sz w:val="20"/>
                <w:szCs w:val="20"/>
                <w:lang w:val="en-US"/>
              </w:rPr>
            </w:pPr>
            <w:r w:rsidRPr="00EC3E91">
              <w:rPr>
                <w:sz w:val="20"/>
                <w:szCs w:val="20"/>
                <w:lang w:val="en-US"/>
              </w:rPr>
              <w:t>The European Union (EU</w:t>
            </w:r>
            <w:r w:rsidR="009E59A6" w:rsidRPr="00EC3E91">
              <w:rPr>
                <w:sz w:val="20"/>
                <w:szCs w:val="20"/>
                <w:lang w:val="en-US"/>
              </w:rPr>
              <w:t>) (</w:t>
            </w:r>
            <w:r w:rsidRPr="00EC3E91">
              <w:rPr>
                <w:sz w:val="20"/>
                <w:szCs w:val="20"/>
                <w:lang w:val="en-US"/>
              </w:rPr>
              <w:t>7)-PIM list</w:t>
            </w:r>
            <w:r w:rsidRPr="00EC3E91">
              <w:rPr>
                <w:sz w:val="20"/>
                <w:szCs w:val="20"/>
                <w:lang w:val="en-US"/>
              </w:rPr>
              <w:br/>
            </w:r>
            <w:r w:rsidRPr="00EC3E91">
              <w:rPr>
                <w:sz w:val="20"/>
                <w:szCs w:val="20"/>
                <w:lang w:val="en-US"/>
              </w:rPr>
              <w:b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r>
            <w:r w:rsidR="00D15AE9" w:rsidRPr="00EC3E91">
              <w:rPr>
                <w:sz w:val="20"/>
                <w:szCs w:val="20"/>
                <w:lang w:val="en-US"/>
              </w:rPr>
              <w:t>Beer’s</w:t>
            </w:r>
            <w:r w:rsidRPr="00EC3E91">
              <w:rPr>
                <w:sz w:val="20"/>
                <w:szCs w:val="20"/>
                <w:lang w:val="en-US"/>
              </w:rPr>
              <w:t xml:space="preserve"> criteria</w:t>
            </w:r>
          </w:p>
        </w:tc>
        <w:tc>
          <w:tcPr>
            <w:tcW w:w="2551" w:type="dxa"/>
            <w:tcBorders>
              <w:top w:val="single" w:sz="4" w:space="0" w:color="auto"/>
              <w:left w:val="nil"/>
              <w:bottom w:val="single" w:sz="4" w:space="0" w:color="auto"/>
              <w:right w:val="nil"/>
            </w:tcBorders>
            <w:hideMark/>
          </w:tcPr>
          <w:p w14:paraId="19857FF4"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F422E5" w:rsidRPr="00E119DD" w14:paraId="434DAFEF" w14:textId="77777777" w:rsidTr="00F422E5">
        <w:trPr>
          <w:trHeight w:val="2235"/>
        </w:trPr>
        <w:tc>
          <w:tcPr>
            <w:tcW w:w="993" w:type="dxa"/>
            <w:tcBorders>
              <w:top w:val="single" w:sz="4" w:space="0" w:color="auto"/>
              <w:left w:val="nil"/>
              <w:bottom w:val="single" w:sz="4" w:space="0" w:color="auto"/>
              <w:right w:val="nil"/>
            </w:tcBorders>
          </w:tcPr>
          <w:p w14:paraId="291533DE" w14:textId="77DD4CE7" w:rsidR="00F422E5" w:rsidRPr="00EC3E91" w:rsidRDefault="0054414B"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{"citationItems":[{"id":"ITEM-1","itemData":{"DOI":"https://doi.org/10.1111/jgs.15855","ISSN":"0002-8614","abstract":"BACKGROUND/OBJECTIVE In nursing homes across the world, and particularly in Spain, there are concerns that psychotropic medications are being overused. For older Spanish nursing home residents who had dementia, we sought to evaluate the association between applying interventions designed to reduce inappropriate psychotropic medication use and subsequent psychotropic use. DESIGN Retrospective, propensity score?matched, controlled, patient-level observational analysis. SETTING A total of 45 nursing homes in Spain. PARTICIPANTS A total of 1653 nursing home residents, aged 70 to 99 years, who had dementia and were prescribed an antipsychotic, anxiolytic, or antidepressant medication, 606 of whom received an intervention; the remainder served as propensity score?matched controls. INTERVENTION Team Rounds, Screening Tool of Older Persons' Prescriptions (STOPP)/Screening Tool to Alert Doctors to Right Treatment (START) criteria, or a Patient Decision Aid. MEASUREMENTS At 2 and 4 weeks following intervention: change from baseline drug class?specific milligram-equivalent daily dose (MEDD); at 2 weeks: patient falls and restraint use. RESULTS Within each intervention/drug-class cohort, intervention patients and matched controls had similar baseline demographic characteristics, Charlson scores, lengths of admission, and drug class?specific MEDDs. Compared to controls, patients exposed to Team Rounds experienced a 23.3% (95% confidence interval [CI] = 13.9%-32.8%) reduction in antipsychotic and a 23.1% (95% CI = 18.3%-28.0%) reduction in anxiolytic MEDDs; those exposed to Patient Decision Aids had a 24.8% (95% CI = 15.6%-33.9%) reduction in antipsychotic and a 31.8% (95% CI = 25.5%-38.2%) reduction in anxiolytic MEDDs; and those exposed to STOPP/START application had a 27.7% (95% CI = 22.4%-33.0%) reduction in antipsychotic and a 39.5% (95% CI = 35.5%-43.5%) reduction in anxiolytic MEDDs. Intervention-associated antidepressant MEDD reductions were statistically significant but less dramatic. Interventions were associated with higher rates of medication discontinuation, but not higher rates of deaths, patient falls, or physical restraints. CONCLUSION We found strong evidence that the interventions we studied were associated with reduced psychotropic use without commensurate harms, suggesting that such interventions should be incorporated into Spanish nursing home care models. Public reporting of psychotropic medication use in Spanish care homes may encourage care ho…","author":[{"dropping-particle":"","family":"Weeks","given":"William B","non-dropping-particle":"","parse-names":false,"suffix":""},{"dropping-particle":"","family":"Mishra","given":"Manish K","non-dropping-particle":"","parse-names":false,"suffix":""},{"dropping-particle":"","family":"Curto","given":"David","non-dropping-particle":"","parse-names":false,"suffix":""},{"dropping-particle":"","family":"Petersen","given":"Curtis L","non-dropping-particle":"","parse-names":false,"suffix":""},{"dropping-particle":"","family":"Cano","given":"Pedro","non-dropping-particle":"","parse-names":false,"suffix":""},{"dropping-particle":"","family":"Hswen","given":"Yulin","non-dropping-particle":"","parse-names":false,"suffix":""},{"dropping-particle":"","family":"Serra","given":"Silvia Villamarín","non-dropping-particle":"","parse-names":false,"suffix":""},{"dropping-particle":"","family":"Elwyn","given":"Glyn","non-dropping-particle":"","parse-names":false,"suffix":""},{"dropping-particle":"","family":"Godfrey","given":"Marjorie M","non-dropping-particle":"","parse-names":false,"suffix":""},{"dropping-particle":"","family":"Soro","given":"Pedro Sánchez","non-dropping-particle":"","parse-names":false,"suffix":""},{"dropping-particle":"","family":"Tomás","given":"José Francisco","non-dropping-particle":"","parse-names":false,"suffix":""}],"container-title":"Journal of the American Geriatrics Society","id":"ITEM-1","issue":"7","issued":{"date-parts":[["2019","7","1"]]},"page":"1444-1453","publisher":"John Wiley &amp; Sons, Ltd","title":"Comparing Three Methods for Reducing Psychotropic Use in Older Demented Spanish Care Home Residents","type":"article-journal","volume":"67"},"uris":["http://www.mendeley.com/documents/?uuid=4e6345ea-748a-3a31-bf73-5e21033d774d"]}],"mendeley":{"formattedCitation":"(295)","plainTextFormattedCitation":"(295)","previouslyFormattedCitation":"(295)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(295)</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D73A5DD" w14:textId="77777777" w:rsidR="00F422E5" w:rsidRPr="00EC3E91" w:rsidRDefault="00F422E5" w:rsidP="00C02742">
            <w:pPr>
              <w:rPr>
                <w:sz w:val="20"/>
                <w:szCs w:val="20"/>
                <w:lang w:val="en-US"/>
              </w:rPr>
            </w:pPr>
            <w:r w:rsidRPr="00EC3E91">
              <w:rPr>
                <w:sz w:val="20"/>
                <w:szCs w:val="20"/>
                <w:lang w:val="en-US"/>
              </w:rPr>
              <w:t>Spain</w:t>
            </w:r>
          </w:p>
        </w:tc>
        <w:tc>
          <w:tcPr>
            <w:tcW w:w="993" w:type="dxa"/>
            <w:tcBorders>
              <w:top w:val="single" w:sz="4" w:space="0" w:color="auto"/>
              <w:left w:val="nil"/>
              <w:bottom w:val="single" w:sz="4" w:space="0" w:color="auto"/>
              <w:right w:val="nil"/>
            </w:tcBorders>
            <w:hideMark/>
          </w:tcPr>
          <w:p w14:paraId="48AEDD6F" w14:textId="77777777" w:rsidR="00F422E5" w:rsidRPr="00EC3E91" w:rsidRDefault="00F422E5" w:rsidP="00C02742">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hideMark/>
          </w:tcPr>
          <w:p w14:paraId="7771D678"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653DB00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0A97E9AC"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00EC2422"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E32EC1D"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0299047C"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 develop educational materials, conduct educational meeting </w:t>
            </w:r>
          </w:p>
        </w:tc>
      </w:tr>
      <w:tr w:rsidR="00B5421F" w:rsidRPr="00E119DD" w14:paraId="58C8664F" w14:textId="77777777" w:rsidTr="00F422E5">
        <w:trPr>
          <w:trHeight w:val="2235"/>
        </w:trPr>
        <w:tc>
          <w:tcPr>
            <w:tcW w:w="993" w:type="dxa"/>
            <w:tcBorders>
              <w:top w:val="single" w:sz="4" w:space="0" w:color="auto"/>
              <w:left w:val="nil"/>
              <w:bottom w:val="single" w:sz="4" w:space="0" w:color="auto"/>
              <w:right w:val="nil"/>
            </w:tcBorders>
          </w:tcPr>
          <w:p w14:paraId="07CCCE86" w14:textId="1A21D1BC" w:rsidR="00B5421F" w:rsidRPr="00EC3E91" w:rsidRDefault="00B5421F"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{"citationItems":[{"id":"ITEM-1","itemData":{"ISSN":"1744-1595","abstract":"Aim: Behavioral and psychological symptoms of dementia are often managed inappropriately with antipsychotic medicines. The TOP 5 program, which involves recording up to five relevant and meaningful tips that assist in personalizing care for the person with dementia, has been tested in the hospital setting and transitions of care in Australia, and has been found to be useful. Our study aimed to adapt the TOP 5 program as a strategy to support people with dementia in a primary care setting and to test the acceptability of our adapted TOP 5 program materials. Methods: The adapted TOP 5 program materials were delivered as part of a larger intervention by the Australian Government Department of Veterans' Affair's Veterans' Medicines Advice &amp; Therapeutic Education Services program to reduce inappropriate antipsychotic use in veterans with dementia. This study focuses on the acceptability of our adapted TOP 5 program materials for ascertaining carer or family members' advice about what actions might help to calm their relative when she or he is agitated. Educational materials relating to the resources for implementing the adapted TOP 5 program together with the one-page survey response to evaluate acceptability of our adapted TOP 5 program materials were mailed to 4827 general practitioners (GPs), 8381 accredited pharmacists, and 2510 Residential Aged Care Facilities. Results: We received survey response forms from 350 (7%) GPs, 366 (4%) pharmacists, and 196 (8%) residential aged care facilities. Although the response rate was low, 90% of respondents in all groups indicated they were very likely or moderately likely to assist family members and carers of patients with dementia to identify their top tips to personalize care. GPs who found the information useful more frequently indicated that they were likely to assist family members and carers in identifying their top tips. Approximately one-third of respondents reported they had received positive feedback from families regarding the helpfulness of sharing their practical tips for care of their loved one. Pharmacists indicated having the tips would assist them when undertaking medicines reviews. Conclusions: Our findings suggest that the TOP 5 program, or an adaptation of the TOP 5 program, such as ours, has potential to improve the health and care of people with dementia and their carers by using patient centerd nonpharmacological approaches and avoiding the unnecessary use of antipsychotics for behavioral and…","author":[{"dropping-particle":"","family":"Westaway","given":"Kerrie","non-dropping-particle":"","parse-names":false,"suffix":""},{"dropping-particle":"","family":"Frank","given":"Oliver","non-dropping-particle":"","parse-names":false,"suffix":""},{"dropping-particle":"","family":"Shute","given":"Russell","non-dropping-particle":"","parse-names":false,"suffix":""},{"dropping-particle":"","family":"Pall","given":"Dip","non-dropping-particle":"","parse-names":false,"suffix":""},{"dropping-particle":"","family":"Moffat","given":"Anna","non-dropping-particle":"","parse-names":false,"suffix":""},{"dropping-particle":"","family":"LeBlanc","given":"Vanessa","non-dropping-particle":"","parse-names":false,"suffix":""},{"dropping-particle":"","family":"Rowett","given":"Debra","non-dropping-particle":"","parse-names":false,"suffix":""},{"dropping-particle":"","family":"Blacker","given":"Natalie","non-dropping-particle":"","parse-names":false,"suffix":""},{"dropping-particle":"","family":"Roughead","given":"Elizabeth","non-dropping-particle":"","parse-names":false,"suffix":""}],"container-title":"International Journal of Evidence-Based Healthcare","id":"ITEM-1","issue":"2","issued":{"date-parts":[["2018"]]},"page":"128-135","publisher-place":"Quality Use of Medicines and Pharmacy Research Centre, University of South Australia, Adelaide, South Australia, Australia","title":"Gathering tips from carers to support people with dementia: an adaptation of the TOP 5 program for community use","type":"article-journal","volume":"16"},"uris":["http://www.mendeley.com/documents/?uuid=69792909-367f-36d2-b991-4e48274826f8"]}],"mendeley":{"formattedCitation":"(296)","plainTextFormattedCitation":"(296)","previouslyFormattedCitation":"(296)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(296)</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571BA798" w14:textId="6366CF65" w:rsidR="00B5421F" w:rsidRPr="00EC3E91" w:rsidRDefault="0043529A"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tcPr>
          <w:p w14:paraId="5AF965E8" w14:textId="0F530E48" w:rsidR="00B5421F" w:rsidRPr="00EC3E91" w:rsidRDefault="0043529A"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tcPr>
          <w:p w14:paraId="2CC76081" w14:textId="1CE1A1EB" w:rsidR="00B5421F" w:rsidRPr="00EC3E91" w:rsidRDefault="00DB5C97" w:rsidP="00C02742">
            <w:pPr>
              <w:rPr>
                <w:sz w:val="20"/>
                <w:szCs w:val="20"/>
                <w:lang w:val="en-US"/>
              </w:rPr>
            </w:pPr>
            <w:r w:rsidRPr="00EC3E91">
              <w:rPr>
                <w:sz w:val="20"/>
                <w:szCs w:val="20"/>
                <w:lang w:val="en-US"/>
              </w:rPr>
              <w:t>Quant Cross-sectional</w:t>
            </w:r>
          </w:p>
        </w:tc>
        <w:tc>
          <w:tcPr>
            <w:tcW w:w="851" w:type="dxa"/>
            <w:tcBorders>
              <w:top w:val="single" w:sz="4" w:space="0" w:color="auto"/>
              <w:left w:val="nil"/>
              <w:bottom w:val="single" w:sz="4" w:space="0" w:color="auto"/>
              <w:right w:val="nil"/>
            </w:tcBorders>
          </w:tcPr>
          <w:p w14:paraId="77CE0BED" w14:textId="10A3D684" w:rsidR="00B5421F" w:rsidRPr="00EC3E91" w:rsidRDefault="00DB5C97" w:rsidP="00C02742">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tcPr>
          <w:p w14:paraId="36AC85D9" w14:textId="7D42C530" w:rsidR="00B5421F" w:rsidRPr="00EC3E91" w:rsidRDefault="007178F1" w:rsidP="00C02742">
            <w:pPr>
              <w:rPr>
                <w:sz w:val="20"/>
                <w:szCs w:val="20"/>
                <w:lang w:val="en-US"/>
              </w:rPr>
            </w:pPr>
            <w:r w:rsidRPr="00EC3E91">
              <w:rPr>
                <w:sz w:val="20"/>
                <w:szCs w:val="20"/>
                <w:lang w:val="en-US"/>
              </w:rPr>
              <w:t>Anti-psychotics</w:t>
            </w:r>
            <w:r w:rsidR="00656F48" w:rsidRPr="00EC3E91">
              <w:rPr>
                <w:sz w:val="20"/>
                <w:szCs w:val="20"/>
                <w:lang w:val="en-US"/>
              </w:rPr>
              <w:t xml:space="preserve"> </w:t>
            </w:r>
          </w:p>
        </w:tc>
        <w:tc>
          <w:tcPr>
            <w:tcW w:w="2126" w:type="dxa"/>
            <w:tcBorders>
              <w:top w:val="single" w:sz="4" w:space="0" w:color="auto"/>
              <w:left w:val="nil"/>
              <w:bottom w:val="single" w:sz="4" w:space="0" w:color="auto"/>
              <w:right w:val="nil"/>
            </w:tcBorders>
          </w:tcPr>
          <w:p w14:paraId="1397AE53" w14:textId="5F062994" w:rsidR="001E0346" w:rsidRPr="00EC3E91" w:rsidRDefault="007178F1" w:rsidP="00C02742">
            <w:pPr>
              <w:rPr>
                <w:sz w:val="20"/>
                <w:szCs w:val="20"/>
                <w:lang w:val="en-US"/>
              </w:rPr>
            </w:pPr>
            <w:r w:rsidRPr="00EC3E91">
              <w:rPr>
                <w:sz w:val="20"/>
                <w:szCs w:val="20"/>
                <w:lang w:val="en-US"/>
              </w:rPr>
              <w:t>Anti-psychotic</w:t>
            </w:r>
            <w:r w:rsidR="005B6DBC" w:rsidRPr="00EC3E91">
              <w:rPr>
                <w:sz w:val="20"/>
                <w:szCs w:val="20"/>
                <w:lang w:val="en-US"/>
              </w:rPr>
              <w:t xml:space="preserve"> medication for patients with dementia </w:t>
            </w:r>
          </w:p>
        </w:tc>
        <w:tc>
          <w:tcPr>
            <w:tcW w:w="3970" w:type="dxa"/>
            <w:tcBorders>
              <w:top w:val="single" w:sz="4" w:space="0" w:color="auto"/>
              <w:left w:val="nil"/>
              <w:bottom w:val="single" w:sz="4" w:space="0" w:color="auto"/>
              <w:right w:val="nil"/>
            </w:tcBorders>
          </w:tcPr>
          <w:p w14:paraId="30DF5C58" w14:textId="27CF8F39" w:rsidR="003845C3" w:rsidRPr="00EC3E91" w:rsidRDefault="003845C3" w:rsidP="003845C3">
            <w:pPr>
              <w:rPr>
                <w:sz w:val="20"/>
                <w:szCs w:val="20"/>
                <w:lang w:val="en-US"/>
              </w:rPr>
            </w:pPr>
            <w:r w:rsidRPr="00EC3E91">
              <w:rPr>
                <w:sz w:val="20"/>
                <w:szCs w:val="20"/>
                <w:lang w:val="en-US"/>
              </w:rPr>
              <w:t xml:space="preserve">Wallace T, Chand R, Buck E, et al. ReBOC. Reducing behaviours of concern. A </w:t>
            </w:r>
            <w:r w:rsidR="00740A75" w:rsidRPr="00EC3E91">
              <w:rPr>
                <w:sz w:val="20"/>
                <w:szCs w:val="20"/>
                <w:lang w:val="en-US"/>
              </w:rPr>
              <w:t>hands-on</w:t>
            </w:r>
            <w:r w:rsidRPr="00EC3E91">
              <w:rPr>
                <w:sz w:val="20"/>
                <w:szCs w:val="20"/>
                <w:lang w:val="en-US"/>
              </w:rPr>
              <w:t xml:space="preserve"> guide. A resource to assist those caring for people living with dementia. 2012; Glenside, South</w:t>
            </w:r>
            <w:r w:rsidRPr="00EC3E91">
              <w:rPr>
                <w:lang w:val="en-US"/>
              </w:rPr>
              <w:t xml:space="preserve"> </w:t>
            </w:r>
            <w:r w:rsidRPr="00EC3E91">
              <w:rPr>
                <w:sz w:val="20"/>
                <w:szCs w:val="20"/>
                <w:lang w:val="en-US"/>
              </w:rPr>
              <w:t xml:space="preserve">Australia: Alzheimer's Australia </w:t>
            </w:r>
          </w:p>
          <w:p w14:paraId="03E65D03" w14:textId="77777777" w:rsidR="003845C3" w:rsidRPr="00EC3E91" w:rsidRDefault="003845C3" w:rsidP="003845C3">
            <w:pPr>
              <w:rPr>
                <w:sz w:val="20"/>
                <w:szCs w:val="20"/>
                <w:lang w:val="en-US"/>
              </w:rPr>
            </w:pPr>
          </w:p>
          <w:p w14:paraId="3D076D7C" w14:textId="378AE2AE" w:rsidR="00B5421F" w:rsidRPr="00EC3E91" w:rsidRDefault="003845C3" w:rsidP="003845C3">
            <w:pPr>
              <w:rPr>
                <w:sz w:val="20"/>
                <w:szCs w:val="20"/>
                <w:lang w:val="en-US"/>
              </w:rPr>
            </w:pPr>
            <w:r w:rsidRPr="00EC3E91">
              <w:rPr>
                <w:sz w:val="20"/>
                <w:szCs w:val="20"/>
                <w:lang w:val="en-US"/>
              </w:rPr>
              <w:t xml:space="preserve">Burns K, Jayasinha R, Tsang R, Brodaty H. Behaviour management: a guide to good practice. Managing behavioural and </w:t>
            </w:r>
            <w:r w:rsidRPr="00EC3E91">
              <w:rPr>
                <w:sz w:val="20"/>
                <w:szCs w:val="20"/>
                <w:lang w:val="en-US"/>
              </w:rPr>
              <w:lastRenderedPageBreak/>
              <w:t>psychological symptoms of dementia. 2012; Sydney: Commonwealth of Australia, 188 p.</w:t>
            </w:r>
          </w:p>
        </w:tc>
        <w:tc>
          <w:tcPr>
            <w:tcW w:w="2551" w:type="dxa"/>
            <w:tcBorders>
              <w:top w:val="single" w:sz="4" w:space="0" w:color="auto"/>
              <w:left w:val="nil"/>
              <w:bottom w:val="single" w:sz="4" w:space="0" w:color="auto"/>
              <w:right w:val="nil"/>
            </w:tcBorders>
          </w:tcPr>
          <w:p w14:paraId="610004E3" w14:textId="529F289C" w:rsidR="00B5421F" w:rsidRPr="00EC3E91" w:rsidRDefault="001654C1" w:rsidP="00C02742">
            <w:pPr>
              <w:rPr>
                <w:sz w:val="20"/>
                <w:szCs w:val="20"/>
                <w:lang w:val="en-US"/>
              </w:rPr>
            </w:pPr>
            <w:r w:rsidRPr="001654C1">
              <w:rPr>
                <w:sz w:val="20"/>
                <w:szCs w:val="20"/>
                <w:lang w:val="en-US"/>
              </w:rPr>
              <w:lastRenderedPageBreak/>
              <w:t>develop educational materials, Change physical structure and equipment</w:t>
            </w:r>
          </w:p>
        </w:tc>
      </w:tr>
      <w:tr w:rsidR="00F422E5" w:rsidRPr="00E119DD" w14:paraId="73D2BADA" w14:textId="77777777" w:rsidTr="00F422E5">
        <w:trPr>
          <w:trHeight w:val="2235"/>
        </w:trPr>
        <w:tc>
          <w:tcPr>
            <w:tcW w:w="993" w:type="dxa"/>
            <w:tcBorders>
              <w:top w:val="single" w:sz="4" w:space="0" w:color="auto"/>
              <w:left w:val="nil"/>
              <w:bottom w:val="single" w:sz="4" w:space="0" w:color="auto"/>
              <w:right w:val="nil"/>
            </w:tcBorders>
          </w:tcPr>
          <w:p w14:paraId="16634815" w14:textId="22FFC1CF" w:rsidR="00F422E5" w:rsidRPr="00EC3E91" w:rsidRDefault="001644A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{"citationItems":[{"id":"ITEM-1","itemData":{"DOI":"10.1007/s00520-018-4281-3","ISSN":"1433-7339","abstract":"The aims of this study were to compare the application of three geriatric medication screening tools to the Beers Criteria alone for potentially inappropriate medication quantification and to determine feasibility of a pharmacist-led polypharmacy assessment in a geriatric oncology clinic.","author":[{"dropping-particle":"","family":"Whitman","given":"Andrew","non-dropping-particle":"","parse-names":false,"suffix":""},{"dropping-particle":"","family":"DeGregory","given":"Kathlene","non-dropping-particle":"","parse-names":false,"suffix":""},{"dropping-particle":"","family":"Morris","given":"Amy","non-dropping-particle":"","parse-names":false,"suffix":""},{"dropping-particle":"","family":"Mohile","given":"Supriya","non-dropping-particle":"","parse-names":false,"suffix":""},{"dropping-particle":"","family":"Ramsdale","given":"Erika","non-dropping-particle":"","parse-names":false,"suffix":""}],"container-title":"Supportive Care in Cancer","id":"ITEM-1","issue":"12","issued":{"date-parts":[["2018"]]},"page":"4105-4113","title":"Pharmacist-led medication assessment and deprescribing intervention for older adults with cancer and polypharmacy: a pilot study","type":"article-journal","volume":"26"},"uris":["http://www.mendeley.com/documents/?uuid=f08a8390-905b-364f-a6cb-64772338db5e"]}],"mendeley":{"formattedCitation":"(297)","plainTextFormattedCitation":"(297)","previouslyFormattedCitation":"(297)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9D11974"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65CA7073" w14:textId="77777777" w:rsidR="00F422E5" w:rsidRPr="00EC3E91" w:rsidRDefault="00F422E5"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hideMark/>
          </w:tcPr>
          <w:p w14:paraId="2248C89E" w14:textId="77777777" w:rsidR="00F422E5" w:rsidRPr="00EC3E91" w:rsidRDefault="00F422E5" w:rsidP="00C02742">
            <w:pPr>
              <w:rPr>
                <w:sz w:val="20"/>
                <w:szCs w:val="20"/>
                <w:lang w:val="en-US"/>
              </w:rPr>
            </w:pPr>
            <w:r w:rsidRPr="00EC3E91">
              <w:rPr>
                <w:sz w:val="20"/>
                <w:szCs w:val="20"/>
                <w:lang w:val="en-US"/>
              </w:rPr>
              <w:t xml:space="preserve">Quant </w:t>
            </w:r>
          </w:p>
        </w:tc>
        <w:tc>
          <w:tcPr>
            <w:tcW w:w="851" w:type="dxa"/>
            <w:tcBorders>
              <w:top w:val="single" w:sz="4" w:space="0" w:color="auto"/>
              <w:left w:val="nil"/>
              <w:bottom w:val="single" w:sz="4" w:space="0" w:color="auto"/>
              <w:right w:val="nil"/>
            </w:tcBorders>
            <w:hideMark/>
          </w:tcPr>
          <w:p w14:paraId="5D450AE5" w14:textId="4CCDBCA4" w:rsidR="00F422E5" w:rsidRPr="00EC3E91" w:rsidRDefault="007178F1" w:rsidP="00C02742">
            <w:pPr>
              <w:rPr>
                <w:sz w:val="20"/>
                <w:szCs w:val="20"/>
                <w:lang w:val="en-US"/>
              </w:rPr>
            </w:pPr>
            <w:r w:rsidRPr="00EC3E91">
              <w:rPr>
                <w:sz w:val="20"/>
                <w:szCs w:val="20"/>
                <w:lang w:val="en-US"/>
              </w:rPr>
              <w:t>Feasibility</w:t>
            </w:r>
            <w:r w:rsidR="00F422E5" w:rsidRPr="00EC3E91">
              <w:rPr>
                <w:sz w:val="20"/>
                <w:szCs w:val="20"/>
                <w:lang w:val="en-US"/>
              </w:rPr>
              <w:t>, Cost-</w:t>
            </w:r>
            <w:r w:rsidRPr="00EC3E91">
              <w:rPr>
                <w:sz w:val="20"/>
                <w:szCs w:val="20"/>
                <w:lang w:val="en-US"/>
              </w:rPr>
              <w:t>effectiveness</w:t>
            </w:r>
          </w:p>
        </w:tc>
        <w:tc>
          <w:tcPr>
            <w:tcW w:w="1134" w:type="dxa"/>
            <w:tcBorders>
              <w:top w:val="single" w:sz="4" w:space="0" w:color="auto"/>
              <w:left w:val="nil"/>
              <w:bottom w:val="single" w:sz="4" w:space="0" w:color="auto"/>
              <w:right w:val="nil"/>
            </w:tcBorders>
            <w:hideMark/>
          </w:tcPr>
          <w:p w14:paraId="3CBFE78E"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9230FCC"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4121DD73" w14:textId="77777777" w:rsidR="00F422E5" w:rsidRPr="00EC3E91" w:rsidRDefault="00F422E5" w:rsidP="00C02742">
            <w:pPr>
              <w:rPr>
                <w:sz w:val="20"/>
                <w:szCs w:val="20"/>
                <w:lang w:val="en-US"/>
              </w:rPr>
            </w:pPr>
            <w:r w:rsidRPr="00EC3E91">
              <w:rPr>
                <w:sz w:val="20"/>
                <w:szCs w:val="20"/>
                <w:lang w:val="en-US"/>
              </w:rPr>
              <w:t>Beers Criteria</w:t>
            </w:r>
            <w:r w:rsidRPr="00EC3E91">
              <w:rPr>
                <w:sz w:val="20"/>
                <w:szCs w:val="20"/>
                <w:lang w:val="en-US"/>
              </w:rPr>
              <w:br/>
            </w:r>
            <w:r w:rsidRPr="00EC3E91">
              <w:rPr>
                <w:sz w:val="20"/>
                <w:szCs w:val="20"/>
                <w:lang w:val="en-US"/>
              </w:rPr>
              <w:br/>
              <w:t>STOPP (Screening Tool of Older Person’s Prescriptions) and START (Screening Tool to Alert doctors to Right Treatment) criteria</w:t>
            </w:r>
            <w:r w:rsidRPr="00EC3E91">
              <w:rPr>
                <w:sz w:val="20"/>
                <w:szCs w:val="20"/>
                <w:lang w:val="en-US"/>
              </w:rPr>
              <w:br/>
            </w:r>
            <w:r w:rsidRPr="00EC3E91">
              <w:rPr>
                <w:sz w:val="20"/>
                <w:szCs w:val="20"/>
                <w:lang w:val="en-US"/>
              </w:rPr>
              <w:br/>
              <w:t>Medication Appropriateness Index (MAI)</w:t>
            </w:r>
          </w:p>
        </w:tc>
        <w:tc>
          <w:tcPr>
            <w:tcW w:w="2551" w:type="dxa"/>
            <w:tcBorders>
              <w:top w:val="single" w:sz="4" w:space="0" w:color="auto"/>
              <w:left w:val="nil"/>
              <w:bottom w:val="single" w:sz="4" w:space="0" w:color="auto"/>
              <w:right w:val="nil"/>
            </w:tcBorders>
            <w:hideMark/>
          </w:tcPr>
          <w:p w14:paraId="4B396489" w14:textId="7BE1BEEA" w:rsidR="00F422E5" w:rsidRPr="00EC3E91" w:rsidRDefault="00F422E5" w:rsidP="00C02742">
            <w:pPr>
              <w:rPr>
                <w:sz w:val="20"/>
                <w:szCs w:val="20"/>
                <w:lang w:val="en-US"/>
              </w:rPr>
            </w:pPr>
            <w:r w:rsidRPr="00EC3E91">
              <w:rPr>
                <w:sz w:val="20"/>
                <w:szCs w:val="20"/>
                <w:lang w:val="en-US"/>
              </w:rPr>
              <w:t xml:space="preserve">develop and organize </w:t>
            </w:r>
            <w:r w:rsidR="007178F1" w:rsidRPr="00EC3E91">
              <w:rPr>
                <w:sz w:val="20"/>
                <w:szCs w:val="20"/>
                <w:lang w:val="en-US"/>
              </w:rPr>
              <w:t>quality</w:t>
            </w:r>
            <w:r w:rsidRPr="00EC3E91">
              <w:rPr>
                <w:sz w:val="20"/>
                <w:szCs w:val="20"/>
                <w:lang w:val="en-US"/>
              </w:rPr>
              <w:t xml:space="preserve"> monitoring system</w:t>
            </w:r>
          </w:p>
        </w:tc>
      </w:tr>
      <w:tr w:rsidR="00F422E5" w:rsidRPr="00E119DD" w14:paraId="3C2CDF2D" w14:textId="77777777" w:rsidTr="00F422E5">
        <w:trPr>
          <w:trHeight w:val="2235"/>
        </w:trPr>
        <w:tc>
          <w:tcPr>
            <w:tcW w:w="993" w:type="dxa"/>
            <w:tcBorders>
              <w:top w:val="single" w:sz="4" w:space="0" w:color="auto"/>
              <w:left w:val="nil"/>
              <w:bottom w:val="single" w:sz="4" w:space="0" w:color="auto"/>
              <w:right w:val="nil"/>
            </w:tcBorders>
          </w:tcPr>
          <w:p w14:paraId="76572A4A" w14:textId="0039DB22" w:rsidR="00F422E5" w:rsidRPr="00EC3E91" w:rsidRDefault="001644A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{"citationItems":[{"id":"ITEM-1","itemData":{"ISSN":"2291-0026","abstract":"BACKGROUND: Many seriously ill and frail inpatients receive potentially inappropriate or harmful medications and do not receive medications for symptoms of advanced illness. We developed and piloted an interprofessional Medication Rationalization (MERA) approach to deprescribing inappropriate medications and prescribing appropriate comfort medications. METHODS: We conducted a single-centre pilot study of inpatients at risk of 6-month mortality from advanced age or morbidity. The MERA team reviewed the patients' medications and made recommendations on the basis of guidelines. We measured end points for feasibility, acceptability, efficiency and effectiveness. RESULTS: We enrolled 61 of 115 (53%) eligible patients with a mean age of 79.6 years (standard deviation [SD] 11.7 yr). Patients were taking an average of 11.5 (SD 5.2) medications before admission and had an average of 2.1 symptoms with greater than 6/10 severity on the revised Edmonton Symptom Assessment System. The MERA team recommended 263 medication changes, of which 223 (85%) were accepted by both the medical team and the patient. MERA team's recommendations resulted in the discontinuation of 162 medications (mean 3.1 per patient), dose changes for 48 medications (mean 0.9 per patient) and the addition of 13 medications (mean 0.2 per patient). Patients who received the MERA intervention stopped significantly more inappropriate medications than similar non-MERA comparison patients for whom data were collected retrospectively (3.1 v. 0.9 medications per patient, p &lt; 0.01). The MERA approach was highly acceptable to patients and medical team members. INTERPRETATION: The MERA intervention is feasible, acceptable, efficient and possibly effective for changing medication use among seriously ill and frail elderly inpatients. Scalability and effectiveness may be improved through automation and integration with medication reconciliation programs.","author":[{"dropping-particle":"","family":"Whitty","given":"R","non-dropping-particle":"","parse-names":false,"suffix":""},{"dropping-particle":"","family":"Porter","given":"S","non-dropping-particle":"","parse-names":false,"suffix":""},{"dropping-particle":"","family":"Battu","given":"K","non-dropping-particle":"","parse-names":false,"suffix":""},{"dropping-particle":"","family":"Bhatt","given":"P","non-dropping-particle":"","parse-names":false,"suffix":""},{"dropping-particle":"","family":"Koo","given":"E","non-dropping-particle":"","parse-names":false,"suffix":""},{"dropping-particle":"","family":"Kalocsai","given":"C","non-dropping-particle":"","parse-names":false,"suffix":""},{"dropping-particle":"","family":"Wu","given":"P E","non-dropping-particle":"","parse-names":false,"suffix":""},{"dropping-particle":"","family":"Delicaet","given":"K","non-dropping-particle":"","parse-names":false,"suffix":""},{"dropping-particle":"","family":"Bogoch","given":"I I","non-dropping-particle":"","parse-names":false,"suffix":""},{"dropping-particle":"","family":"Wu","given":"R","non-dropping-particle":"","parse-names":false,"suffix":""},{"dropping-particle":"","family":"Downar","given":"J","non-dropping-particle":"","parse-names":false,"suffix":""}],"container-title":"CMAJ open","id":"ITEM-1","issue":"1","issued":{"date-parts":[["2"]]},"page":"E87-E94","title":"A pilot study of a Medication Rationalization (MERA) intervention","type":"article-journal","volume":"6"},"uris":["http://www.mendeley.com/documents/?uuid=974927e4-c920-488b-bc9b-c3e356b70432"]}],"mendeley":{"formattedCitation":"(298)","plainTextFormattedCitation":"(298)","previouslyFormattedCitation":"(298)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8FE44B5"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D9E95EB"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67EA1AC1" w14:textId="77777777" w:rsidR="00F422E5" w:rsidRPr="00EC3E91" w:rsidRDefault="00F422E5" w:rsidP="00C02742">
            <w:pPr>
              <w:rPr>
                <w:sz w:val="20"/>
                <w:szCs w:val="20"/>
                <w:lang w:val="en-US"/>
              </w:rPr>
            </w:pPr>
            <w:r w:rsidRPr="00EC3E91">
              <w:rPr>
                <w:sz w:val="20"/>
                <w:szCs w:val="20"/>
                <w:lang w:val="en-US"/>
              </w:rPr>
              <w:t>Quant Cross-sectional</w:t>
            </w:r>
          </w:p>
        </w:tc>
        <w:tc>
          <w:tcPr>
            <w:tcW w:w="851" w:type="dxa"/>
            <w:tcBorders>
              <w:top w:val="single" w:sz="4" w:space="0" w:color="auto"/>
              <w:left w:val="nil"/>
              <w:bottom w:val="single" w:sz="4" w:space="0" w:color="auto"/>
              <w:right w:val="nil"/>
            </w:tcBorders>
            <w:hideMark/>
          </w:tcPr>
          <w:p w14:paraId="1B115BC5" w14:textId="4AB750A8" w:rsidR="00F422E5" w:rsidRPr="00EC3E91" w:rsidRDefault="00740A75"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03FA5F80"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372E5731"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07D3B44B" w14:textId="77777777" w:rsidR="00F422E5" w:rsidRPr="00EC3E91" w:rsidRDefault="00F422E5" w:rsidP="00C02742">
            <w:pPr>
              <w:rPr>
                <w:sz w:val="20"/>
                <w:szCs w:val="20"/>
                <w:lang w:val="en-US"/>
              </w:rPr>
            </w:pPr>
            <w:r w:rsidRPr="00EC3E91">
              <w:rPr>
                <w:sz w:val="20"/>
                <w:szCs w:val="20"/>
                <w:lang w:val="en-US"/>
              </w:rPr>
              <w:t>STOPP (Screening Tool of Older Person’s Prescriptions) and START (Screening Tool to Alert doctors to Right Treatment) criteria</w:t>
            </w:r>
          </w:p>
        </w:tc>
        <w:tc>
          <w:tcPr>
            <w:tcW w:w="2551" w:type="dxa"/>
            <w:tcBorders>
              <w:top w:val="single" w:sz="4" w:space="0" w:color="auto"/>
              <w:left w:val="nil"/>
              <w:bottom w:val="single" w:sz="4" w:space="0" w:color="auto"/>
              <w:right w:val="nil"/>
            </w:tcBorders>
            <w:hideMark/>
          </w:tcPr>
          <w:p w14:paraId="5FB84B47" w14:textId="77777777" w:rsidR="00F422E5" w:rsidRPr="00EC3E91" w:rsidRDefault="00F422E5" w:rsidP="00C02742">
            <w:pPr>
              <w:rPr>
                <w:sz w:val="20"/>
                <w:szCs w:val="20"/>
                <w:lang w:val="en-US"/>
              </w:rPr>
            </w:pPr>
            <w:r w:rsidRPr="00EC3E91">
              <w:rPr>
                <w:sz w:val="20"/>
                <w:szCs w:val="20"/>
                <w:lang w:val="en-US"/>
              </w:rPr>
              <w:t xml:space="preserve">develop and organize quality monitoring systems </w:t>
            </w:r>
          </w:p>
        </w:tc>
      </w:tr>
      <w:tr w:rsidR="00883A80" w:rsidRPr="00E119DD" w14:paraId="1B7CB405" w14:textId="77777777" w:rsidTr="00C02742">
        <w:trPr>
          <w:trHeight w:val="2235"/>
        </w:trPr>
        <w:tc>
          <w:tcPr>
            <w:tcW w:w="993" w:type="dxa"/>
            <w:tcBorders>
              <w:top w:val="single" w:sz="4" w:space="0" w:color="auto"/>
              <w:left w:val="nil"/>
              <w:bottom w:val="single" w:sz="4" w:space="0" w:color="auto"/>
              <w:right w:val="nil"/>
            </w:tcBorders>
          </w:tcPr>
          <w:p w14:paraId="6A280D2F" w14:textId="2C16B121" w:rsidR="00883A80" w:rsidRPr="00EC3E91" w:rsidRDefault="00883A80" w:rsidP="00883A80">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{"citationItems":[{"id":"ITEM-1","itemData":{"DOI":"10.1186/s12877-018-0895-z","ISSN":"1471-2318","PMID":"30180821","abstract":"BACKGROUND: Medication regimens in nursing home (NH) residents with severe dementia should be frequently reviewed to avoid inappropriate medication, overtreatment and adverse drug events, within a comfort care approach. This study aimed at testing the feasibility of an interdisciplinary knowledge exchange (KE) intervention using a medication review guidance tool categorizing medications as either \"generally\", \"sometimes\" or \"exceptionally\" appropriate for NH residents with severe dementia. METHODS: A quasi-experimental feasibility pilot study with 44 participating residents aged 65 years or over with severe dementia was carried out in three NH in Quebec City, Canada. The intervention comprised an information leaflet for residents' families, a 90-min KE session for NH general practitioners (GP), pharmacists and nurses focusing on the medication review guidance tool, a medication review by the pharmacists for participating residents with ensuing team discussion on medication changes, and a post-intervention KE session to obtain feedback from team staff. Medication regimens and levels of pain and of agitation of the participants were evaluated at baseline and at 4 months post-intervention. A questionnaire for team staff explored perceived barriers and facilitators. Statistical differences in measures comparing pre and post-intervention were assessed using paired t-tests and Cochran's-Q tests. RESULTS: The KE sessions reached 34 NH team staff (5 GP, 4 pharmacists, 6 heads of care unit and 19 staff nurses). Forty-four residents participated in the study and were followed for a mean of 104 days. The total number of regular medications was 372 pre and 327 post-intervention. The mean number of regular medications per resident was 7.86 pre and 6.81 post-intervention. The odds ratios estimating the risks of using any regular medication or a \"sometimes appropriate\" medication post-intervention were 0.81 (95% CI: 0.71-0.92) and 0.83 (95% CI: 0.74-0.94), respectively. CONCLUSION: A simple KE intervention using a medication review guidance tool categorizing medications as being either \"generally\", \"sometimes\" or \"exceptionally\" appropriate in severe dementia was well received and accompanied by an overall reduction in medication use by NH residents with severe dementia. Levels of agitation were unaffected and there was no clinically significant changes in levels of pain. Staff feedback provided opportunities to improve the intervention.","author":[{"dropping-particle":"","family":"Wilchesky","given":"Machelle","non-dropping-particle":"","parse-names":false,"suffix":""},{"dropping-particle":"","family":"Mueller","given":"Gerhard","non-dropping-particle":"","parse-names":false,"suffix":""},{"dropping-particle":"","family":"Morin","given":"Michèle","non-dropping-particle":"","parse-names":false,"suffix":""},{"dropping-particle":"","family":"Marcotte","given":"Martine","non-dropping-particle":"","parse-names":false,"suffix":""},{"dropping-particle":"","family":"Voyer","given":"Philippe","non-dropping-particle":"","parse-names":false,"suffix":""},{"dropping-particle":"","family":"Aubin","given":"Michèle","non-dropping-particle":"","parse-names":false,"suffix":""},{"dropping-particle":"","family":"Carmichael","given":"Pierre-Hugues","non-dropping-particle":"","parse-names":false,"suffix":""},{"dropping-particle":"","family":"Champoux","given":"Nathalie","non-dropping-particle":"","parse-names":false,"suffix":""},{"dropping-particle":"","family":"Monette","given":"Johanne","non-dropping-particle":"","parse-names":false,"suffix":""},{"dropping-particle":"","family":"Giguère","given":"Anik","non-dropping-particle":"","parse-names":false,"suffix":""},{"dropping-particle":"","family":"Durand","given":"Pierre","non-dropping-particle":"","parse-names":false,"suffix":""},{"dropping-particle":"","family":"Verreault","given":"René","non-dropping-particle":"","parse-names":false,"suffix":""},{"dropping-particle":"","family":"Arcand","given":"Marcel","non-dropping-particle":"","parse-names":false,"suffix":""},{"dropping-particle":"","family":"Kröger","given":"Edeltraut","non-dropping-particle":"","parse-names":false,"suffix":""}],"container-title":"BMC geriatrics","id":"ITEM-1","issue":"1","issued":{"date-parts":[["2018","9","4"]]},"language":"eng","page":"204","publisher":"BioMed Central","title":"The OptimaMed intervention to reduce inappropriate medications in nursing home residents with severe dementia: results from a quasi-experimental feasibility pilot study","type":"article-journal","volume":"18"},"uris":["http://www.mendeley.com/documents/?uuid=3c86781d-6c11-3e90-a881-665e8366b067"]}],"mendeley":{"formattedCitation":"(299)","plainTextFormattedCitation":"(299)","previouslyFormattedCitation":"(299)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(299)</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1D8EBB10" w14:textId="77777777" w:rsidR="00883A80" w:rsidRPr="00EC3E91" w:rsidRDefault="00883A80" w:rsidP="00883A80">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tcPr>
          <w:p w14:paraId="07AB1960" w14:textId="77777777" w:rsidR="00883A80" w:rsidRPr="00EC3E91" w:rsidRDefault="00883A80" w:rsidP="00883A80">
            <w:pPr>
              <w:rPr>
                <w:sz w:val="20"/>
                <w:szCs w:val="20"/>
                <w:lang w:val="en-US"/>
              </w:rPr>
            </w:pPr>
            <w:r w:rsidRPr="00EC3E91">
              <w:rPr>
                <w:sz w:val="20"/>
                <w:szCs w:val="20"/>
                <w:lang w:val="en-US"/>
              </w:rPr>
              <w:t>Aged Care</w:t>
            </w:r>
          </w:p>
        </w:tc>
        <w:tc>
          <w:tcPr>
            <w:tcW w:w="850" w:type="dxa"/>
            <w:tcBorders>
              <w:top w:val="single" w:sz="4" w:space="0" w:color="auto"/>
              <w:left w:val="nil"/>
              <w:bottom w:val="single" w:sz="4" w:space="0" w:color="auto"/>
              <w:right w:val="nil"/>
            </w:tcBorders>
          </w:tcPr>
          <w:p w14:paraId="49F93311" w14:textId="77777777" w:rsidR="00883A80" w:rsidRPr="00EC3E91" w:rsidRDefault="00883A80" w:rsidP="00883A80">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tcPr>
          <w:p w14:paraId="7829000B" w14:textId="77777777" w:rsidR="00883A80" w:rsidRPr="00EC3E91" w:rsidRDefault="00883A80" w:rsidP="00883A80">
            <w:pPr>
              <w:rPr>
                <w:sz w:val="20"/>
                <w:szCs w:val="20"/>
                <w:lang w:val="en-US"/>
              </w:rPr>
            </w:pPr>
            <w:r w:rsidRPr="00EC3E91">
              <w:rPr>
                <w:sz w:val="20"/>
                <w:szCs w:val="20"/>
                <w:lang w:val="en-US"/>
              </w:rPr>
              <w:t xml:space="preserve">Feasibility </w:t>
            </w:r>
          </w:p>
        </w:tc>
        <w:tc>
          <w:tcPr>
            <w:tcW w:w="1134" w:type="dxa"/>
            <w:tcBorders>
              <w:top w:val="single" w:sz="4" w:space="0" w:color="auto"/>
              <w:left w:val="nil"/>
              <w:bottom w:val="single" w:sz="4" w:space="0" w:color="auto"/>
              <w:right w:val="nil"/>
            </w:tcBorders>
          </w:tcPr>
          <w:p w14:paraId="57F3A346" w14:textId="77777777" w:rsidR="00883A80" w:rsidRPr="00EC3E91" w:rsidRDefault="00883A80" w:rsidP="00883A80">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tcPr>
          <w:p w14:paraId="38CBA93E" w14:textId="77777777" w:rsidR="00883A80" w:rsidRPr="00EC3E91" w:rsidRDefault="00883A80" w:rsidP="00883A80">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tcPr>
          <w:p w14:paraId="7828902E" w14:textId="77777777" w:rsidR="00883A80" w:rsidRPr="00EC3E91" w:rsidRDefault="00883A80" w:rsidP="00883A80">
            <w:pPr>
              <w:rPr>
                <w:sz w:val="20"/>
                <w:szCs w:val="20"/>
                <w:lang w:val="en-US"/>
              </w:rPr>
            </w:pPr>
            <w:r w:rsidRPr="00EC3E91">
              <w:rPr>
                <w:sz w:val="20"/>
                <w:szCs w:val="20"/>
                <w:lang w:val="en-US"/>
              </w:rPr>
              <w:t>Beer’s criteria and the STOPP/START</w:t>
            </w:r>
          </w:p>
        </w:tc>
        <w:tc>
          <w:tcPr>
            <w:tcW w:w="2551" w:type="dxa"/>
            <w:tcBorders>
              <w:top w:val="single" w:sz="4" w:space="0" w:color="auto"/>
              <w:left w:val="nil"/>
              <w:bottom w:val="single" w:sz="4" w:space="0" w:color="auto"/>
              <w:right w:val="nil"/>
            </w:tcBorders>
          </w:tcPr>
          <w:p w14:paraId="47301AB0" w14:textId="4DBAB0DB" w:rsidR="00883A80" w:rsidRPr="00EC3E91" w:rsidRDefault="00883A80" w:rsidP="00883A80">
            <w:pPr>
              <w:rPr>
                <w:sz w:val="20"/>
                <w:szCs w:val="20"/>
                <w:lang w:val="en-US"/>
              </w:rPr>
            </w:pPr>
            <w:r w:rsidRPr="00EC3E91">
              <w:rPr>
                <w:sz w:val="20"/>
                <w:szCs w:val="20"/>
                <w:lang w:val="en-US"/>
              </w:rPr>
              <w:t xml:space="preserve">Develop and organize quality monitoring </w:t>
            </w:r>
            <w:r w:rsidR="00740A75" w:rsidRPr="00EC3E91">
              <w:rPr>
                <w:sz w:val="20"/>
                <w:szCs w:val="20"/>
                <w:lang w:val="en-US"/>
              </w:rPr>
              <w:t>systems,</w:t>
            </w:r>
            <w:r w:rsidRPr="00EC3E91">
              <w:rPr>
                <w:sz w:val="20"/>
                <w:szCs w:val="20"/>
                <w:lang w:val="en-US"/>
              </w:rPr>
              <w:t xml:space="preserve"> make training dynamic, develop educational materials.</w:t>
            </w:r>
          </w:p>
        </w:tc>
      </w:tr>
      <w:tr w:rsidR="00F422E5" w:rsidRPr="00EC3E91" w14:paraId="67B1B71C" w14:textId="77777777" w:rsidTr="00F422E5">
        <w:trPr>
          <w:trHeight w:val="2235"/>
        </w:trPr>
        <w:tc>
          <w:tcPr>
            <w:tcW w:w="993" w:type="dxa"/>
            <w:tcBorders>
              <w:top w:val="single" w:sz="4" w:space="0" w:color="auto"/>
              <w:left w:val="nil"/>
              <w:bottom w:val="single" w:sz="4" w:space="0" w:color="auto"/>
              <w:right w:val="nil"/>
            </w:tcBorders>
          </w:tcPr>
          <w:p w14:paraId="207A88E8" w14:textId="665694EF" w:rsidR="00F422E5" w:rsidRPr="00EC3E91" w:rsidRDefault="00F36EF4"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author":[{"dropping-particle":"","family":"Wilson","given":"Aidan","non-dropping-particle":"","parse-names":false,"suffix":""},{"dropping-particle":"","family":"Kelly","given":"Matthew","non-dropping-particle":"","parse-names":false,"suffix":""},{"dropping-particle":"","family":"Henderson","given":"Emma","non-dropping-particle":"","parse-names":false,"suffix":""},{"dropping-particle":"","family":"Mcbain","given":"Lynn","non-dropping-particle":"","parse-names":false,"suffix":""},{"dropping-particle":"","family":"Jayathissa","given":"Sisira","non-dropping-particle":"","parse-names":false,"suffix":""},{"dropping-particle":"","family":"Loring","given":"Belinda","non-dropping-particle":"","parse-names":false,"suffix":""}],"container-title":"New Zealand Medical Journal","id":"ITEM-1","issued":{"date-parts":[["2019","1","18"]]},"page":"11-20","title":"Reducing inappropriate urine testing at Hutt Valley District Health Board using Choosing Wisely principles","type":"article-journal","volume":"132"},"uris":["http://www.mendeley.com/documents/?uuid=34b027ca-c67f-39be-b4a2-33ed26b5456f"]}],"mendeley":{"formattedCitation":"(300)","plainTextFormattedCitation":"(300)","previouslyFormattedCitation":"(300)"},"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(300)</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17E2F1AB"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785DE83D"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45A35210"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25900ADA"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21FD1B46" w14:textId="77777777" w:rsidR="00F422E5" w:rsidRPr="00EC3E91" w:rsidRDefault="00F422E5" w:rsidP="00C02742">
            <w:pPr>
              <w:rPr>
                <w:sz w:val="20"/>
                <w:szCs w:val="20"/>
                <w:lang w:val="en-US"/>
              </w:rPr>
            </w:pPr>
            <w:r w:rsidRPr="00EC3E91">
              <w:rPr>
                <w:sz w:val="20"/>
                <w:szCs w:val="20"/>
                <w:lang w:val="en-US"/>
              </w:rPr>
              <w:t>Other</w:t>
            </w:r>
            <w:r w:rsidRPr="00EC3E91">
              <w:rPr>
                <w:sz w:val="20"/>
                <w:szCs w:val="20"/>
                <w:vertAlign w:val="superscript"/>
                <w:lang w:val="en-US"/>
              </w:rPr>
              <w:t>1</w:t>
            </w:r>
          </w:p>
        </w:tc>
        <w:tc>
          <w:tcPr>
            <w:tcW w:w="2126" w:type="dxa"/>
            <w:tcBorders>
              <w:top w:val="single" w:sz="4" w:space="0" w:color="auto"/>
              <w:left w:val="nil"/>
              <w:bottom w:val="single" w:sz="4" w:space="0" w:color="auto"/>
              <w:right w:val="nil"/>
            </w:tcBorders>
            <w:hideMark/>
          </w:tcPr>
          <w:p w14:paraId="060C0A40" w14:textId="77777777" w:rsidR="00F422E5" w:rsidRPr="00EC3E91" w:rsidRDefault="00F422E5" w:rsidP="00C02742">
            <w:pPr>
              <w:rPr>
                <w:sz w:val="20"/>
                <w:szCs w:val="20"/>
                <w:lang w:val="en-US"/>
              </w:rPr>
            </w:pPr>
            <w:r w:rsidRPr="00EC3E91">
              <w:rPr>
                <w:sz w:val="20"/>
                <w:szCs w:val="20"/>
                <w:lang w:val="en-US"/>
              </w:rPr>
              <w:t>Inappropriate use of sedatives</w:t>
            </w:r>
          </w:p>
        </w:tc>
        <w:tc>
          <w:tcPr>
            <w:tcW w:w="3970" w:type="dxa"/>
            <w:tcBorders>
              <w:top w:val="single" w:sz="4" w:space="0" w:color="auto"/>
              <w:left w:val="nil"/>
              <w:bottom w:val="single" w:sz="4" w:space="0" w:color="auto"/>
              <w:right w:val="nil"/>
            </w:tcBorders>
            <w:hideMark/>
          </w:tcPr>
          <w:p w14:paraId="16F1E71C" w14:textId="77777777" w:rsidR="00F422E5" w:rsidRPr="00EC3E91" w:rsidRDefault="00F422E5" w:rsidP="00C02742">
            <w:pPr>
              <w:rPr>
                <w:sz w:val="20"/>
                <w:szCs w:val="20"/>
                <w:lang w:val="en-US"/>
              </w:rPr>
            </w:pPr>
            <w:r w:rsidRPr="00EC3E91">
              <w:rPr>
                <w:sz w:val="20"/>
                <w:szCs w:val="20"/>
                <w:lang w:val="en-US"/>
              </w:rPr>
              <w:t xml:space="preserve">American Society of Geriatrics </w:t>
            </w:r>
            <w:r w:rsidRPr="00EC3E91">
              <w:rPr>
                <w:sz w:val="20"/>
                <w:szCs w:val="20"/>
                <w:lang w:val="en-US"/>
              </w:rPr>
              <w:br/>
            </w:r>
            <w:r w:rsidRPr="00EC3E91">
              <w:rPr>
                <w:sz w:val="20"/>
                <w:szCs w:val="20"/>
                <w:lang w:val="en-US"/>
              </w:rPr>
              <w:br/>
              <w:t>Choosing Wisely</w:t>
            </w:r>
          </w:p>
        </w:tc>
        <w:tc>
          <w:tcPr>
            <w:tcW w:w="2551" w:type="dxa"/>
            <w:tcBorders>
              <w:top w:val="single" w:sz="4" w:space="0" w:color="auto"/>
              <w:left w:val="nil"/>
              <w:bottom w:val="single" w:sz="4" w:space="0" w:color="auto"/>
              <w:right w:val="nil"/>
            </w:tcBorders>
            <w:hideMark/>
          </w:tcPr>
          <w:p w14:paraId="593BD6F1" w14:textId="77777777" w:rsidR="00F422E5" w:rsidRPr="00EC3E91" w:rsidRDefault="00F422E5" w:rsidP="00C02742">
            <w:pPr>
              <w:rPr>
                <w:sz w:val="20"/>
                <w:szCs w:val="20"/>
                <w:lang w:val="en-US"/>
              </w:rPr>
            </w:pPr>
            <w:r w:rsidRPr="00EC3E91">
              <w:rPr>
                <w:sz w:val="20"/>
                <w:szCs w:val="20"/>
                <w:lang w:val="en-US"/>
              </w:rPr>
              <w:t xml:space="preserve">develop educational materials </w:t>
            </w:r>
          </w:p>
        </w:tc>
      </w:tr>
      <w:tr w:rsidR="00F422E5" w:rsidRPr="00EC3E91" w14:paraId="48B19C11" w14:textId="77777777" w:rsidTr="00F422E5">
        <w:trPr>
          <w:trHeight w:val="2235"/>
        </w:trPr>
        <w:tc>
          <w:tcPr>
            <w:tcW w:w="993" w:type="dxa"/>
            <w:tcBorders>
              <w:top w:val="single" w:sz="4" w:space="0" w:color="auto"/>
              <w:left w:val="nil"/>
              <w:bottom w:val="single" w:sz="4" w:space="0" w:color="auto"/>
              <w:right w:val="nil"/>
            </w:tcBorders>
          </w:tcPr>
          <w:p w14:paraId="27CAAC07" w14:textId="016A86C1" w:rsidR="00F422E5" w:rsidRPr="00EC3E91" w:rsidRDefault="00F36EF4" w:rsidP="00C02742">
            <w:pPr>
              <w:rPr>
                <w:sz w:val="20"/>
                <w:szCs w:val="20"/>
                <w:lang w:val="en-US"/>
              </w:rPr>
            </w:pPr>
            <w:r w:rsidRPr="00EC3E91">
              <w:rPr>
                <w:sz w:val="20"/>
                <w:szCs w:val="20"/>
                <w:lang w:val="en-US"/>
              </w:rPr>
              <w:fldChar w:fldCharType="begin" w:fldLock="1"/>
            </w:r>
            <w:r w:rsidR="00CF707F">
              <w:rPr>
                <w:sz w:val="20"/>
                <w:szCs w:val="20"/>
                <w:lang w:val="en-US"/>
              </w:rPr>
              <w:instrText>ADDIN CSL_CITATION {"citationItems":[{"id":"ITEM-1","itemData":{"ISSN":"1532-5415 0002-8614","abstract":"Objectives: To distribute the EMPOWER patient education brochure and use hospitalization as an opportunity to reduce inappropriate sedatives. Design: Participants were sequentially recruited until we achieved 30-day follow-up telephone and pharmacy records for 50 individuals. The proportion meeting the primary outcome was compared with that of a control cohort and with rates of cessation achieved in the community. Setting: Fifty-two-bed medical clinical teaching unit in Montréal, Canada. Participants: Inpatients aged 65 and older who were chronic, regular sedative users. Measurements: The primary outcome was short-term sustained cessation 30-days after discharge. As a secondary outcome, we compared self-reported sleep disturbance before and after the intervention. Results: Sedatives were deprescribed in 32 of 50 (64%) participants who received the EMPOWER brochure, which was significantly higher than our historical rate of 21% (p&lt;.001). Participants did not report significant worsening in their quality of sleep after sedative cessation. Conclusion: Hospitalized individuals are willing to deprescribe, and contact with the healthcare system provides the opportunity to initiate the process with educational brochures. This type of intervention requires few resources and is feasible and inexpensive.","author":[{"dropping-particle":"","family":"Wilson","given":"M G","non-dropping-particle":"","parse-names":false,"suffix":""},{"dropping-particle":"","family":"Lee","given":"T C","non-dropping-particle":"","parse-names":false,"suffix":""},{"dropping-particle":"","family":"Hass","given":"A","non-dropping-particle":"","parse-names":false,"suffix":""},{"dropping-particle":"","family":"Tannenbaum","given":"C","non-dropping-particle":"","parse-names":false,"suffix":""},{"dropping-particle":"","family":"McDonald","given":"E G","non-dropping-particle":"","parse-names":false,"suffix":""}],"container-title":"Journal of the American Geriatrics Society","id":"ITEM-1","issue":"6","issued":{"date-parts":[["2018"]]},"language":"English","page":"1186-1189","publisher-place":"E.G. McDonald, Department of Medicine, McGill University, Montréal, QC, Canada","title":"EMPOWERing Hospitalized Older Adults to Deprescribe Sedative Hypnotics: A Pilot Study","type":"article-journal","volume":"66"},"uris":["http://www.mendeley.com/documents/?uuid=ada2d73e-7e1e-314a-a46d-b0e6edf1caf1"]}],"mendeley":{"formattedCitation":"(301)","plainTextFormattedCitation":"(301)","previouslyFormattedCitation":"(301)"},"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(301)</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5364FE0"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2FA31B38"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1F57FAD4"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0D3E556F" w14:textId="6C9C751B" w:rsidR="00F422E5" w:rsidRPr="00EC3E91" w:rsidRDefault="00F422E5" w:rsidP="00C02742">
            <w:pPr>
              <w:rPr>
                <w:sz w:val="20"/>
                <w:szCs w:val="20"/>
                <w:lang w:val="en-US"/>
              </w:rPr>
            </w:pPr>
            <w:r w:rsidRPr="00EC3E91">
              <w:rPr>
                <w:sz w:val="20"/>
                <w:szCs w:val="20"/>
                <w:lang w:val="en-US"/>
              </w:rPr>
              <w:t xml:space="preserve">Efficacy/Effectiveness; </w:t>
            </w:r>
            <w:r w:rsidR="00740A75"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2B604291" w14:textId="77777777" w:rsidR="00F422E5" w:rsidRPr="00EC3E91" w:rsidRDefault="00F422E5" w:rsidP="00C02742">
            <w:pPr>
              <w:rPr>
                <w:sz w:val="20"/>
                <w:szCs w:val="20"/>
                <w:lang w:val="en-US"/>
              </w:rPr>
            </w:pPr>
            <w:r w:rsidRPr="00EC3E91">
              <w:rPr>
                <w:sz w:val="20"/>
                <w:szCs w:val="20"/>
                <w:lang w:val="en-US"/>
              </w:rPr>
              <w:t>PIM elderly</w:t>
            </w:r>
          </w:p>
        </w:tc>
        <w:tc>
          <w:tcPr>
            <w:tcW w:w="2126" w:type="dxa"/>
            <w:tcBorders>
              <w:top w:val="single" w:sz="4" w:space="0" w:color="auto"/>
              <w:left w:val="nil"/>
              <w:bottom w:val="single" w:sz="4" w:space="0" w:color="auto"/>
              <w:right w:val="nil"/>
            </w:tcBorders>
            <w:hideMark/>
          </w:tcPr>
          <w:p w14:paraId="26E673D8" w14:textId="77777777" w:rsidR="00F422E5" w:rsidRPr="00EC3E91" w:rsidRDefault="00F422E5" w:rsidP="00C02742">
            <w:pPr>
              <w:rPr>
                <w:sz w:val="20"/>
                <w:szCs w:val="20"/>
                <w:lang w:val="en-US"/>
              </w:rPr>
            </w:pPr>
            <w:r w:rsidRPr="00EC3E91">
              <w:rPr>
                <w:sz w:val="20"/>
                <w:szCs w:val="20"/>
                <w:lang w:val="en-US"/>
              </w:rPr>
              <w:t>Potentially inappropriate medications</w:t>
            </w:r>
          </w:p>
        </w:tc>
        <w:tc>
          <w:tcPr>
            <w:tcW w:w="3970" w:type="dxa"/>
            <w:tcBorders>
              <w:top w:val="single" w:sz="4" w:space="0" w:color="auto"/>
              <w:left w:val="nil"/>
              <w:bottom w:val="single" w:sz="4" w:space="0" w:color="auto"/>
              <w:right w:val="nil"/>
            </w:tcBorders>
            <w:hideMark/>
          </w:tcPr>
          <w:p w14:paraId="71F6DDAA" w14:textId="77777777" w:rsidR="00F422E5" w:rsidRPr="00EC3E91" w:rsidRDefault="00F422E5" w:rsidP="00C02742">
            <w:pPr>
              <w:rPr>
                <w:sz w:val="20"/>
                <w:szCs w:val="20"/>
                <w:lang w:val="en-US"/>
              </w:rPr>
            </w:pPr>
            <w:r w:rsidRPr="00EC3E91">
              <w:rPr>
                <w:sz w:val="20"/>
                <w:szCs w:val="20"/>
                <w:lang w:val="en-US"/>
              </w:rPr>
              <w:t>American Society of Geriatrics</w:t>
            </w:r>
            <w:r w:rsidRPr="00EC3E91">
              <w:rPr>
                <w:sz w:val="20"/>
                <w:szCs w:val="20"/>
                <w:lang w:val="en-US"/>
              </w:rPr>
              <w:br/>
            </w:r>
            <w:r w:rsidRPr="00EC3E91">
              <w:rPr>
                <w:sz w:val="20"/>
                <w:szCs w:val="20"/>
                <w:lang w:val="en-US"/>
              </w:rPr>
              <w:br/>
              <w:t>Choosing Wisely</w:t>
            </w:r>
          </w:p>
        </w:tc>
        <w:tc>
          <w:tcPr>
            <w:tcW w:w="2551" w:type="dxa"/>
            <w:tcBorders>
              <w:top w:val="single" w:sz="4" w:space="0" w:color="auto"/>
              <w:left w:val="nil"/>
              <w:bottom w:val="single" w:sz="4" w:space="0" w:color="auto"/>
              <w:right w:val="nil"/>
            </w:tcBorders>
            <w:hideMark/>
          </w:tcPr>
          <w:p w14:paraId="26A2A571" w14:textId="77777777" w:rsidR="00F422E5" w:rsidRPr="00EC3E91" w:rsidRDefault="00F422E5" w:rsidP="00C02742">
            <w:pPr>
              <w:rPr>
                <w:sz w:val="20"/>
                <w:szCs w:val="20"/>
                <w:lang w:val="en-US"/>
              </w:rPr>
            </w:pPr>
            <w:r w:rsidRPr="00EC3E91">
              <w:rPr>
                <w:sz w:val="20"/>
                <w:szCs w:val="20"/>
                <w:lang w:val="en-US"/>
              </w:rPr>
              <w:t xml:space="preserve">develop educational materials </w:t>
            </w:r>
          </w:p>
        </w:tc>
      </w:tr>
      <w:tr w:rsidR="00F422E5" w:rsidRPr="00E119DD" w14:paraId="4A8A74DA" w14:textId="77777777" w:rsidTr="00F422E5">
        <w:trPr>
          <w:trHeight w:val="2235"/>
        </w:trPr>
        <w:tc>
          <w:tcPr>
            <w:tcW w:w="993" w:type="dxa"/>
            <w:tcBorders>
              <w:top w:val="single" w:sz="4" w:space="0" w:color="auto"/>
              <w:left w:val="nil"/>
              <w:bottom w:val="single" w:sz="4" w:space="0" w:color="auto"/>
              <w:right w:val="nil"/>
            </w:tcBorders>
          </w:tcPr>
          <w:p w14:paraId="60BD24F8" w14:textId="3416766A" w:rsidR="00F422E5" w:rsidRPr="00EC3E91" w:rsidRDefault="00534BC0"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{"citationItems":[{"id":"ITEM-1","itemData":{"ISSN":"1715-5258","PMID":"31722930","abstract":"OBJECTIVE: To assess the effectiveness of a Choosing Wisely Canada (CWC) initiative to improve thyroid-stimulating hormone (TSH) test ordering for patients with no identified indication for this test. DESIGN: Retrospective parallel cohort study using routinely collected electronic medical record (EMR) data. The CWC initiative included supporting primary care leads in each participating family health team, providing education on better test ordering, and allowing adaptation appropriate to each local context. SETTING: Toronto, Ont, and surrounding areas. PARTICIPANTS: Family physicians contributing EMR data to the University of Toronto Practice-Based Research Network and their patients aged 18 or older. MAIN OUTCOME MEASURES: Proportion of adult patients with a TSH test done in a 2-year period (2016 to 2017) in the absence of EMR data with an indication for TSH testing; proportion of TSH test results in the normal range for those patients; and change in the rate of TSH screening in sites participating in the CWC initiative compared with sites not participating. RESULTS: A total of 150 944 patients (51.7% of studied adults) had no identified indication for TSH testing; 33.4% of those patients were seen by physicians in the family health teams participating in the CWC initiative. Overall, 35.1% of all patients with no identified indication had at least 1 TSH test between January 1, 2016, and December 31, 2017. The 119 physicians participating in the CWC initiative decreased their monthly rate of testing by 0.23% from 2016 to 2017, a relative reduction of 13.2%. The 233 physicians not participating decreased testing by 0.04%, a relative reduction of 1.8%. The monthly difference between the 2 groups was 0.19% (95% CI -0.02 to -0.35 P = .03), a relative difference of 11.4%. The TSH testing decreased for almost all CWC patient subgroups. More than 95% of patients tested in both groups had TSH results in the normal range. CONCLUSION: This study found high rates of TSH testing without identified indications in the practices studied. A CWC initiative implemented in primary care was effective in reducing TSH testing.","author":[{"dropping-particle":"","family":"Wintemute","given":"Kimberly","non-dropping-particle":"","parse-names":false,"suffix":""},{"dropping-particle":"","family":"Greiver","given":"Michelle","non-dropping-particle":"","parse-names":false,"suffix":""},{"dropping-particle":"","family":"McIsaac","given":"Warren","non-dropping-particle":"","parse-names":false,"suffix":""},{"dropping-particle":"","family":"Giudice","given":"M Elisabeth","non-dropping-particle":"Del","parse-names":false,"suffix":""},{"dropping-particle":"","family":"Sullivan","given":"Frank","non-dropping-particle":"","parse-names":false,"suffix":""},{"dropping-particle":"","family":"Aliarzadeh","given":"Babak","non-dropping-particle":"","parse-names":false,"suffix":""},{"dropping-particle":"","family":"Kalia","given":"Sumeet","non-dropping-particle":"","parse-names":false,"suffix":""},{"dropping-particle":"","family":"Meaney","given":"Chris","non-dropping-particle":"","parse-names":false,"suffix":""},{"dropping-particle":"","family":"Moineddin","given":"Rahim","non-dropping-particle":"","parse-names":false,"suffix":""},{"dropping-particle":"","family":"Singer","given":"Alexander","non-dropping-particle":"","parse-names":false,"suffix":""}],"container-title":"Canadian family physician Medecin de famille canadien","id":"ITEM-1","issue":"11","issued":{"date-parts":[["2019","11"]]},"language":"eng","page":"e487-e496","publisher":"College of Family Physicians of Canada","title":"Choosing Wisely Canada campaign associated with less overuse of thyroid testing: Retrospective parallel cohort study","type":"article-journal","volume":"65"},"uris":["http://www.mendeley.com/documents/?uuid=da6980f4-ad93-3020-9d4b-7fe82dd37ebc"]}],"mendeley":{"formattedCitation":"(302)","plainTextFormattedCitation":"(302)","previouslyFormattedCitation":"(302)"},"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(302)</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53403468" w14:textId="77777777" w:rsidR="00F422E5" w:rsidRPr="00EC3E91" w:rsidRDefault="00F422E5" w:rsidP="00C02742">
            <w:pPr>
              <w:rPr>
                <w:sz w:val="20"/>
                <w:szCs w:val="20"/>
                <w:lang w:val="en-US"/>
              </w:rPr>
            </w:pPr>
            <w:r w:rsidRPr="00EC3E91">
              <w:rPr>
                <w:sz w:val="20"/>
                <w:szCs w:val="20"/>
                <w:lang w:val="en-US"/>
              </w:rPr>
              <w:t>Canada</w:t>
            </w:r>
          </w:p>
        </w:tc>
        <w:tc>
          <w:tcPr>
            <w:tcW w:w="993" w:type="dxa"/>
            <w:tcBorders>
              <w:top w:val="single" w:sz="4" w:space="0" w:color="auto"/>
              <w:left w:val="nil"/>
              <w:bottom w:val="single" w:sz="4" w:space="0" w:color="auto"/>
              <w:right w:val="nil"/>
            </w:tcBorders>
            <w:hideMark/>
          </w:tcPr>
          <w:p w14:paraId="61274C5A"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3BA8F8FB" w14:textId="77777777" w:rsidR="00F422E5" w:rsidRPr="00EC3E91" w:rsidRDefault="00F422E5" w:rsidP="00C02742">
            <w:pPr>
              <w:rPr>
                <w:sz w:val="20"/>
                <w:szCs w:val="20"/>
                <w:lang w:val="en-US"/>
              </w:rPr>
            </w:pPr>
            <w:r w:rsidRPr="00EC3E91">
              <w:rPr>
                <w:sz w:val="20"/>
                <w:szCs w:val="20"/>
                <w:lang w:val="en-US"/>
              </w:rPr>
              <w:t>Quant Cohort</w:t>
            </w:r>
          </w:p>
        </w:tc>
        <w:tc>
          <w:tcPr>
            <w:tcW w:w="851" w:type="dxa"/>
            <w:tcBorders>
              <w:top w:val="single" w:sz="4" w:space="0" w:color="auto"/>
              <w:left w:val="nil"/>
              <w:bottom w:val="single" w:sz="4" w:space="0" w:color="auto"/>
              <w:right w:val="nil"/>
            </w:tcBorders>
            <w:hideMark/>
          </w:tcPr>
          <w:p w14:paraId="5C647851"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1568B20A" w14:textId="77777777" w:rsidR="00F422E5" w:rsidRPr="00EC3E91" w:rsidRDefault="00F422E5" w:rsidP="00C02742">
            <w:pPr>
              <w:rPr>
                <w:sz w:val="20"/>
                <w:szCs w:val="20"/>
                <w:lang w:val="en-US"/>
              </w:rPr>
            </w:pPr>
            <w:r w:rsidRPr="00EC3E91">
              <w:rPr>
                <w:sz w:val="20"/>
                <w:szCs w:val="20"/>
                <w:lang w:val="en-US"/>
              </w:rPr>
              <w:t>Lab tests</w:t>
            </w:r>
          </w:p>
        </w:tc>
        <w:tc>
          <w:tcPr>
            <w:tcW w:w="2126" w:type="dxa"/>
            <w:tcBorders>
              <w:top w:val="single" w:sz="4" w:space="0" w:color="auto"/>
              <w:left w:val="nil"/>
              <w:bottom w:val="single" w:sz="4" w:space="0" w:color="auto"/>
              <w:right w:val="nil"/>
            </w:tcBorders>
            <w:hideMark/>
          </w:tcPr>
          <w:p w14:paraId="6C82F1B6" w14:textId="77777777" w:rsidR="00F422E5" w:rsidRPr="00EC3E91" w:rsidRDefault="00F422E5" w:rsidP="00C02742">
            <w:pPr>
              <w:rPr>
                <w:sz w:val="20"/>
                <w:szCs w:val="20"/>
                <w:lang w:val="en-US"/>
              </w:rPr>
            </w:pPr>
            <w:r w:rsidRPr="00EC3E91">
              <w:rPr>
                <w:sz w:val="20"/>
                <w:szCs w:val="20"/>
                <w:lang w:val="en-US"/>
              </w:rPr>
              <w:t xml:space="preserve">Inappropriate ordering of thyroid-stimulating hormone test </w:t>
            </w:r>
          </w:p>
        </w:tc>
        <w:tc>
          <w:tcPr>
            <w:tcW w:w="3970" w:type="dxa"/>
            <w:tcBorders>
              <w:top w:val="single" w:sz="4" w:space="0" w:color="auto"/>
              <w:left w:val="nil"/>
              <w:bottom w:val="single" w:sz="4" w:space="0" w:color="auto"/>
              <w:right w:val="nil"/>
            </w:tcBorders>
            <w:hideMark/>
          </w:tcPr>
          <w:p w14:paraId="767FC947" w14:textId="77777777" w:rsidR="00F422E5" w:rsidRPr="00EC3E91" w:rsidRDefault="00F422E5" w:rsidP="00C02742">
            <w:pPr>
              <w:rPr>
                <w:sz w:val="20"/>
                <w:szCs w:val="20"/>
                <w:lang w:val="en-US"/>
              </w:rPr>
            </w:pPr>
            <w:r w:rsidRPr="00EC3E91">
              <w:rPr>
                <w:sz w:val="20"/>
                <w:szCs w:val="20"/>
                <w:lang w:val="en-US"/>
              </w:rPr>
              <w:t>Choosing Wisely Canada</w:t>
            </w:r>
            <w:r w:rsidRPr="00EC3E91">
              <w:rPr>
                <w:sz w:val="20"/>
                <w:szCs w:val="20"/>
                <w:lang w:val="en-US"/>
              </w:rPr>
              <w:br/>
            </w:r>
            <w:r w:rsidRPr="00EC3E91">
              <w:rPr>
                <w:sz w:val="20"/>
                <w:szCs w:val="20"/>
                <w:lang w:val="en-US"/>
              </w:rPr>
              <w:br/>
              <w:t>the College of Family Physicians of Canada on thyroid function test</w:t>
            </w:r>
          </w:p>
        </w:tc>
        <w:tc>
          <w:tcPr>
            <w:tcW w:w="2551" w:type="dxa"/>
            <w:tcBorders>
              <w:top w:val="single" w:sz="4" w:space="0" w:color="auto"/>
              <w:left w:val="nil"/>
              <w:bottom w:val="single" w:sz="4" w:space="0" w:color="auto"/>
              <w:right w:val="nil"/>
            </w:tcBorders>
            <w:hideMark/>
          </w:tcPr>
          <w:p w14:paraId="1F5993DE" w14:textId="77777777" w:rsidR="00F422E5" w:rsidRPr="00EC3E91" w:rsidRDefault="00F422E5" w:rsidP="00C02742">
            <w:pPr>
              <w:rPr>
                <w:sz w:val="20"/>
                <w:szCs w:val="20"/>
                <w:lang w:val="en-US"/>
              </w:rPr>
            </w:pPr>
            <w:r w:rsidRPr="00EC3E91">
              <w:rPr>
                <w:sz w:val="20"/>
                <w:szCs w:val="20"/>
                <w:lang w:val="en-US"/>
              </w:rPr>
              <w:t>audit and provide feedback, conduct educational meeting</w:t>
            </w:r>
          </w:p>
        </w:tc>
      </w:tr>
      <w:tr w:rsidR="00F422E5" w:rsidRPr="00E119DD" w14:paraId="0ADA82BF" w14:textId="77777777" w:rsidTr="00F422E5">
        <w:trPr>
          <w:trHeight w:val="2235"/>
        </w:trPr>
        <w:tc>
          <w:tcPr>
            <w:tcW w:w="993" w:type="dxa"/>
            <w:tcBorders>
              <w:top w:val="single" w:sz="4" w:space="0" w:color="auto"/>
              <w:left w:val="nil"/>
              <w:bottom w:val="single" w:sz="4" w:space="0" w:color="auto"/>
              <w:right w:val="nil"/>
            </w:tcBorders>
          </w:tcPr>
          <w:p w14:paraId="3CB1BACB" w14:textId="4F56663F" w:rsidR="00F422E5" w:rsidRPr="00EC3E91" w:rsidRDefault="00F24FF2"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{"citationItems":[{"id":"ITEM-1","itemData":{"DOI":"10.2337/cd17-0060","ISSN":"0891-8929","abstract":"Successful management of patients with diabetes requires individualizing A1C and treatment goals in conjunction with identifying and managing hypoglycemia risk. This article describes the Veterans Health Administration's Choosing Wisely Hypoglycemia Safety Initiative (CW-HSI), a voluntary program that aims to reduce the occurrence of hypoglycemia through shared decision-making about deintensifying diabetes treatment in a dynamic cohort of patients identified as being at high risk for hypoglycemia and potentially overtreated. The CW-HSI incorporates education for patients and clinicians, as well as clinical decision support tools, and has shown decreases in the proportions of high-risk patients potentially overtreated and impacts on the frequency of reported hypoglycemia. ","author":[{"dropping-particle":"","family":"Wright","given":"Samantha M","non-dropping-particle":"","parse-names":false,"suffix":""},{"dropping-particle":"","family":"Hedin","given":"Sandra C","non-dropping-particle":"","parse-names":false,"suffix":""},{"dropping-particle":"","family":"McConnell","given":"Mark","non-dropping-particle":"","parse-names":false,"suffix":""},{"dropping-particle":"V","family":"Burke","given":"Brian","non-dropping-particle":"","parse-names":false,"suffix":""},{"dropping-particle":"","family":"Watts","given":"Sharon A","non-dropping-particle":"","parse-names":false,"suffix":""},{"dropping-particle":"","family":"Leslie","given":"Donna M","non-dropping-particle":"","parse-names":false,"suffix":""},{"dropping-particle":"","family":"Aron","given":"David C","non-dropping-particle":"","parse-names":false,"suffix":""},{"dropping-particle":"","family":"Pogach","given":"Leonard M","non-dropping-particle":"","parse-names":false,"suffix":""}],"container-title":"Clinical diabetes","id":"ITEM-1","issue":"2","issued":{"date-parts":[["2018"]]},"page":"120-127","publisher":"American Diabetes Association","publisher-place":"United States","title":"Using Shared Decision-Making to Address Possible Overtreatment in Patients at High Risk for Hypoglycemia: The Veterans Health Administration's Choosing Wisely Hypoglycemia Safety Initiative","type":"article-journal","volume":"36"},"uris":["http://www.mendeley.com/documents/?uuid=538870f0-e0a5-4c82-9239-0984a12661b7"]}],"mendeley":{"formattedCitation":"(303)","plainTextFormattedCitation":"(303)","previouslyFormattedCitation":"(303)"},"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(303)</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957D14B"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0904F208"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1DC5D0D5" w14:textId="77777777" w:rsidR="00F422E5" w:rsidRPr="00EC3E91" w:rsidRDefault="00F422E5" w:rsidP="00C02742">
            <w:pPr>
              <w:rPr>
                <w:sz w:val="20"/>
                <w:szCs w:val="20"/>
                <w:lang w:val="en-US"/>
              </w:rPr>
            </w:pPr>
            <w:r w:rsidRPr="00EC3E91">
              <w:rPr>
                <w:sz w:val="20"/>
                <w:szCs w:val="20"/>
                <w:lang w:val="en-US"/>
              </w:rPr>
              <w:t xml:space="preserve">Quant Case study </w:t>
            </w:r>
          </w:p>
        </w:tc>
        <w:tc>
          <w:tcPr>
            <w:tcW w:w="851" w:type="dxa"/>
            <w:tcBorders>
              <w:top w:val="single" w:sz="4" w:space="0" w:color="auto"/>
              <w:left w:val="nil"/>
              <w:bottom w:val="single" w:sz="4" w:space="0" w:color="auto"/>
              <w:right w:val="nil"/>
            </w:tcBorders>
            <w:hideMark/>
          </w:tcPr>
          <w:p w14:paraId="48E9507F" w14:textId="17B11DF1" w:rsidR="00F422E5" w:rsidRPr="00EC3E91" w:rsidRDefault="007178F1" w:rsidP="00C02742">
            <w:pPr>
              <w:rPr>
                <w:sz w:val="20"/>
                <w:szCs w:val="20"/>
                <w:lang w:val="en-US"/>
              </w:rPr>
            </w:pPr>
            <w:r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39C1FF2A" w14:textId="77777777" w:rsidR="00F422E5" w:rsidRPr="00EC3E91" w:rsidRDefault="00F422E5" w:rsidP="00C02742">
            <w:pPr>
              <w:rPr>
                <w:sz w:val="20"/>
                <w:szCs w:val="20"/>
                <w:lang w:val="en-US"/>
              </w:rPr>
            </w:pPr>
            <w:r w:rsidRPr="00EC3E91">
              <w:rPr>
                <w:sz w:val="20"/>
                <w:szCs w:val="20"/>
                <w:lang w:val="en-US"/>
              </w:rPr>
              <w:t>Imaging</w:t>
            </w:r>
          </w:p>
        </w:tc>
        <w:tc>
          <w:tcPr>
            <w:tcW w:w="2126" w:type="dxa"/>
            <w:tcBorders>
              <w:top w:val="single" w:sz="4" w:space="0" w:color="auto"/>
              <w:left w:val="nil"/>
              <w:bottom w:val="single" w:sz="4" w:space="0" w:color="auto"/>
              <w:right w:val="nil"/>
            </w:tcBorders>
            <w:hideMark/>
          </w:tcPr>
          <w:p w14:paraId="6266BEBB" w14:textId="77777777" w:rsidR="00F422E5" w:rsidRPr="00EC3E91" w:rsidRDefault="00F422E5" w:rsidP="00C02742">
            <w:pPr>
              <w:rPr>
                <w:sz w:val="20"/>
                <w:szCs w:val="20"/>
                <w:lang w:val="en-US"/>
              </w:rPr>
            </w:pPr>
            <w:r w:rsidRPr="00EC3E91">
              <w:rPr>
                <w:sz w:val="20"/>
                <w:szCs w:val="20"/>
                <w:lang w:val="en-US"/>
              </w:rPr>
              <w:t> </w:t>
            </w:r>
          </w:p>
        </w:tc>
        <w:tc>
          <w:tcPr>
            <w:tcW w:w="3970" w:type="dxa"/>
            <w:tcBorders>
              <w:top w:val="single" w:sz="4" w:space="0" w:color="auto"/>
              <w:left w:val="nil"/>
              <w:bottom w:val="single" w:sz="4" w:space="0" w:color="auto"/>
              <w:right w:val="nil"/>
            </w:tcBorders>
            <w:hideMark/>
          </w:tcPr>
          <w:p w14:paraId="1AAFE8EC" w14:textId="77777777" w:rsidR="00F422E5" w:rsidRPr="00EC3E91" w:rsidRDefault="00F422E5" w:rsidP="00C02742">
            <w:pPr>
              <w:rPr>
                <w:sz w:val="20"/>
                <w:szCs w:val="20"/>
                <w:lang w:val="en-US"/>
              </w:rPr>
            </w:pPr>
            <w:r w:rsidRPr="00EC3E91">
              <w:rPr>
                <w:sz w:val="20"/>
                <w:szCs w:val="20"/>
                <w:lang w:val="en-US"/>
              </w:rPr>
              <w:t>Choosing Wisely</w:t>
            </w:r>
            <w:r w:rsidRPr="00EC3E91">
              <w:rPr>
                <w:sz w:val="20"/>
                <w:szCs w:val="20"/>
                <w:lang w:val="en-US"/>
              </w:rPr>
              <w:br/>
            </w:r>
            <w:r w:rsidRPr="00EC3E91">
              <w:rPr>
                <w:sz w:val="20"/>
                <w:szCs w:val="20"/>
                <w:lang w:val="en-US"/>
              </w:rPr>
              <w:br/>
              <w:t>American Diabetes Association; European Association for the Study of Diabetes. Management of hyperglycemia in type 2 diabetes: a patient-centered approach: position statement of the American Diabetes Association (ADA) and the European Association for the Study of Diabetes (EASD).</w:t>
            </w:r>
            <w:r w:rsidRPr="00EC3E91">
              <w:rPr>
                <w:sz w:val="20"/>
                <w:szCs w:val="20"/>
                <w:lang w:val="en-US"/>
              </w:rPr>
              <w:br/>
            </w:r>
            <w:r w:rsidRPr="00EC3E91">
              <w:rPr>
                <w:sz w:val="20"/>
                <w:szCs w:val="20"/>
                <w:lang w:val="en-US"/>
              </w:rPr>
              <w:lastRenderedPageBreak/>
              <w:br/>
              <w:t>Canadian Diabetes Association Clinical Practice Guidelines Expert Committee; Cheng AY Canadian Diabetes Association 2013 clinical practice guidelines for the prevention and management of diabetes in Canada</w:t>
            </w:r>
            <w:r w:rsidRPr="00EC3E91">
              <w:rPr>
                <w:sz w:val="20"/>
                <w:szCs w:val="20"/>
                <w:lang w:val="en-US"/>
              </w:rPr>
              <w:br/>
            </w:r>
            <w:r w:rsidRPr="00EC3E91">
              <w:rPr>
                <w:sz w:val="20"/>
                <w:szCs w:val="20"/>
                <w:lang w:val="en-US"/>
              </w:rPr>
              <w:br/>
              <w:t xml:space="preserve">U.S. Department of Health and Human Services Office of Disease Prevention and Health Promotion National Action Plan for Adverse Drug Event Prevention. </w:t>
            </w:r>
            <w:r w:rsidRPr="00EC3E91">
              <w:rPr>
                <w:sz w:val="20"/>
                <w:szCs w:val="20"/>
                <w:lang w:val="en-US"/>
              </w:rPr>
              <w:br/>
            </w:r>
            <w:r w:rsidRPr="00EC3E91">
              <w:rPr>
                <w:sz w:val="20"/>
                <w:szCs w:val="20"/>
                <w:lang w:val="en-US"/>
              </w:rPr>
              <w:br/>
              <w:t>U.S. Department of Veterans Affairs Management of diabetes mellitus in primary care (2017): VA/DoD clinical practice guidelines</w:t>
            </w:r>
          </w:p>
        </w:tc>
        <w:tc>
          <w:tcPr>
            <w:tcW w:w="2551" w:type="dxa"/>
            <w:tcBorders>
              <w:top w:val="single" w:sz="4" w:space="0" w:color="auto"/>
              <w:left w:val="nil"/>
              <w:bottom w:val="single" w:sz="4" w:space="0" w:color="auto"/>
              <w:right w:val="nil"/>
            </w:tcBorders>
            <w:hideMark/>
          </w:tcPr>
          <w:p w14:paraId="6987692B" w14:textId="70D83309" w:rsidR="00F422E5" w:rsidRPr="00EC3E91" w:rsidRDefault="00F422E5" w:rsidP="00C02742">
            <w:pPr>
              <w:rPr>
                <w:sz w:val="20"/>
                <w:szCs w:val="20"/>
                <w:lang w:val="en-US"/>
              </w:rPr>
            </w:pPr>
            <w:r w:rsidRPr="00EC3E91">
              <w:rPr>
                <w:sz w:val="20"/>
                <w:szCs w:val="20"/>
                <w:lang w:val="en-US"/>
              </w:rPr>
              <w:lastRenderedPageBreak/>
              <w:t>develop and organize quality monitoring system, remind clinicians, develop educational materials, make training dynamic</w:t>
            </w:r>
          </w:p>
        </w:tc>
      </w:tr>
      <w:tr w:rsidR="00F422E5" w:rsidRPr="00E119DD" w14:paraId="48AD83BE" w14:textId="77777777" w:rsidTr="00F422E5">
        <w:trPr>
          <w:trHeight w:val="2235"/>
        </w:trPr>
        <w:tc>
          <w:tcPr>
            <w:tcW w:w="993" w:type="dxa"/>
            <w:tcBorders>
              <w:top w:val="single" w:sz="4" w:space="0" w:color="auto"/>
              <w:left w:val="nil"/>
              <w:bottom w:val="single" w:sz="4" w:space="0" w:color="auto"/>
              <w:right w:val="nil"/>
            </w:tcBorders>
          </w:tcPr>
          <w:p w14:paraId="7BD690FB" w14:textId="775DA580" w:rsidR="00F422E5" w:rsidRPr="00EC3E91" w:rsidRDefault="00AD5187"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{"citationItems":[{"id":"ITEM-1","itemData":{"DOI":"10.1177/0300060517740813","ISSN":"0300-0605","abstract":"Objective\nNPS MedicineWise aims to ensure that medicines are prescribed and used in a manner consistent with current evidence-based best practice. A series of nationwide educational and advertising interventions for general practitioners and consumers were implemented in Australia between 2009 and 2015 with the aim of reducing antibiotic prescriptions for upper respiratory tract infections (URTIs). The work described in this paper quantifies the change in antibiotic dispensing following these interventions.\nMethods\nAntibiotic dispensing data between 2004 and 2015 were obtained from a national claims database. A Bayesian structural time series model was used to forecast a series of antibiotic dispensing volumes expected to have occurred if the interventions had not taken place. These were compared with the volumes that were actually observed to estimate the intervention effect.\nResults\nOn average, 126,536 fewer antibiotics were dispensed each month since the intervention programs began in 2009 (95% Bayesian credible interval = 71,580–181,490). This change represents a 14% total reduction in dispensed scripts after the series of intervention programs began in 2009.\nConclusions\nContinual educational intervention programs that emphasise the judicious use of antibiotics may effectively reduce inappropriate prescribing of antibiotics for the treatment of URTIs at a national level.","author":[{"dropping-particle":"","family":"Wu","given":"Jianyun","non-dropping-particle":"","parse-names":false,"suffix":""},{"dropping-particle":"","family":"Taylor","given":"Daniel","non-dropping-particle":"","parse-names":false,"suffix":""},{"dropping-particle":"","family":"Ovchinikova","given":"Ludmila","non-dropping-particle":"","parse-names":false,"suffix":""},{"dropping-particle":"","family":"Heaney","given":"Aine","non-dropping-particle":"","parse-names":false,"suffix":""},{"dropping-particle":"","family":"Morgan","given":"Tessa","non-dropping-particle":"","parse-names":false,"suffix":""},{"dropping-particle":"","family":"Dartnell","given":"Jonathan","non-dropping-particle":"","parse-names":false,"suffix":""},{"dropping-particle":"","family":"Holbrook","given":"Rachel","non-dropping-particle":"","parse-names":false,"suffix":""},{"dropping-particle":"","family":"Humphreys","given":"Lauren","non-dropping-particle":"","parse-names":false,"suffix":""},{"dropping-particle":"","family":"Weekes","given":"Lynn","non-dropping-particle":"","parse-names":false,"suffix":""},{"dropping-particle":"","family":"Blogg","given":"Suzanne","non-dropping-particle":"","parse-names":false,"suffix":""}],"container-title":"Journal of international medical research","id":"ITEM-1","issue":"4","issued":{"date-parts":[["2018"]]},"page":"1326-1338","publisher":"SAGE Publications","publisher-place":"London, England","title":"Relationship between antimicrobial-resistance programs and antibiotic dispensing for upper respiratory tract infection: An analysis of Australian data between 2004 and 2015","type":"article-journal","volume":"46"},"uris":["http://www.mendeley.com/documents/?uuid=8826c026-4746-4d69-8446-22e8805f755b"]}],"mendeley":{"formattedCitation":"(304)","plainTextFormattedCitation":"(304)","previouslyFormattedCitation":"(304)"},"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(304)</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7184E4D7" w14:textId="77777777" w:rsidR="00F422E5" w:rsidRPr="00EC3E91" w:rsidRDefault="00F422E5" w:rsidP="00C02742">
            <w:pPr>
              <w:rPr>
                <w:sz w:val="20"/>
                <w:szCs w:val="20"/>
                <w:lang w:val="en-US"/>
              </w:rPr>
            </w:pPr>
            <w:r w:rsidRPr="00EC3E91">
              <w:rPr>
                <w:sz w:val="20"/>
                <w:szCs w:val="20"/>
                <w:lang w:val="en-US"/>
              </w:rPr>
              <w:t>Australia</w:t>
            </w:r>
          </w:p>
        </w:tc>
        <w:tc>
          <w:tcPr>
            <w:tcW w:w="993" w:type="dxa"/>
            <w:tcBorders>
              <w:top w:val="single" w:sz="4" w:space="0" w:color="auto"/>
              <w:left w:val="nil"/>
              <w:bottom w:val="single" w:sz="4" w:space="0" w:color="auto"/>
              <w:right w:val="nil"/>
            </w:tcBorders>
            <w:hideMark/>
          </w:tcPr>
          <w:p w14:paraId="124C0F75"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hideMark/>
          </w:tcPr>
          <w:p w14:paraId="0AF9BF05" w14:textId="77777777" w:rsidR="00F422E5" w:rsidRPr="00EC3E91" w:rsidRDefault="00F422E5" w:rsidP="00C02742">
            <w:pPr>
              <w:rPr>
                <w:sz w:val="20"/>
                <w:szCs w:val="20"/>
                <w:lang w:val="en-US"/>
              </w:rPr>
            </w:pPr>
            <w:r w:rsidRPr="00EC3E91">
              <w:rPr>
                <w:sz w:val="20"/>
                <w:szCs w:val="20"/>
                <w:lang w:val="en-US"/>
              </w:rPr>
              <w:t>Quant Quasi-experimental</w:t>
            </w:r>
          </w:p>
        </w:tc>
        <w:tc>
          <w:tcPr>
            <w:tcW w:w="851" w:type="dxa"/>
            <w:tcBorders>
              <w:top w:val="single" w:sz="4" w:space="0" w:color="auto"/>
              <w:left w:val="nil"/>
              <w:bottom w:val="single" w:sz="4" w:space="0" w:color="auto"/>
              <w:right w:val="nil"/>
            </w:tcBorders>
            <w:hideMark/>
          </w:tcPr>
          <w:p w14:paraId="2A21C92E"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D2FC38C"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5C6DC9E5" w14:textId="77777777" w:rsidR="00F422E5" w:rsidRPr="00EC3E91" w:rsidRDefault="00F422E5" w:rsidP="00C02742">
            <w:pPr>
              <w:rPr>
                <w:sz w:val="20"/>
                <w:szCs w:val="20"/>
                <w:lang w:val="en-US"/>
              </w:rPr>
            </w:pPr>
            <w:r w:rsidRPr="00EC3E91">
              <w:rPr>
                <w:sz w:val="20"/>
                <w:szCs w:val="20"/>
                <w:lang w:val="en-US"/>
              </w:rPr>
              <w:t>Inappropriate antibiotic prescriptions for upper respiratory tract infections</w:t>
            </w:r>
          </w:p>
        </w:tc>
        <w:tc>
          <w:tcPr>
            <w:tcW w:w="3970" w:type="dxa"/>
            <w:tcBorders>
              <w:top w:val="single" w:sz="4" w:space="0" w:color="auto"/>
              <w:left w:val="nil"/>
              <w:bottom w:val="single" w:sz="4" w:space="0" w:color="auto"/>
              <w:right w:val="nil"/>
            </w:tcBorders>
            <w:hideMark/>
          </w:tcPr>
          <w:p w14:paraId="7AE72FBA" w14:textId="77777777" w:rsidR="00F422E5" w:rsidRPr="00EC3E91" w:rsidRDefault="00F422E5" w:rsidP="00C02742">
            <w:pPr>
              <w:rPr>
                <w:sz w:val="20"/>
                <w:szCs w:val="20"/>
                <w:lang w:val="en-US"/>
              </w:rPr>
            </w:pPr>
            <w:r w:rsidRPr="00EC3E91">
              <w:rPr>
                <w:sz w:val="20"/>
                <w:szCs w:val="20"/>
                <w:lang w:val="en-US"/>
              </w:rPr>
              <w:t>AURA 2016: first Australian report on antimicrobial use and resistance in human health. Australian Commission on Safety and Quality in Health care (ACSQHC).</w:t>
            </w:r>
          </w:p>
        </w:tc>
        <w:tc>
          <w:tcPr>
            <w:tcW w:w="2551" w:type="dxa"/>
            <w:tcBorders>
              <w:top w:val="single" w:sz="4" w:space="0" w:color="auto"/>
              <w:left w:val="nil"/>
              <w:bottom w:val="single" w:sz="4" w:space="0" w:color="auto"/>
              <w:right w:val="nil"/>
            </w:tcBorders>
            <w:hideMark/>
          </w:tcPr>
          <w:p w14:paraId="121EF519" w14:textId="77777777" w:rsidR="00F422E5" w:rsidRPr="00EC3E91" w:rsidRDefault="00F422E5" w:rsidP="00C02742">
            <w:pPr>
              <w:rPr>
                <w:sz w:val="20"/>
                <w:szCs w:val="20"/>
                <w:lang w:val="en-US"/>
              </w:rPr>
            </w:pPr>
            <w:r w:rsidRPr="00EC3E91">
              <w:rPr>
                <w:sz w:val="20"/>
                <w:szCs w:val="20"/>
                <w:lang w:val="en-US"/>
              </w:rPr>
              <w:t xml:space="preserve">audit and provide feedback, make training dynamic, conduct educational meeting, develop educational materials </w:t>
            </w:r>
          </w:p>
        </w:tc>
      </w:tr>
      <w:tr w:rsidR="00AD5187" w:rsidRPr="00E119DD" w14:paraId="0E970705" w14:textId="77777777" w:rsidTr="00F422E5">
        <w:trPr>
          <w:trHeight w:val="2235"/>
        </w:trPr>
        <w:tc>
          <w:tcPr>
            <w:tcW w:w="993" w:type="dxa"/>
            <w:tcBorders>
              <w:top w:val="single" w:sz="4" w:space="0" w:color="auto"/>
              <w:left w:val="nil"/>
              <w:bottom w:val="single" w:sz="4" w:space="0" w:color="auto"/>
              <w:right w:val="nil"/>
            </w:tcBorders>
          </w:tcPr>
          <w:p w14:paraId="57D5A974" w14:textId="12AA8714" w:rsidR="00AD5187" w:rsidRPr="00EC3E91" w:rsidRDefault="00AD5187"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{"citationItems":[{"id":"ITEM-1","itemData":{"DOI":"10.1186/s12875-020-01158-1","ISSN":"1471-2296","PMID":"32386520","abstract":"BACKGROUND: This study evaluated the impact of multifaceted NPS MedicineWise programs that targeted all general practitioners (GPs) in Australia in 2009 and 2015 with the aim of reducing unnecessary prescribing of proton pump inhibitors (PPIs) and encouraged stepping down to a lower strength PPI or to discontinue treatment. The 2015 intervention coincided with the release of Choosing Wisely Australia recommendations from the Royal Australian College of General Practitioners (RACGP). METHODS: Outcome measures included monthly dispensing rates of different strength PPIs prescribed by GPs to concessional patients in Australia. All PPIs were categorized according to the May 2019 revised classifications for standard and low strength PPIs except for esomeprazole 40 mg which was classified as a standard strength and esomeprazole 20 mg as low strength for this analysis. Time series analyses was conducted of the dispensing rates of PPI prescriptions for concessional patients between January 2006 and June 2016 using the Pharmaceutical Benefits Scheme (PBS) and Medicare Benefits Schedule (MBS) databases in Australia. Participants were GPs with dispensed PPI prescriptions to concessional patients between January 2006 and June 2016. RESULTS: Following the 2009 NPS MedicineWise program we observed a 6.7% reduction in the expected dispensing rate of standard strength PPIs for concessional patients between April 2006 and March 2015, and an 8.6% reduction between April 2009 and June 2016 following the 2015 program launch. We observed a significant increase of 5.6% in the dispensing rate of low strength PPIs for concessional patients between April 2009 and March 2015, and no significant change in trend following the 2015 program. CONCLUSIONS: The NPS MedicineWise programs were associated with reductions in the dispensing rate of standard strength PPIs by June 2016 and an increase in the dispensing rate of low-strength PPIs by March 2015 although this trend did not continue following the 2015 program. This suggests that GPs are stepping down patients to lower strength PPIs following the educational programs. However, lower strength PPIs are still not the majority of PPIs dispensed in Australian and regular interventions to sustain and improve PPI management by GPs may be warranted.","author":[{"dropping-particle":"","family":"Wu","given":"Jianyun","non-dropping-particle":"","parse-names":false,"suffix":""},{"dropping-particle":"","family":"Dickinson","given":"Scott","non-dropping-particle":"","parse-names":false,"suffix":""},{"dropping-particle":"","family":"Elgebaly","given":"Zain","non-dropping-particle":"","parse-names":false,"suffix":""},{"dropping-particle":"","family":"Blogg","given":"Suzanne","non-dropping-particle":"","parse-names":false,"suffix":""},{"dropping-particle":"","family":"Heaney","given":"Aine","non-dropping-particle":"","parse-names":false,"suffix":""},{"dropping-particle":"","family":"Soo","given":"Yien","non-dropping-particle":"","parse-names":false,"suffix":""},{"dropping-particle":"","family":"Daniels","given":"Benjamin","non-dropping-particle":"","parse-names":false,"suffix":""},{"dropping-particle":"","family":"Weekes","given":"Lynn","non-dropping-particle":"","parse-names":false,"suffix":""}],"container-title":"BMC family practice","id":"ITEM-1","issue":"1","issued":{"date-parts":[["2020","5","9"]]},"language":"eng","page":"85","publisher":"BioMed Central","title":"Impact of NPS MedicineWise general practitioner education programs and Choosing Wisely Australia recommendations on prescribing of proton pump inhibitors in Australia","type":"article-journal","volume":"21"},"uris":["http://www.mendeley.com/documents/?uuid=4d86ac5a-0a05-3991-9559-da694628438f"]}],"mendeley":{"formattedCitation":"(305)","plainTextFormattedCitation":"(305)","previouslyFormattedCitation":"(305)"},"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(305)</w:t>
            </w:r>
            <w:r w:rsidRPr="00EC3E91">
              <w:rPr>
                <w:sz w:val="20"/>
                <w:szCs w:val="20"/>
                <w:lang w:val="en-US"/>
              </w:rPr>
              <w:fldChar w:fldCharType="end"/>
            </w:r>
          </w:p>
        </w:tc>
        <w:tc>
          <w:tcPr>
            <w:tcW w:w="992" w:type="dxa"/>
            <w:tcBorders>
              <w:top w:val="single" w:sz="4" w:space="0" w:color="auto"/>
              <w:left w:val="nil"/>
              <w:bottom w:val="single" w:sz="4" w:space="0" w:color="auto"/>
              <w:right w:val="nil"/>
            </w:tcBorders>
          </w:tcPr>
          <w:p w14:paraId="2F6FCD69" w14:textId="6C1BB1E8" w:rsidR="00AD5187" w:rsidRPr="00EC3E91" w:rsidRDefault="00CE590A" w:rsidP="00C02742">
            <w:pPr>
              <w:rPr>
                <w:sz w:val="20"/>
                <w:szCs w:val="20"/>
                <w:lang w:val="en-US"/>
              </w:rPr>
            </w:pPr>
            <w:r w:rsidRPr="00EC3E91">
              <w:rPr>
                <w:sz w:val="20"/>
                <w:szCs w:val="20"/>
                <w:lang w:val="en-US"/>
              </w:rPr>
              <w:t>Australia</w:t>
            </w:r>
          </w:p>
          <w:p w14:paraId="3AD29DE9" w14:textId="2323CCAD" w:rsidR="00CE590A" w:rsidRPr="00EC3E91" w:rsidRDefault="00CE590A" w:rsidP="00CE590A">
            <w:pPr>
              <w:rPr>
                <w:sz w:val="20"/>
                <w:szCs w:val="20"/>
                <w:lang w:val="en-US"/>
              </w:rPr>
            </w:pPr>
          </w:p>
        </w:tc>
        <w:tc>
          <w:tcPr>
            <w:tcW w:w="993" w:type="dxa"/>
            <w:tcBorders>
              <w:top w:val="single" w:sz="4" w:space="0" w:color="auto"/>
              <w:left w:val="nil"/>
              <w:bottom w:val="single" w:sz="4" w:space="0" w:color="auto"/>
              <w:right w:val="nil"/>
            </w:tcBorders>
          </w:tcPr>
          <w:p w14:paraId="3D00B429" w14:textId="2CF74E84" w:rsidR="00AD5187" w:rsidRPr="00EC3E91" w:rsidRDefault="00CE590A" w:rsidP="00C02742">
            <w:pPr>
              <w:rPr>
                <w:sz w:val="20"/>
                <w:szCs w:val="20"/>
                <w:lang w:val="en-US"/>
              </w:rPr>
            </w:pPr>
            <w:r w:rsidRPr="00EC3E91">
              <w:rPr>
                <w:sz w:val="20"/>
                <w:szCs w:val="20"/>
                <w:lang w:val="en-US"/>
              </w:rPr>
              <w:t>Health Care System</w:t>
            </w:r>
          </w:p>
        </w:tc>
        <w:tc>
          <w:tcPr>
            <w:tcW w:w="850" w:type="dxa"/>
            <w:tcBorders>
              <w:top w:val="single" w:sz="4" w:space="0" w:color="auto"/>
              <w:left w:val="nil"/>
              <w:bottom w:val="single" w:sz="4" w:space="0" w:color="auto"/>
              <w:right w:val="nil"/>
            </w:tcBorders>
          </w:tcPr>
          <w:p w14:paraId="5F0C4B6E" w14:textId="276A83F8" w:rsidR="00AD5187" w:rsidRPr="00EC3E91" w:rsidRDefault="00CE590A" w:rsidP="00C02742">
            <w:pPr>
              <w:rPr>
                <w:sz w:val="20"/>
                <w:szCs w:val="20"/>
                <w:lang w:val="en-US"/>
              </w:rPr>
            </w:pPr>
            <w:r w:rsidRPr="00EC3E91">
              <w:rPr>
                <w:sz w:val="20"/>
                <w:szCs w:val="20"/>
                <w:lang w:val="en-US"/>
              </w:rPr>
              <w:t>Quant Pre-post</w:t>
            </w:r>
          </w:p>
        </w:tc>
        <w:tc>
          <w:tcPr>
            <w:tcW w:w="851" w:type="dxa"/>
            <w:tcBorders>
              <w:top w:val="single" w:sz="4" w:space="0" w:color="auto"/>
              <w:left w:val="nil"/>
              <w:bottom w:val="single" w:sz="4" w:space="0" w:color="auto"/>
              <w:right w:val="nil"/>
            </w:tcBorders>
          </w:tcPr>
          <w:p w14:paraId="75B6A030" w14:textId="22E01446" w:rsidR="00AD5187" w:rsidRPr="00EC3E91" w:rsidRDefault="00CE590A"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tcPr>
          <w:p w14:paraId="7A2C3A7C" w14:textId="128209FE" w:rsidR="00AD5187" w:rsidRPr="00EC3E91" w:rsidRDefault="006F40A0" w:rsidP="00C02742">
            <w:pPr>
              <w:rPr>
                <w:sz w:val="20"/>
                <w:szCs w:val="20"/>
                <w:lang w:val="en-US"/>
              </w:rPr>
            </w:pPr>
            <w:r w:rsidRPr="00EC3E91">
              <w:rPr>
                <w:sz w:val="20"/>
                <w:szCs w:val="20"/>
                <w:lang w:val="en-US"/>
              </w:rPr>
              <w:t>Acid suppression medication</w:t>
            </w:r>
          </w:p>
        </w:tc>
        <w:tc>
          <w:tcPr>
            <w:tcW w:w="2126" w:type="dxa"/>
            <w:tcBorders>
              <w:top w:val="single" w:sz="4" w:space="0" w:color="auto"/>
              <w:left w:val="nil"/>
              <w:bottom w:val="single" w:sz="4" w:space="0" w:color="auto"/>
              <w:right w:val="nil"/>
            </w:tcBorders>
          </w:tcPr>
          <w:p w14:paraId="0DCC9A5D" w14:textId="0C232E85" w:rsidR="00AD5187" w:rsidRPr="00EC3E91" w:rsidRDefault="006F40A0" w:rsidP="00C02742">
            <w:pPr>
              <w:rPr>
                <w:sz w:val="20"/>
                <w:szCs w:val="20"/>
                <w:lang w:val="en-US"/>
              </w:rPr>
            </w:pPr>
            <w:r w:rsidRPr="00EC3E91">
              <w:rPr>
                <w:sz w:val="20"/>
                <w:szCs w:val="20"/>
                <w:lang w:val="en-US"/>
              </w:rPr>
              <w:t>reducing unnecessary prescribing of proton pump inhibitors (PPIs)</w:t>
            </w:r>
          </w:p>
        </w:tc>
        <w:tc>
          <w:tcPr>
            <w:tcW w:w="3970" w:type="dxa"/>
            <w:tcBorders>
              <w:top w:val="single" w:sz="4" w:space="0" w:color="auto"/>
              <w:left w:val="nil"/>
              <w:bottom w:val="single" w:sz="4" w:space="0" w:color="auto"/>
              <w:right w:val="nil"/>
            </w:tcBorders>
          </w:tcPr>
          <w:p w14:paraId="7D4AAA3D" w14:textId="56638F02" w:rsidR="00AD5187" w:rsidRPr="00EC3E91" w:rsidRDefault="005B718B" w:rsidP="00C02742">
            <w:pPr>
              <w:rPr>
                <w:sz w:val="20"/>
                <w:szCs w:val="20"/>
                <w:lang w:val="en-US"/>
              </w:rPr>
            </w:pPr>
            <w:r w:rsidRPr="00EC3E91">
              <w:rPr>
                <w:sz w:val="20"/>
                <w:szCs w:val="20"/>
                <w:lang w:val="en-US"/>
              </w:rPr>
              <w:t xml:space="preserve">Choosing wisely Australia </w:t>
            </w:r>
          </w:p>
        </w:tc>
        <w:tc>
          <w:tcPr>
            <w:tcW w:w="2551" w:type="dxa"/>
            <w:tcBorders>
              <w:top w:val="single" w:sz="4" w:space="0" w:color="auto"/>
              <w:left w:val="nil"/>
              <w:bottom w:val="single" w:sz="4" w:space="0" w:color="auto"/>
              <w:right w:val="nil"/>
            </w:tcBorders>
          </w:tcPr>
          <w:p w14:paraId="3471D8CD" w14:textId="759F569F" w:rsidR="00AD5187" w:rsidRPr="00EC3E91" w:rsidRDefault="005B718B" w:rsidP="00C02742">
            <w:pPr>
              <w:rPr>
                <w:sz w:val="20"/>
                <w:szCs w:val="20"/>
                <w:lang w:val="en-US"/>
              </w:rPr>
            </w:pPr>
            <w:r w:rsidRPr="00EC3E91">
              <w:rPr>
                <w:sz w:val="20"/>
                <w:szCs w:val="20"/>
                <w:lang w:val="en-US"/>
              </w:rPr>
              <w:t>audit and provide feedback, make training dynamic</w:t>
            </w:r>
          </w:p>
        </w:tc>
      </w:tr>
      <w:tr w:rsidR="00F422E5" w:rsidRPr="00E119DD" w14:paraId="1642EABE" w14:textId="77777777" w:rsidTr="00F422E5">
        <w:trPr>
          <w:trHeight w:val="2235"/>
        </w:trPr>
        <w:tc>
          <w:tcPr>
            <w:tcW w:w="993" w:type="dxa"/>
            <w:tcBorders>
              <w:top w:val="single" w:sz="4" w:space="0" w:color="auto"/>
              <w:left w:val="nil"/>
              <w:bottom w:val="single" w:sz="4" w:space="0" w:color="auto"/>
              <w:right w:val="nil"/>
            </w:tcBorders>
          </w:tcPr>
          <w:p w14:paraId="43A3EAB0" w14:textId="5E4587C0" w:rsidR="00F422E5" w:rsidRPr="00EC3E91" w:rsidRDefault="00404E3F" w:rsidP="00C02742">
            <w:pPr>
              <w:rPr>
                <w:sz w:val="20"/>
                <w:szCs w:val="20"/>
                <w:lang w:val="en-US"/>
              </w:rPr>
            </w:pPr>
            <w:r w:rsidRPr="00EC3E91">
              <w:rPr>
                <w:sz w:val="20"/>
                <w:szCs w:val="20"/>
                <w:lang w:val="en-US"/>
              </w:rPr>
              <w:lastRenderedPageBreak/>
              <w:fldChar w:fldCharType="begin" w:fldLock="1"/>
            </w:r>
            <w:r w:rsidR="006A62A1">
              <w:rPr>
                <w:sz w:val="20"/>
                <w:szCs w:val="20"/>
                <w:lang w:val="en-US"/>
              </w:rPr>
              <w:instrText>ADDIN CSL_CITATION {"citationItems":[{"id":"ITEM-1","itemData":{"ISSN":"1177-889X","abstract":"Background: The prescriptions of proton pump inhibitors (PPIs) have raised concern due to both huge increase in medical expenditure and the possible long-term adverse events caused by them; therefore, an approach to taper off the irrational use of PPIs by patients is clinically warranted. The aim of this study was to evaluate the impact of pharmaceutical interventions on the rational use of PPIs. Patients and methods: A single-center, pre- to post-intervention study (pharmaceutical interventions group and control group) was performed in a Chinese hospital. Pharmaceutical interventions were performed in the post-intervention group, including educative group activities, real-time monitoring of clinical records and making recommendations to doctors on PPI prescriptions based on the criteria set at the beginning of the study. The number of patients with rational indication, the accuracy rate of administration route, the duration of therapy and the changes in total PPI costs, mean PPI costs, mean total drug costs and mean hospitalization costs were the main outcome measures. Results: A total of 285 patients were included in the study. After 6 months of interventions, significant improvements in the number of patients with rational indication were found (96.5% in the pharmaceutical interventions group vs 71.8% in the control group, P&lt;0.01). The accuracy rate of administration route was increased (99.3% vs 73.2%, P&lt;0.05), while the duration of therapy was decreased (7.9+0.5 vs 14.3+0.8, P&lt;0.01). Pharmaceutical interventions led to significant reductions in mean PPIs costs, mean total drug costs and mean hospitalization costs (P&lt;0.001). Conclusion: This study provides important evidence on the beneficial effect of pharmaceutical interventions on enhancing the rational use of PPIs and substantial cost saving by increasing the number of patients with rational indication and reducing the risk for long-term adverse events. Keywords: proton pump inhibitors, pharmaceutical interventions, clinical pharmacist, indications, cost saving ","author":[{"dropping-particle":"","family":"Lin","given":"Mengmeng","non-dropping-particle":"","parse-names":false,"suffix":""},{"dropping-particle":"","family":"Xin","given":"Chuanwei","non-dropping-particle":"","parse-names":false,"suffix":""},{"dropping-particle":"","family":"Li","given":"Gong-Hua","non-dropping-particle":"","parse-names":false,"suffix":""},{"dropping-particle":"","family":"Dong","given":"Zhu","non-dropping-particle":"","parse-names":false,"suffix":""}],"container-title":"Patient preference and adherence","id":"ITEM-1","issued":{"date-parts":[["2020"]]},"page":"21","publisher":"Dove Medical Press Limited","title":"The impact of pharmaceutical interventions on the rational use of proton pump inhibitors in a Chinese hospital","type":"article-journal"},"uris":["http://www.mendeley.com/documents/?uuid=878446ef-78d0-4e27-938e-cca95f4645c6"]}],"mendeley":{"formattedCitation":"(306)","plainTextFormattedCitation":"(306)","previouslyFormattedCitation":"(306)"},"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(306)</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26F338A"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7F18E130"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7883E725"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77477F2F" w14:textId="6F472A42" w:rsidR="00F422E5" w:rsidRPr="00EC3E91" w:rsidRDefault="00F422E5" w:rsidP="00C02742">
            <w:pPr>
              <w:rPr>
                <w:sz w:val="20"/>
                <w:szCs w:val="20"/>
                <w:lang w:val="en-US"/>
              </w:rPr>
            </w:pPr>
            <w:r w:rsidRPr="00EC3E91">
              <w:rPr>
                <w:sz w:val="20"/>
                <w:szCs w:val="20"/>
                <w:lang w:val="en-US"/>
              </w:rPr>
              <w:t>Efficacy/Effectiveness, Cost-</w:t>
            </w:r>
            <w:r w:rsidR="007178F1" w:rsidRPr="00EC3E91">
              <w:rPr>
                <w:sz w:val="20"/>
                <w:szCs w:val="20"/>
                <w:lang w:val="en-US"/>
              </w:rPr>
              <w:t>effectiveness</w:t>
            </w:r>
            <w:r w:rsidRPr="00EC3E91">
              <w:rPr>
                <w:sz w:val="20"/>
                <w:szCs w:val="20"/>
                <w:lang w:val="en-US"/>
              </w:rPr>
              <w:t xml:space="preserve">, </w:t>
            </w:r>
            <w:r w:rsidR="007178F1" w:rsidRPr="00EC3E91">
              <w:rPr>
                <w:sz w:val="20"/>
                <w:szCs w:val="20"/>
                <w:lang w:val="en-US"/>
              </w:rPr>
              <w:t>Feasibility</w:t>
            </w:r>
          </w:p>
        </w:tc>
        <w:tc>
          <w:tcPr>
            <w:tcW w:w="1134" w:type="dxa"/>
            <w:tcBorders>
              <w:top w:val="single" w:sz="4" w:space="0" w:color="auto"/>
              <w:left w:val="nil"/>
              <w:bottom w:val="single" w:sz="4" w:space="0" w:color="auto"/>
              <w:right w:val="nil"/>
            </w:tcBorders>
            <w:hideMark/>
          </w:tcPr>
          <w:p w14:paraId="0CE71AF3" w14:textId="77777777" w:rsidR="00F422E5" w:rsidRPr="00EC3E91" w:rsidRDefault="00F422E5" w:rsidP="00C02742">
            <w:pPr>
              <w:rPr>
                <w:sz w:val="20"/>
                <w:szCs w:val="20"/>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19018CE9" w14:textId="77777777" w:rsidR="00F422E5" w:rsidRPr="00EC3E91" w:rsidRDefault="00F422E5" w:rsidP="00C02742">
            <w:pPr>
              <w:rPr>
                <w:sz w:val="20"/>
                <w:szCs w:val="20"/>
                <w:lang w:val="en-US"/>
              </w:rPr>
            </w:pPr>
            <w:r w:rsidRPr="00EC3E91">
              <w:rPr>
                <w:sz w:val="20"/>
                <w:szCs w:val="20"/>
                <w:lang w:val="en-US"/>
              </w:rPr>
              <w:t>Inappropriate PPI prescriptions</w:t>
            </w:r>
          </w:p>
        </w:tc>
        <w:tc>
          <w:tcPr>
            <w:tcW w:w="3970" w:type="dxa"/>
            <w:tcBorders>
              <w:top w:val="single" w:sz="4" w:space="0" w:color="auto"/>
              <w:left w:val="nil"/>
              <w:bottom w:val="single" w:sz="4" w:space="0" w:color="auto"/>
              <w:right w:val="nil"/>
            </w:tcBorders>
            <w:hideMark/>
          </w:tcPr>
          <w:p w14:paraId="6B8775B2" w14:textId="77777777" w:rsidR="00F422E5" w:rsidRPr="00EC3E91" w:rsidRDefault="00F422E5" w:rsidP="00C02742">
            <w:pPr>
              <w:rPr>
                <w:sz w:val="20"/>
                <w:szCs w:val="20"/>
                <w:lang w:val="en-US"/>
              </w:rPr>
            </w:pPr>
            <w:r w:rsidRPr="00EC3E91">
              <w:rPr>
                <w:sz w:val="20"/>
                <w:szCs w:val="20"/>
                <w:lang w:val="en-US"/>
              </w:rPr>
              <w:t>Chinese National Expert Committee on Rational Drug Use. Guidelines for Chinese Doctors and Pharmacists.</w:t>
            </w:r>
            <w:r w:rsidRPr="00EC3E91">
              <w:rPr>
                <w:sz w:val="20"/>
                <w:szCs w:val="20"/>
                <w:lang w:val="en-US"/>
              </w:rPr>
              <w:br/>
            </w:r>
            <w:r w:rsidRPr="00EC3E91">
              <w:rPr>
                <w:sz w:val="20"/>
                <w:szCs w:val="20"/>
                <w:lang w:val="en-US"/>
              </w:rPr>
              <w:br/>
              <w:t>Deprescribing proton pump inhibitors: Evidence-based clinical practice guideline.</w:t>
            </w:r>
          </w:p>
        </w:tc>
        <w:tc>
          <w:tcPr>
            <w:tcW w:w="2551" w:type="dxa"/>
            <w:tcBorders>
              <w:top w:val="single" w:sz="4" w:space="0" w:color="auto"/>
              <w:left w:val="nil"/>
              <w:bottom w:val="single" w:sz="4" w:space="0" w:color="auto"/>
              <w:right w:val="nil"/>
            </w:tcBorders>
            <w:hideMark/>
          </w:tcPr>
          <w:p w14:paraId="46BB3090" w14:textId="77777777" w:rsidR="00F422E5" w:rsidRPr="00EC3E91" w:rsidRDefault="00F422E5" w:rsidP="00C02742">
            <w:pPr>
              <w:rPr>
                <w:sz w:val="20"/>
                <w:szCs w:val="20"/>
                <w:lang w:val="en-US"/>
              </w:rPr>
            </w:pPr>
            <w:r w:rsidRPr="00EC3E91">
              <w:rPr>
                <w:sz w:val="20"/>
                <w:szCs w:val="20"/>
                <w:lang w:val="en-US"/>
              </w:rPr>
              <w:t xml:space="preserve">conduct educational outreach visits, conduct educational meetings, develop educational materials, </w:t>
            </w:r>
          </w:p>
        </w:tc>
      </w:tr>
      <w:tr w:rsidR="00F422E5" w:rsidRPr="00E119DD" w14:paraId="6A5C90F5" w14:textId="77777777" w:rsidTr="00F422E5">
        <w:trPr>
          <w:trHeight w:val="2235"/>
        </w:trPr>
        <w:tc>
          <w:tcPr>
            <w:tcW w:w="993" w:type="dxa"/>
            <w:tcBorders>
              <w:top w:val="single" w:sz="4" w:space="0" w:color="auto"/>
              <w:left w:val="nil"/>
              <w:bottom w:val="single" w:sz="4" w:space="0" w:color="auto"/>
              <w:right w:val="nil"/>
            </w:tcBorders>
          </w:tcPr>
          <w:p w14:paraId="20343A1E" w14:textId="422CC335" w:rsidR="00F422E5" w:rsidRPr="00EC3E91" w:rsidRDefault="00404E3F" w:rsidP="00C02742">
            <w:pPr>
              <w:rPr>
                <w:sz w:val="20"/>
                <w:szCs w:val="20"/>
                <w:lang w:val="en-US"/>
              </w:rPr>
            </w:pPr>
            <w:r w:rsidRPr="00EC3E91">
              <w:rPr>
                <w:sz w:val="20"/>
                <w:szCs w:val="20"/>
                <w:lang w:val="en-US"/>
              </w:rPr>
              <w:fldChar w:fldCharType="begin" w:fldLock="1"/>
            </w:r>
            <w:r w:rsidR="00DA54B9">
              <w:rPr>
                <w:sz w:val="20"/>
                <w:szCs w:val="20"/>
                <w:lang w:val="en-US"/>
              </w:rPr>
              <w:instrText>ADDIN CSL_CITATION {"citationItems":[{"id":"ITEM-1","itemData":{"DOI":"https://doi.org/10.1111/acem.13690","ISSN":"1069-6563","abstract":"Abstract Background Antibiotics are commonly prescribed during emergency department (ED) and urgent care center (UCC) visits for viral acute respiratory infection (ARI). We evaluate the comparative effectiveness of an antibiotic stewardship intervention adapted for acute care ambulatory settings (adapted intervention) to a stewardship intervention that additionally incorporates behavioral nudges (enhanced intervention) in reducing inappropriate prescriptions. Methods This study was a pragmatic, cluster-randomized clinical trial conducted in three academic health systems comprising five adult and pediatric EDs and four UCCs. Randomization of the nine sites was stratified by health system; all providers at each site received either the adapted or the enhanced intervention. The main outcome was the proportion of antibiotic-inappropriate ARI diagnosis visits that received an outpatient antibiotic prescription by individual providers. We estimated a hierarchical mixed-effects logistic regression model comparing visits during the influenza season for 2016 to 2017 (baseline) and 2017 to 2018 (intervention). Results There were 44,820 ARI visits among 292 providers across all nine cluster sites. Antibiotic prescribing for ARI visits dropped from 6.2% (95% confidence interval [CI] = 4.5% to 7.9%) to 2.4% (95% CI = 1.3% to 3.4%) during the study period. We found a significant reduction in inappropriate prescribing after adjusting for health-system and provider-level effects from 2.2% (95% CI = 1.0% to 3.4%) to 1.5% (95% CI = 0.7% to 2.3%) with an odds ratio of 0.67 (95% CI = 0.54 to 0.82). Difference-in-differences between the two interventions was not significantly different. Conclusion Implementation of antibiotic stewardship for ARI is feasible and effective in the ED and UCC settings. More intensive behavioral nudging methods were not more effective in high-performance settings.","author":[{"dropping-particle":"","family":"Yadav","given":"Kabir","non-dropping-particle":"","parse-names":false,"suffix":""},{"dropping-particle":"","family":"Meeker","given":"Daniella","non-dropping-particle":"","parse-names":false,"suffix":""},{"dropping-particle":"","family":"Mistry","given":"Rakesh D","non-dropping-particle":"","parse-names":false,"suffix":""},{"dropping-particle":"","family":"Doctor","given":"Jason N","non-dropping-particle":"","parse-names":false,"suffix":""},{"dropping-particle":"","family":"Fleming-Dutra","given":"Katherine E","non-dropping-particle":"","parse-names":false,"suffix":""},{"dropping-particle":"","family":"Fleischman","given":"Ross J","non-dropping-particle":"","parse-names":false,"suffix":""},{"dropping-particle":"","family":"Gaona","given":"Samuel D","non-dropping-particle":"","parse-names":false,"suffix":""},{"dropping-particle":"","family":"Stahmer","given":"Aubyn","non-dropping-particle":"","parse-names":false,"suffix":""},{"dropping-particle":"","family":"May","given":"Larissa","non-dropping-particle":"","parse-names":false,"suffix":""}],"container-title":"Academic Emergency Medicine","id":"ITEM-1","issue":"7","issued":{"date-parts":[["2019","7","1"]]},"page":"719-731","publisher":"John Wiley &amp; Sons, Ltd","title":"A Multifaceted Intervention Improves Prescribing for Acute Respiratory Infection for Adults and Children in Emergency Department and Urgent Care Settings","type":"article-journal","volume":"26"},"uris":["http://www.mendeley.com/documents/?uuid=d5fe93d7-7bd3-3190-b402-a530cb1e8f7a"]}],"mendeley":{"formattedCitation":"(307)","plainTextFormattedCitation":"(307)","previouslyFormattedCitation":"(307)"},"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(307)</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0EA64221" w14:textId="77777777" w:rsidR="00F422E5" w:rsidRPr="00EC3E91" w:rsidRDefault="00F422E5" w:rsidP="00C02742">
            <w:pPr>
              <w:rPr>
                <w:sz w:val="20"/>
                <w:szCs w:val="20"/>
                <w:lang w:val="en-US"/>
              </w:rPr>
            </w:pPr>
            <w:r w:rsidRPr="00EC3E91">
              <w:rPr>
                <w:sz w:val="20"/>
                <w:szCs w:val="20"/>
                <w:lang w:val="en-US"/>
              </w:rPr>
              <w:t>USA</w:t>
            </w:r>
          </w:p>
        </w:tc>
        <w:tc>
          <w:tcPr>
            <w:tcW w:w="993" w:type="dxa"/>
            <w:tcBorders>
              <w:top w:val="single" w:sz="4" w:space="0" w:color="auto"/>
              <w:left w:val="nil"/>
              <w:bottom w:val="single" w:sz="4" w:space="0" w:color="auto"/>
              <w:right w:val="nil"/>
            </w:tcBorders>
            <w:hideMark/>
          </w:tcPr>
          <w:p w14:paraId="1B43AC6E"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E3AB388" w14:textId="77777777" w:rsidR="00F422E5" w:rsidRPr="00EC3E91" w:rsidRDefault="00F422E5" w:rsidP="00C02742">
            <w:pPr>
              <w:rPr>
                <w:sz w:val="20"/>
                <w:szCs w:val="20"/>
                <w:lang w:val="en-US"/>
              </w:rPr>
            </w:pPr>
            <w:r w:rsidRPr="00EC3E91">
              <w:rPr>
                <w:sz w:val="20"/>
                <w:szCs w:val="20"/>
                <w:lang w:val="en-US"/>
              </w:rPr>
              <w:t>Quant RCT</w:t>
            </w:r>
          </w:p>
        </w:tc>
        <w:tc>
          <w:tcPr>
            <w:tcW w:w="851" w:type="dxa"/>
            <w:tcBorders>
              <w:top w:val="single" w:sz="4" w:space="0" w:color="auto"/>
              <w:left w:val="nil"/>
              <w:bottom w:val="single" w:sz="4" w:space="0" w:color="auto"/>
              <w:right w:val="nil"/>
            </w:tcBorders>
            <w:hideMark/>
          </w:tcPr>
          <w:p w14:paraId="7D062B64"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70BB8400"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64C3EAC2" w14:textId="77777777" w:rsidR="00F422E5" w:rsidRPr="00EC3E91" w:rsidRDefault="00F422E5" w:rsidP="00C02742">
            <w:pPr>
              <w:rPr>
                <w:sz w:val="20"/>
                <w:szCs w:val="20"/>
                <w:lang w:val="en-US"/>
              </w:rPr>
            </w:pPr>
            <w:r w:rsidRPr="00EC3E91">
              <w:rPr>
                <w:sz w:val="20"/>
                <w:szCs w:val="20"/>
                <w:lang w:val="en-US"/>
              </w:rPr>
              <w:t>Inappropriate antibiotic prescriptions</w:t>
            </w:r>
          </w:p>
        </w:tc>
        <w:tc>
          <w:tcPr>
            <w:tcW w:w="3970" w:type="dxa"/>
            <w:tcBorders>
              <w:top w:val="single" w:sz="4" w:space="0" w:color="auto"/>
              <w:left w:val="nil"/>
              <w:bottom w:val="single" w:sz="4" w:space="0" w:color="auto"/>
              <w:right w:val="nil"/>
            </w:tcBorders>
            <w:hideMark/>
          </w:tcPr>
          <w:p w14:paraId="4B1210EF" w14:textId="77777777" w:rsidR="00F422E5" w:rsidRPr="00EC3E91" w:rsidRDefault="00F422E5" w:rsidP="00C02742">
            <w:pPr>
              <w:rPr>
                <w:sz w:val="20"/>
                <w:szCs w:val="20"/>
                <w:lang w:val="en-US"/>
              </w:rPr>
            </w:pPr>
            <w:r w:rsidRPr="00EC3E91">
              <w:rPr>
                <w:sz w:val="20"/>
                <w:szCs w:val="20"/>
                <w:lang w:val="en-US"/>
              </w:rPr>
              <w:t xml:space="preserve">Presidential Advisory Council on Combating Antibiotic-resistant Bacteria. National Action Plan for Combating Antibiotic-resistant Bacteria. White House; 2015 </w:t>
            </w:r>
            <w:r w:rsidRPr="00EC3E91">
              <w:rPr>
                <w:sz w:val="20"/>
                <w:szCs w:val="20"/>
                <w:lang w:val="en-US"/>
              </w:rPr>
              <w:br/>
            </w:r>
            <w:r w:rsidRPr="00EC3E91">
              <w:rPr>
                <w:sz w:val="20"/>
                <w:szCs w:val="20"/>
                <w:lang w:val="en-US"/>
              </w:rPr>
              <w:br/>
              <w:t>Centers for Disease Control and Prevention. FastStats: Emergency Department Visits.</w:t>
            </w:r>
          </w:p>
        </w:tc>
        <w:tc>
          <w:tcPr>
            <w:tcW w:w="2551" w:type="dxa"/>
            <w:tcBorders>
              <w:top w:val="single" w:sz="4" w:space="0" w:color="auto"/>
              <w:left w:val="nil"/>
              <w:bottom w:val="single" w:sz="4" w:space="0" w:color="auto"/>
              <w:right w:val="nil"/>
            </w:tcBorders>
            <w:hideMark/>
          </w:tcPr>
          <w:p w14:paraId="0F206F5A" w14:textId="090962D4" w:rsidR="00F422E5" w:rsidRPr="00EC3E91" w:rsidRDefault="00F422E5" w:rsidP="00C02742">
            <w:pPr>
              <w:rPr>
                <w:sz w:val="20"/>
                <w:szCs w:val="20"/>
                <w:lang w:val="en-US"/>
              </w:rPr>
            </w:pPr>
            <w:r w:rsidRPr="00EC3E91">
              <w:rPr>
                <w:sz w:val="20"/>
                <w:szCs w:val="20"/>
                <w:lang w:val="en-US"/>
              </w:rPr>
              <w:t xml:space="preserve">conduct educational meeting, </w:t>
            </w:r>
            <w:r w:rsidR="00740A75" w:rsidRPr="00EC3E91">
              <w:rPr>
                <w:sz w:val="20"/>
                <w:szCs w:val="20"/>
                <w:lang w:val="en-US"/>
              </w:rPr>
              <w:t>identify</w:t>
            </w:r>
            <w:r w:rsidRPr="00EC3E91">
              <w:rPr>
                <w:sz w:val="20"/>
                <w:szCs w:val="20"/>
                <w:lang w:val="en-US"/>
              </w:rPr>
              <w:t xml:space="preserve"> and prepare champions, audit and provide feedback, develop educational materials, obtain formal commitment </w:t>
            </w:r>
          </w:p>
        </w:tc>
      </w:tr>
      <w:tr w:rsidR="00F422E5" w:rsidRPr="00E119DD" w14:paraId="1B2F81F0" w14:textId="77777777" w:rsidTr="00F422E5">
        <w:trPr>
          <w:trHeight w:val="2235"/>
        </w:trPr>
        <w:tc>
          <w:tcPr>
            <w:tcW w:w="993" w:type="dxa"/>
            <w:tcBorders>
              <w:top w:val="single" w:sz="4" w:space="0" w:color="auto"/>
              <w:left w:val="nil"/>
              <w:bottom w:val="single" w:sz="4" w:space="0" w:color="auto"/>
              <w:right w:val="nil"/>
            </w:tcBorders>
          </w:tcPr>
          <w:p w14:paraId="7C31E8DB" w14:textId="1D9749AC" w:rsidR="00F422E5" w:rsidRPr="00EC3E91" w:rsidRDefault="0036237E"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{"citationItems":[{"id":"ITEM-1","itemData":{"DOI":"https://doi.org/10.1111/jcpt.13273","ISSN":"0269-4727","abstract":"Abstract What is known and Objective At present, studies on the usage of proton-pump inhibitors (PPIs) have universal significance. In clinical practice, PPIs are widely used to treat a variety of acid-related diseases, but they can be inappropriately prescribed, leading to increased medical costs and patient harm. The study comprehensively evaluated the clinical effects of a clinical pharmacist intervention on inappropriate PPI prescriptions in a tertiary general hospital hepatobiliary surgery ward. Methods A retrospective, single-centre intervention study covering the periods of July-December 2018 and July-December 2019 was conducted. In the intervention group, clinical pharmaceutical care was initiated by a clinical pharmacist in the hepatobiliary surgery ward. Outcomes, including the clinical pattern of PPI utilization, the rate of inappropriate PPI use and safety outcomes, were compared between the two periods. Results and discussion In total, 1150 patients were admitted to the hepatobiliary surgery ward in our hospital in the study periods. Of these, 717 patients met the inclusion criteria for this study, and 420 and 297 patients were included in the preintervention and post-intervention groups, respectively. The PPI utilization rates before and after the intervention were 82.0% and 55.0%, respectively. The rates of inappropriate PPI use before and after the intervention were 48.9 and 22.7 per 100 patient-days, respectively. Clinical safety outcomes were nearly identical between before and after the intervention, but patients treated with PPIs were more likely to experience nosocomial pneumonia (2.4% vs. 0.6%). What is new and Conclusion The implementation of a clinical pharmacist intervention for PPI use decreased inappropriate PPI use during hospitalization without sacrificing clinical safety outcomes.","author":[{"dropping-particle":"","family":"Zhang","given":"Ying","non-dropping-particle":"","parse-names":false,"suffix":""},{"dropping-particle":"","family":"Yang","given":"Hui","non-dropping-particle":"","parse-names":false,"suffix":""},{"dropping-particle":"","family":"Kong","given":"Jian","non-dropping-particle":"","parse-names":false,"suffix":""},{"dropping-particle":"","family":"Liu","given":"Lihong","non-dropping-particle":"","parse-names":false,"suffix":""},{"dropping-particle":"","family":"Ran","given":"Li","non-dropping-particle":"","parse-names":false,"suffix":""},{"dropping-particle":"","family":"Zhang","given":"Xi","non-dropping-particle":"","parse-names":false,"suffix":""},{"dropping-particle":"","family":"Yun","given":"Juping","non-dropping-particle":"","parse-names":false,"suffix":""},{"dropping-particle":"","family":"Gu","given":"Qing","non-dropping-particle":"","parse-names":false,"suffix":""}],"container-title":"Journal of Clinical Pharmacy and Therapeutics","id":"ITEM-1","issue":"1","issued":{"date-parts":[["2021","2","1"]]},"page":"149-157","publisher":"John Wiley &amp; Sons, Ltd","title":"Impact of interventions targeting the inappropriate use of proton-pump inhibitors by clinical pharmacists in a hepatobiliary surgery department","type":"article-journal","volume":"46"},"uris":["http://www.mendeley.com/documents/?uuid=bd0605be-235e-339f-a365-b0fae062ad39"]}],"mendeley":{"formattedCitation":"(308)","plainTextFormattedCitation":"(308)","previouslyFormattedCitation":"(308)"},"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(308)</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21BF224E"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3C93D0D8" w14:textId="77777777" w:rsidR="00F422E5" w:rsidRPr="00EC3E91" w:rsidRDefault="00F422E5" w:rsidP="00C02742">
            <w:pPr>
              <w:rPr>
                <w:sz w:val="20"/>
                <w:szCs w:val="20"/>
                <w:lang w:val="en-US"/>
              </w:rPr>
            </w:pPr>
            <w:r w:rsidRPr="00EC3E91">
              <w:rPr>
                <w:sz w:val="20"/>
                <w:szCs w:val="20"/>
                <w:lang w:val="en-US"/>
              </w:rPr>
              <w:t>Hospital</w:t>
            </w:r>
          </w:p>
        </w:tc>
        <w:tc>
          <w:tcPr>
            <w:tcW w:w="850" w:type="dxa"/>
            <w:tcBorders>
              <w:top w:val="single" w:sz="4" w:space="0" w:color="auto"/>
              <w:left w:val="nil"/>
              <w:bottom w:val="single" w:sz="4" w:space="0" w:color="auto"/>
              <w:right w:val="nil"/>
            </w:tcBorders>
            <w:hideMark/>
          </w:tcPr>
          <w:p w14:paraId="0DBFC564" w14:textId="77777777" w:rsidR="00F422E5" w:rsidRPr="00EC3E91" w:rsidRDefault="00F422E5" w:rsidP="00C02742">
            <w:pPr>
              <w:rPr>
                <w:sz w:val="20"/>
                <w:szCs w:val="20"/>
                <w:lang w:val="en-US"/>
              </w:rPr>
            </w:pPr>
            <w:r w:rsidRPr="00EC3E91">
              <w:rPr>
                <w:sz w:val="20"/>
                <w:szCs w:val="20"/>
                <w:lang w:val="en-US"/>
              </w:rPr>
              <w:t xml:space="preserve">Quant Pre-post </w:t>
            </w:r>
          </w:p>
        </w:tc>
        <w:tc>
          <w:tcPr>
            <w:tcW w:w="851" w:type="dxa"/>
            <w:tcBorders>
              <w:top w:val="single" w:sz="4" w:space="0" w:color="auto"/>
              <w:left w:val="nil"/>
              <w:bottom w:val="single" w:sz="4" w:space="0" w:color="auto"/>
              <w:right w:val="nil"/>
            </w:tcBorders>
            <w:hideMark/>
          </w:tcPr>
          <w:p w14:paraId="1104356B"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6982042A" w14:textId="77777777" w:rsidR="00F422E5" w:rsidRPr="00EC3E91" w:rsidRDefault="00F422E5" w:rsidP="00C02742">
            <w:pPr>
              <w:rPr>
                <w:sz w:val="20"/>
                <w:szCs w:val="20"/>
                <w:lang w:val="en-US"/>
              </w:rPr>
            </w:pPr>
            <w:r w:rsidRPr="00EC3E91">
              <w:rPr>
                <w:sz w:val="20"/>
                <w:szCs w:val="20"/>
                <w:lang w:val="en-US"/>
              </w:rPr>
              <w:t>Acid suppression medication</w:t>
            </w:r>
            <w:r w:rsidRPr="00EC3E91">
              <w:rPr>
                <w:sz w:val="20"/>
                <w:szCs w:val="20"/>
                <w:vertAlign w:val="superscript"/>
                <w:lang w:val="en-US"/>
              </w:rPr>
              <w:t>2</w:t>
            </w:r>
          </w:p>
        </w:tc>
        <w:tc>
          <w:tcPr>
            <w:tcW w:w="2126" w:type="dxa"/>
            <w:tcBorders>
              <w:top w:val="single" w:sz="4" w:space="0" w:color="auto"/>
              <w:left w:val="nil"/>
              <w:bottom w:val="single" w:sz="4" w:space="0" w:color="auto"/>
              <w:right w:val="nil"/>
            </w:tcBorders>
            <w:hideMark/>
          </w:tcPr>
          <w:p w14:paraId="3BE6A53C" w14:textId="77777777" w:rsidR="00F422E5" w:rsidRPr="00EC3E91" w:rsidRDefault="00F422E5" w:rsidP="00C02742">
            <w:pPr>
              <w:rPr>
                <w:sz w:val="20"/>
                <w:szCs w:val="20"/>
                <w:lang w:val="en-US"/>
              </w:rPr>
            </w:pPr>
            <w:r w:rsidRPr="00EC3E91">
              <w:rPr>
                <w:sz w:val="20"/>
                <w:szCs w:val="20"/>
                <w:lang w:val="en-US"/>
              </w:rPr>
              <w:t>Inappropriate PPI prescriptions</w:t>
            </w:r>
          </w:p>
        </w:tc>
        <w:tc>
          <w:tcPr>
            <w:tcW w:w="3970" w:type="dxa"/>
            <w:tcBorders>
              <w:top w:val="single" w:sz="4" w:space="0" w:color="auto"/>
              <w:left w:val="nil"/>
              <w:bottom w:val="single" w:sz="4" w:space="0" w:color="auto"/>
              <w:right w:val="nil"/>
            </w:tcBorders>
            <w:hideMark/>
          </w:tcPr>
          <w:p w14:paraId="1A5DD0CE" w14:textId="21A47EB4" w:rsidR="00F422E5" w:rsidRPr="00EC3E91" w:rsidRDefault="00F422E5" w:rsidP="00C02742">
            <w:pPr>
              <w:rPr>
                <w:sz w:val="20"/>
                <w:szCs w:val="20"/>
                <w:lang w:val="en-US"/>
              </w:rPr>
            </w:pPr>
            <w:r w:rsidRPr="00EC3E91">
              <w:rPr>
                <w:sz w:val="20"/>
                <w:szCs w:val="20"/>
                <w:lang w:val="en-US"/>
              </w:rPr>
              <w:t xml:space="preserve">American </w:t>
            </w:r>
            <w:r w:rsidR="00695823" w:rsidRPr="00EC3E91">
              <w:rPr>
                <w:sz w:val="20"/>
                <w:szCs w:val="20"/>
                <w:lang w:val="en-US"/>
              </w:rPr>
              <w:t>gastroenterological</w:t>
            </w:r>
            <w:r w:rsidRPr="00EC3E91">
              <w:rPr>
                <w:sz w:val="20"/>
                <w:szCs w:val="20"/>
                <w:lang w:val="en-US"/>
              </w:rPr>
              <w:t xml:space="preserve"> association</w:t>
            </w:r>
          </w:p>
        </w:tc>
        <w:tc>
          <w:tcPr>
            <w:tcW w:w="2551" w:type="dxa"/>
            <w:tcBorders>
              <w:top w:val="single" w:sz="4" w:space="0" w:color="auto"/>
              <w:left w:val="nil"/>
              <w:bottom w:val="single" w:sz="4" w:space="0" w:color="auto"/>
              <w:right w:val="nil"/>
            </w:tcBorders>
            <w:hideMark/>
          </w:tcPr>
          <w:p w14:paraId="1C2038CB" w14:textId="77777777" w:rsidR="00F422E5" w:rsidRPr="00EC3E91" w:rsidRDefault="00F422E5" w:rsidP="00C02742">
            <w:pPr>
              <w:rPr>
                <w:sz w:val="20"/>
                <w:szCs w:val="20"/>
                <w:lang w:val="en-US"/>
              </w:rPr>
            </w:pPr>
            <w:r w:rsidRPr="00EC3E91">
              <w:rPr>
                <w:sz w:val="20"/>
                <w:szCs w:val="20"/>
                <w:lang w:val="en-US"/>
              </w:rPr>
              <w:t xml:space="preserve">conduct educational outreach visits, conduct educational meeting </w:t>
            </w:r>
          </w:p>
        </w:tc>
      </w:tr>
      <w:tr w:rsidR="00F422E5" w:rsidRPr="00E119DD" w14:paraId="44AD1006" w14:textId="77777777" w:rsidTr="00F422E5">
        <w:trPr>
          <w:trHeight w:val="2235"/>
        </w:trPr>
        <w:tc>
          <w:tcPr>
            <w:tcW w:w="993" w:type="dxa"/>
            <w:tcBorders>
              <w:top w:val="single" w:sz="4" w:space="0" w:color="auto"/>
              <w:left w:val="nil"/>
              <w:bottom w:val="single" w:sz="4" w:space="0" w:color="auto"/>
              <w:right w:val="nil"/>
            </w:tcBorders>
          </w:tcPr>
          <w:p w14:paraId="0898A4E4" w14:textId="01D0529D" w:rsidR="00F422E5" w:rsidRPr="00EC3E91" w:rsidRDefault="00760D8D" w:rsidP="00C02742">
            <w:pPr>
              <w:rPr>
                <w:sz w:val="20"/>
                <w:szCs w:val="20"/>
                <w:lang w:val="en-US"/>
              </w:rPr>
            </w:pPr>
            <w:r w:rsidRPr="00EC3E91">
              <w:rPr>
                <w:sz w:val="20"/>
                <w:szCs w:val="20"/>
                <w:lang w:val="en-US"/>
              </w:rPr>
              <w:fldChar w:fldCharType="begin" w:fldLock="1"/>
            </w:r>
            <w:r w:rsidR="006A62A1">
              <w:rPr>
                <w:sz w:val="20"/>
                <w:szCs w:val="20"/>
                <w:lang w:val="en-US"/>
              </w:rPr>
              <w:instrText>ADDIN CSL_CITATION {"citationItems":[{"id":"ITEM-1","itemData":{"DOI":"10.1186/s12913-018-3602-z","ISSN":"14726963","PMID":"30326891","abstract":"Background: Problems of irrational antibiotic use by prescribers are ongoing and have escalated following reductions in the cost of essential drugs policy. In an attempt to improve prescribing practices for village doctors and rational use of essential drugs, a program designed to audit and monitor drug use was established. However, the effects of the program to control antibiotic resistance and changing the village doctors' prescribing behaviors remain largely unknown. This study measured the effect of the program on levels of antibiotic use. Method: Data was collected covering a 22-month period, before, during and after the program was implemented in rural clinics. Segmented regression analysis with interrupted time series (ITS) data was used to examine whether there had been a significant interaction with the onset of the program in September 2011 and levels of antibiotic use from November 2010 to August 2012. Both serial and 12-month lag autocorrelations were controlled for. Results: A noticeable drop about 6.15% per month (95% CI: -13.36%; 1.06%, P = 0.089) for the antibiotic use in outpatients, which is lower of effect size assuming that the program has the immediate impact of the program were captured for the immediate effect of the program. Meanwhile, levels of antibiotic use would have continued to decrease by 1.12% per month (P = 0.034) as they did in the absence of the program. Conclusion: The central finding was that the prescription audit and feedback program was associated with significant decreases (P = 0.034) in antibiotic use after its implementation.","author":[{"dropping-particle":"","family":"Zhen","given":"Li","non-dropping-particle":"","parse-names":false,"suffix":""},{"dropping-particle":"","family":"Jin","given":"Chenggang","non-dropping-particle":"","parse-names":false,"suffix":""},{"dropping-particle":"","family":"Xu","given":"Hao Nan","non-dropping-particle":"","parse-names":false,"suffix":""}],"container-title":"BMC Health Services Research","id":"ITEM-1","issue":"1","issued":{"date-parts":[["2018","10","16"]]},"publisher":"BioMed Central Ltd.","title":"The impact of prescriptions audit and feedback for antibiotic use in rural clinics: Interrupted time series with segmented regression analysis 11 Medical and Health Sciences 1117 Public Health and Health Services","type":"article-journal","volume":"18"},"uris":["http://www.mendeley.com/documents/?uuid=97530f8e-59d8-36a3-b384-96865f7a8702"]}],"mendeley":{"formattedCitation":"(309)","plainTextFormattedCitation":"(309)","previouslyFormattedCitation":"(309)"},"properties":{"noteIndex":0},"schema":"https://github.com/citation-style-language/schema/raw/master/csl-citation.json"}</w:instrText>
            </w:r>
            <w:r w:rsidRPr="00EC3E91">
              <w:rPr>
                <w:sz w:val="20"/>
                <w:szCs w:val="20"/>
                <w:lang w:val="en-US"/>
              </w:rPr>
              <w:fldChar w:fldCharType="separate"/>
            </w:r>
            <w:r w:rsidR="003363AA" w:rsidRPr="003363AA">
              <w:rPr>
                <w:noProof/>
                <w:sz w:val="20"/>
                <w:szCs w:val="20"/>
                <w:lang w:val="en-US"/>
              </w:rPr>
              <w:t>(309)</w:t>
            </w:r>
            <w:r w:rsidRPr="00EC3E91">
              <w:rPr>
                <w:sz w:val="20"/>
                <w:szCs w:val="20"/>
                <w:lang w:val="en-US"/>
              </w:rPr>
              <w:fldChar w:fldCharType="end"/>
            </w:r>
          </w:p>
        </w:tc>
        <w:tc>
          <w:tcPr>
            <w:tcW w:w="992" w:type="dxa"/>
            <w:tcBorders>
              <w:top w:val="single" w:sz="4" w:space="0" w:color="auto"/>
              <w:left w:val="nil"/>
              <w:bottom w:val="single" w:sz="4" w:space="0" w:color="auto"/>
              <w:right w:val="nil"/>
            </w:tcBorders>
            <w:hideMark/>
          </w:tcPr>
          <w:p w14:paraId="62FA63FE" w14:textId="77777777" w:rsidR="00F422E5" w:rsidRPr="00EC3E91" w:rsidRDefault="00F422E5" w:rsidP="00C02742">
            <w:pPr>
              <w:rPr>
                <w:sz w:val="20"/>
                <w:szCs w:val="20"/>
                <w:lang w:val="en-US"/>
              </w:rPr>
            </w:pPr>
            <w:r w:rsidRPr="00EC3E91">
              <w:rPr>
                <w:sz w:val="20"/>
                <w:szCs w:val="20"/>
                <w:lang w:val="en-US"/>
              </w:rPr>
              <w:t>China</w:t>
            </w:r>
          </w:p>
        </w:tc>
        <w:tc>
          <w:tcPr>
            <w:tcW w:w="993" w:type="dxa"/>
            <w:tcBorders>
              <w:top w:val="single" w:sz="4" w:space="0" w:color="auto"/>
              <w:left w:val="nil"/>
              <w:bottom w:val="single" w:sz="4" w:space="0" w:color="auto"/>
              <w:right w:val="nil"/>
            </w:tcBorders>
            <w:hideMark/>
          </w:tcPr>
          <w:p w14:paraId="3ADAE4B6" w14:textId="77777777" w:rsidR="00F422E5" w:rsidRPr="00EC3E91" w:rsidRDefault="00F422E5" w:rsidP="00C02742">
            <w:pPr>
              <w:rPr>
                <w:sz w:val="20"/>
                <w:szCs w:val="20"/>
                <w:lang w:val="en-US"/>
              </w:rPr>
            </w:pPr>
            <w:r w:rsidRPr="00EC3E91">
              <w:rPr>
                <w:sz w:val="20"/>
                <w:szCs w:val="20"/>
                <w:lang w:val="en-US"/>
              </w:rPr>
              <w:t>Primary Care</w:t>
            </w:r>
          </w:p>
        </w:tc>
        <w:tc>
          <w:tcPr>
            <w:tcW w:w="850" w:type="dxa"/>
            <w:tcBorders>
              <w:top w:val="single" w:sz="4" w:space="0" w:color="auto"/>
              <w:left w:val="nil"/>
              <w:bottom w:val="single" w:sz="4" w:space="0" w:color="auto"/>
              <w:right w:val="nil"/>
            </w:tcBorders>
          </w:tcPr>
          <w:p w14:paraId="65E403F4" w14:textId="1726A7F5" w:rsidR="00F422E5" w:rsidRPr="00EC3E91" w:rsidRDefault="00F422E5" w:rsidP="00C02742">
            <w:pPr>
              <w:rPr>
                <w:sz w:val="20"/>
                <w:szCs w:val="20"/>
                <w:lang w:val="en-US"/>
              </w:rPr>
            </w:pPr>
            <w:r w:rsidRPr="00EC3E91">
              <w:rPr>
                <w:sz w:val="20"/>
                <w:szCs w:val="20"/>
                <w:lang w:val="en-US"/>
              </w:rPr>
              <w:t>Quant Quasi-experimental</w:t>
            </w:r>
          </w:p>
          <w:p w14:paraId="77789E40" w14:textId="77777777" w:rsidR="00F422E5" w:rsidRPr="00EC3E91" w:rsidRDefault="00F422E5" w:rsidP="00C02742">
            <w:pPr>
              <w:rPr>
                <w:sz w:val="20"/>
                <w:szCs w:val="20"/>
                <w:lang w:val="en-US"/>
              </w:rPr>
            </w:pPr>
          </w:p>
          <w:p w14:paraId="695BF728" w14:textId="77777777" w:rsidR="00F422E5" w:rsidRPr="00EC3E91" w:rsidRDefault="00F422E5" w:rsidP="00C02742">
            <w:pPr>
              <w:rPr>
                <w:sz w:val="20"/>
                <w:szCs w:val="20"/>
                <w:lang w:val="en-US"/>
              </w:rPr>
            </w:pPr>
          </w:p>
          <w:p w14:paraId="0825A7C1" w14:textId="77777777" w:rsidR="00F422E5" w:rsidRPr="00EC3E91" w:rsidRDefault="00F422E5" w:rsidP="00C02742">
            <w:pPr>
              <w:rPr>
                <w:sz w:val="20"/>
                <w:szCs w:val="20"/>
                <w:lang w:val="en-US"/>
              </w:rPr>
            </w:pPr>
          </w:p>
          <w:p w14:paraId="27A15202" w14:textId="77777777" w:rsidR="00F422E5" w:rsidRPr="00EC3E91" w:rsidRDefault="00F422E5" w:rsidP="00C02742">
            <w:pPr>
              <w:rPr>
                <w:sz w:val="20"/>
                <w:szCs w:val="20"/>
                <w:lang w:val="en-US"/>
              </w:rPr>
            </w:pPr>
          </w:p>
        </w:tc>
        <w:tc>
          <w:tcPr>
            <w:tcW w:w="851" w:type="dxa"/>
            <w:tcBorders>
              <w:top w:val="single" w:sz="4" w:space="0" w:color="auto"/>
              <w:left w:val="nil"/>
              <w:bottom w:val="single" w:sz="4" w:space="0" w:color="auto"/>
              <w:right w:val="nil"/>
            </w:tcBorders>
            <w:hideMark/>
          </w:tcPr>
          <w:p w14:paraId="72D3E7B9" w14:textId="77777777" w:rsidR="00F422E5" w:rsidRPr="00EC3E91" w:rsidRDefault="00F422E5" w:rsidP="00C02742">
            <w:pPr>
              <w:rPr>
                <w:sz w:val="20"/>
                <w:szCs w:val="20"/>
                <w:lang w:val="en-US"/>
              </w:rPr>
            </w:pPr>
            <w:r w:rsidRPr="00EC3E91">
              <w:rPr>
                <w:sz w:val="20"/>
                <w:szCs w:val="20"/>
                <w:lang w:val="en-US"/>
              </w:rPr>
              <w:t>Efficacy/Effectiveness</w:t>
            </w:r>
          </w:p>
        </w:tc>
        <w:tc>
          <w:tcPr>
            <w:tcW w:w="1134" w:type="dxa"/>
            <w:tcBorders>
              <w:top w:val="single" w:sz="4" w:space="0" w:color="auto"/>
              <w:left w:val="nil"/>
              <w:bottom w:val="single" w:sz="4" w:space="0" w:color="auto"/>
              <w:right w:val="nil"/>
            </w:tcBorders>
            <w:hideMark/>
          </w:tcPr>
          <w:p w14:paraId="466D8B9C" w14:textId="77777777" w:rsidR="00F422E5" w:rsidRPr="00EC3E91" w:rsidRDefault="00F422E5" w:rsidP="00C02742">
            <w:pPr>
              <w:rPr>
                <w:sz w:val="20"/>
                <w:szCs w:val="20"/>
                <w:lang w:val="en-US"/>
              </w:rPr>
            </w:pPr>
            <w:r w:rsidRPr="00EC3E91">
              <w:rPr>
                <w:sz w:val="20"/>
                <w:szCs w:val="20"/>
                <w:lang w:val="en-US"/>
              </w:rPr>
              <w:t>Antibiotics</w:t>
            </w:r>
          </w:p>
        </w:tc>
        <w:tc>
          <w:tcPr>
            <w:tcW w:w="2126" w:type="dxa"/>
            <w:tcBorders>
              <w:top w:val="single" w:sz="4" w:space="0" w:color="auto"/>
              <w:left w:val="nil"/>
              <w:bottom w:val="single" w:sz="4" w:space="0" w:color="auto"/>
              <w:right w:val="nil"/>
            </w:tcBorders>
            <w:hideMark/>
          </w:tcPr>
          <w:p w14:paraId="7391AC9F" w14:textId="77777777" w:rsidR="00F422E5" w:rsidRPr="00EC3E91" w:rsidRDefault="00F422E5" w:rsidP="00C02742">
            <w:pPr>
              <w:rPr>
                <w:sz w:val="20"/>
                <w:szCs w:val="20"/>
                <w:lang w:val="en-US"/>
              </w:rPr>
            </w:pPr>
            <w:r w:rsidRPr="00EC3E91">
              <w:rPr>
                <w:sz w:val="20"/>
                <w:szCs w:val="20"/>
                <w:lang w:val="en-US"/>
              </w:rPr>
              <w:t>Inappropriate prescribing of antibiotics</w:t>
            </w:r>
          </w:p>
        </w:tc>
        <w:tc>
          <w:tcPr>
            <w:tcW w:w="3970" w:type="dxa"/>
            <w:tcBorders>
              <w:top w:val="single" w:sz="4" w:space="0" w:color="auto"/>
              <w:left w:val="nil"/>
              <w:bottom w:val="single" w:sz="4" w:space="0" w:color="auto"/>
              <w:right w:val="nil"/>
            </w:tcBorders>
            <w:hideMark/>
          </w:tcPr>
          <w:p w14:paraId="36983E82" w14:textId="77777777" w:rsidR="00F422E5" w:rsidRPr="00EC3E91" w:rsidRDefault="00F422E5" w:rsidP="00C02742">
            <w:pPr>
              <w:rPr>
                <w:sz w:val="20"/>
                <w:szCs w:val="20"/>
                <w:lang w:val="en-US"/>
              </w:rPr>
            </w:pPr>
            <w:r w:rsidRPr="00EC3E91">
              <w:rPr>
                <w:sz w:val="20"/>
                <w:szCs w:val="20"/>
                <w:lang w:val="en-US"/>
              </w:rPr>
              <w:t>World Health Organization (WHO). How to investigate drug use in health facilities. Selected drug use indicators.</w:t>
            </w:r>
          </w:p>
        </w:tc>
        <w:tc>
          <w:tcPr>
            <w:tcW w:w="2551" w:type="dxa"/>
            <w:tcBorders>
              <w:top w:val="single" w:sz="4" w:space="0" w:color="auto"/>
              <w:left w:val="nil"/>
              <w:bottom w:val="single" w:sz="4" w:space="0" w:color="auto"/>
              <w:right w:val="nil"/>
            </w:tcBorders>
            <w:hideMark/>
          </w:tcPr>
          <w:p w14:paraId="09A2C6B0" w14:textId="77777777" w:rsidR="00F422E5" w:rsidRPr="00EC3E91" w:rsidRDefault="00F422E5" w:rsidP="00C02742">
            <w:pPr>
              <w:rPr>
                <w:sz w:val="20"/>
                <w:szCs w:val="20"/>
                <w:lang w:val="en-US"/>
              </w:rPr>
            </w:pPr>
            <w:r w:rsidRPr="00EC3E91">
              <w:rPr>
                <w:sz w:val="20"/>
                <w:szCs w:val="20"/>
                <w:lang w:val="en-US"/>
              </w:rPr>
              <w:t xml:space="preserve">audit and provide feedback, conduct educational outreach visits </w:t>
            </w:r>
          </w:p>
        </w:tc>
      </w:tr>
      <w:tr w:rsidR="006A62A1" w:rsidRPr="0050039F" w14:paraId="4C55D8F8" w14:textId="77777777" w:rsidTr="00F422E5">
        <w:trPr>
          <w:trHeight w:val="2235"/>
        </w:trPr>
        <w:tc>
          <w:tcPr>
            <w:tcW w:w="993" w:type="dxa"/>
            <w:tcBorders>
              <w:top w:val="single" w:sz="4" w:space="0" w:color="auto"/>
              <w:left w:val="nil"/>
              <w:bottom w:val="single" w:sz="4" w:space="0" w:color="auto"/>
              <w:right w:val="nil"/>
            </w:tcBorders>
          </w:tcPr>
          <w:p w14:paraId="632F82F9" w14:textId="1F41EC40" w:rsidR="006A62A1" w:rsidRPr="00EC3E91" w:rsidRDefault="006A62A1" w:rsidP="00C02742">
            <w:pPr>
              <w:rPr>
                <w:sz w:val="20"/>
                <w:szCs w:val="20"/>
                <w:lang w:val="en-US"/>
              </w:rPr>
            </w:pPr>
            <w:r>
              <w:rPr>
                <w:sz w:val="20"/>
                <w:szCs w:val="20"/>
                <w:lang w:val="en-US"/>
              </w:rPr>
              <w:lastRenderedPageBreak/>
              <w:fldChar w:fldCharType="begin" w:fldLock="1"/>
            </w:r>
            <w:r w:rsidR="0050039F">
              <w:rPr>
                <w:sz w:val="20"/>
                <w:szCs w:val="20"/>
                <w:lang w:val="en-US"/>
              </w:rPr>
              <w:instrText>ADDIN CSL_CITATION {"citationItems":[{"id":"ITEM-1","itemData":{"DOI":"https://doi.org/10.12788/jhm.3129","ISSN":"1553-5592","abstract":"BACKGROUND Choosing Wisely? is a national initiative to deimplement or reduce low-value care. However, there is limited evidence on the effectiveness of strategies to influence ordering patterns. OBJECTIVE We aimed to describe the effectiveness of an intervention to reduce daily chest X-ray (CXR) ordering in two intensive care units (ICUs) and evaluate deimplementation strategies. DESIGN We conducted a prospective, nonrandomized study with control data from a historical period. Qualitative evaluation was guided by the Consolidated Framework for Implementation Research. SETTING The study was performed in the medical intensive care unit (MICU) and cardiovascular intensive care unit (CVICU) of an academic medical center in the United States from October 2015 to June 2016. PARTICIPANTS The initiative included the staff of the MICU and CVICU (physicians, surgeons, nurse practitioners, fellows, residents, medical students, and X-ray technologists). INTERVENTION COMPONENTS We utilized provider education, peer champions, and weekly data feedback of CXR ordering rates. MEASUREMENTS We analyzed the CXR ordering rates and factors facilitating or inhibiting deimplementation. RESULTS Segmented linear time-series analysis suggested a small but statistically significant decrease in CXR ordering rates in the CVICU (P &lt; .001) but not in the MICU. Facilitators of deimplementation, which were more prominent in the CVICU, included engagement of peer champions, stable staffing, and regular data feedback. Barriers included the need to establish goal CXR ordering rates, insufficient intervention visibility, and waning investment among medical residents in the MICU due to frequent rotation and competing priorities. CONCLUSIONS Intervention modestly reduced CXRs ordered in one of two ICUs evaluated. Understanding why adoption differed between the two units may inform future interventions to deimplement low-value diagnostic tests.","author":[{"dropping-particle":"","family":"Trumbo","given":"Silas P","non-dropping-particle":"","parse-names":false,"suffix":""},{"dropping-particle":"","family":"Iams","given":"Wade T","non-dropping-particle":"","parse-names":false,"suffix":""},{"dropping-particle":"","family":"Limper","given":"Heather M","non-dropping-particle":"","parse-names":false,"suffix":""},{"dropping-particle":"","family":"Goggins","given":"Kathryn","non-dropping-particle":"","parse-names":false,"suffix":""},{"dropping-particle":"","family":"Gibson","given":"Jayme","non-dropping-particle":"","parse-names":false,"suffix":""},{"dropping-particle":"","family":"Oliver","given":"Lauren","non-dropping-particle":"","parse-names":false,"suffix":""},{"dropping-particle":"","family":"Leverenz","given":"David L","non-dropping-particle":"","parse-names":false,"suffix":""},{"dropping-particle":"","family":"Samuels","given":"Lauren R","non-dropping-particle":"","parse-names":false,"suffix":""},{"dropping-particle":"","family":"Brady","given":"Donald W","non-dropping-particle":"","parse-names":false,"suffix":""},{"dropping-particle":"","family":"Kripalani","given":"Sunil","non-dropping-particle":"","parse-names":false,"suffix":""}],"container-title":"Journal of Hospital Medicine","id":"ITEM-1","issue":"2","issued":{"date-parts":[["2019","2","1"]]},"page":"83-89","publisher":"John Wiley &amp; Sons, Ltd","title":"Deimplementation of Routine Chest X-rays in Adult Intensive Care Units","type":"article-journal","volume":"14"},"uris":["http://www.mendeley.com/documents/?uuid=c986b270-db1d-3562-b7ae-8e5f385b0906"]}],"mendeley":{"formattedCitation":"(310)","plainTextFormattedCitation":"(310)","previouslyFormattedCitation":"(310)"},"properties":{"noteIndex":0},"schema":"https://github.com/citation-style-language/schema/raw/master/csl-citation.json"}</w:instrText>
            </w:r>
            <w:r>
              <w:rPr>
                <w:sz w:val="20"/>
                <w:szCs w:val="20"/>
                <w:lang w:val="en-US"/>
              </w:rPr>
              <w:fldChar w:fldCharType="separate"/>
            </w:r>
            <w:r w:rsidRPr="006A62A1">
              <w:rPr>
                <w:noProof/>
                <w:sz w:val="20"/>
                <w:szCs w:val="20"/>
                <w:lang w:val="en-US"/>
              </w:rPr>
              <w:t>(310)</w:t>
            </w:r>
            <w:r>
              <w:rPr>
                <w:sz w:val="20"/>
                <w:szCs w:val="20"/>
                <w:lang w:val="en-US"/>
              </w:rPr>
              <w:fldChar w:fldCharType="end"/>
            </w:r>
          </w:p>
        </w:tc>
        <w:tc>
          <w:tcPr>
            <w:tcW w:w="992" w:type="dxa"/>
            <w:tcBorders>
              <w:top w:val="single" w:sz="4" w:space="0" w:color="auto"/>
              <w:left w:val="nil"/>
              <w:bottom w:val="single" w:sz="4" w:space="0" w:color="auto"/>
              <w:right w:val="nil"/>
            </w:tcBorders>
          </w:tcPr>
          <w:p w14:paraId="30C081AB" w14:textId="21E5DBF6" w:rsidR="006A62A1" w:rsidRPr="00EC3E91" w:rsidRDefault="0083047C" w:rsidP="00C02742">
            <w:pPr>
              <w:rPr>
                <w:sz w:val="20"/>
                <w:szCs w:val="20"/>
                <w:lang w:val="en-US"/>
              </w:rPr>
            </w:pPr>
            <w:r>
              <w:rPr>
                <w:sz w:val="20"/>
                <w:szCs w:val="20"/>
                <w:lang w:val="en-US"/>
              </w:rPr>
              <w:t>USA</w:t>
            </w:r>
          </w:p>
        </w:tc>
        <w:tc>
          <w:tcPr>
            <w:tcW w:w="993" w:type="dxa"/>
            <w:tcBorders>
              <w:top w:val="single" w:sz="4" w:space="0" w:color="auto"/>
              <w:left w:val="nil"/>
              <w:bottom w:val="single" w:sz="4" w:space="0" w:color="auto"/>
              <w:right w:val="nil"/>
            </w:tcBorders>
          </w:tcPr>
          <w:p w14:paraId="643B5695" w14:textId="14075670" w:rsidR="006A62A1" w:rsidRPr="00EC3E91" w:rsidRDefault="0083047C" w:rsidP="00C02742">
            <w:pPr>
              <w:rPr>
                <w:sz w:val="20"/>
                <w:szCs w:val="20"/>
                <w:lang w:val="en-US"/>
              </w:rPr>
            </w:pPr>
            <w:r>
              <w:rPr>
                <w:sz w:val="20"/>
                <w:szCs w:val="20"/>
                <w:lang w:val="en-US"/>
              </w:rPr>
              <w:t>Hospital</w:t>
            </w:r>
          </w:p>
        </w:tc>
        <w:tc>
          <w:tcPr>
            <w:tcW w:w="850" w:type="dxa"/>
            <w:tcBorders>
              <w:top w:val="single" w:sz="4" w:space="0" w:color="auto"/>
              <w:left w:val="nil"/>
              <w:bottom w:val="single" w:sz="4" w:space="0" w:color="auto"/>
              <w:right w:val="nil"/>
            </w:tcBorders>
          </w:tcPr>
          <w:p w14:paraId="53758DAF" w14:textId="1397EDCF" w:rsidR="006A62A1" w:rsidRPr="00EC3E91" w:rsidRDefault="0083047C" w:rsidP="00C02742">
            <w:pPr>
              <w:rPr>
                <w:sz w:val="20"/>
                <w:szCs w:val="20"/>
                <w:lang w:val="en-US"/>
              </w:rPr>
            </w:pPr>
            <w:r>
              <w:rPr>
                <w:sz w:val="20"/>
                <w:szCs w:val="20"/>
                <w:lang w:val="en-US"/>
              </w:rPr>
              <w:t xml:space="preserve">Mixed Quasi-experimental </w:t>
            </w:r>
          </w:p>
        </w:tc>
        <w:tc>
          <w:tcPr>
            <w:tcW w:w="851" w:type="dxa"/>
            <w:tcBorders>
              <w:top w:val="single" w:sz="4" w:space="0" w:color="auto"/>
              <w:left w:val="nil"/>
              <w:bottom w:val="single" w:sz="4" w:space="0" w:color="auto"/>
              <w:right w:val="nil"/>
            </w:tcBorders>
          </w:tcPr>
          <w:p w14:paraId="5FC96091" w14:textId="0E9889BB" w:rsidR="006A62A1" w:rsidRPr="00EC3E91" w:rsidRDefault="00A15E65" w:rsidP="00C02742">
            <w:pPr>
              <w:rPr>
                <w:sz w:val="20"/>
                <w:szCs w:val="20"/>
                <w:lang w:val="en-US"/>
              </w:rPr>
            </w:pPr>
            <w:r>
              <w:rPr>
                <w:sz w:val="20"/>
                <w:szCs w:val="20"/>
                <w:lang w:val="en-US"/>
              </w:rPr>
              <w:t xml:space="preserve">Efficacy/Effectiveness </w:t>
            </w:r>
          </w:p>
        </w:tc>
        <w:tc>
          <w:tcPr>
            <w:tcW w:w="1134" w:type="dxa"/>
            <w:tcBorders>
              <w:top w:val="single" w:sz="4" w:space="0" w:color="auto"/>
              <w:left w:val="nil"/>
              <w:bottom w:val="single" w:sz="4" w:space="0" w:color="auto"/>
              <w:right w:val="nil"/>
            </w:tcBorders>
          </w:tcPr>
          <w:p w14:paraId="4B8A8D64" w14:textId="37BBB435" w:rsidR="006A62A1" w:rsidRPr="00EC3E91" w:rsidRDefault="00A15E65" w:rsidP="00C02742">
            <w:pPr>
              <w:rPr>
                <w:sz w:val="20"/>
                <w:szCs w:val="20"/>
                <w:lang w:val="en-US"/>
              </w:rPr>
            </w:pPr>
            <w:r>
              <w:rPr>
                <w:sz w:val="20"/>
                <w:szCs w:val="20"/>
                <w:lang w:val="en-US"/>
              </w:rPr>
              <w:t>Imaging</w:t>
            </w:r>
          </w:p>
        </w:tc>
        <w:tc>
          <w:tcPr>
            <w:tcW w:w="2126" w:type="dxa"/>
            <w:tcBorders>
              <w:top w:val="single" w:sz="4" w:space="0" w:color="auto"/>
              <w:left w:val="nil"/>
              <w:bottom w:val="single" w:sz="4" w:space="0" w:color="auto"/>
              <w:right w:val="nil"/>
            </w:tcBorders>
          </w:tcPr>
          <w:p w14:paraId="1D5F12B1" w14:textId="02ECFCEC" w:rsidR="006A62A1" w:rsidRPr="00EC3E91" w:rsidRDefault="00A15E65" w:rsidP="00C02742">
            <w:pPr>
              <w:rPr>
                <w:sz w:val="20"/>
                <w:szCs w:val="20"/>
                <w:lang w:val="en-US"/>
              </w:rPr>
            </w:pPr>
            <w:r>
              <w:rPr>
                <w:sz w:val="20"/>
                <w:szCs w:val="20"/>
                <w:lang w:val="en-US"/>
              </w:rPr>
              <w:t>CXR ordering</w:t>
            </w:r>
          </w:p>
        </w:tc>
        <w:tc>
          <w:tcPr>
            <w:tcW w:w="3970" w:type="dxa"/>
            <w:tcBorders>
              <w:top w:val="single" w:sz="4" w:space="0" w:color="auto"/>
              <w:left w:val="nil"/>
              <w:bottom w:val="single" w:sz="4" w:space="0" w:color="auto"/>
              <w:right w:val="nil"/>
            </w:tcBorders>
          </w:tcPr>
          <w:p w14:paraId="67413513" w14:textId="77777777" w:rsidR="005E4FA0" w:rsidRPr="005E4FA0" w:rsidRDefault="005E4FA0" w:rsidP="005E4FA0">
            <w:pPr>
              <w:rPr>
                <w:sz w:val="20"/>
                <w:szCs w:val="20"/>
                <w:lang w:val="en-US"/>
              </w:rPr>
            </w:pPr>
            <w:r w:rsidRPr="005E4FA0">
              <w:rPr>
                <w:sz w:val="20"/>
                <w:szCs w:val="20"/>
                <w:lang w:val="en-US"/>
              </w:rPr>
              <w:t xml:space="preserve">An official American Thoracic Society/American Association of Critical-Care Nurses/American College of Chest Physicians/Society of Critical Care Medicine policy statement: the Choosing Wisely® top 5 list in critical care medicine. </w:t>
            </w:r>
          </w:p>
          <w:p w14:paraId="4B9DFC82" w14:textId="77777777" w:rsidR="005E4FA0" w:rsidRPr="005E4FA0" w:rsidRDefault="005E4FA0" w:rsidP="005E4FA0">
            <w:pPr>
              <w:rPr>
                <w:sz w:val="20"/>
                <w:szCs w:val="20"/>
                <w:lang w:val="en-US"/>
              </w:rPr>
            </w:pPr>
          </w:p>
          <w:p w14:paraId="635CD036" w14:textId="06ECE291" w:rsidR="006A62A1" w:rsidRPr="00EC3E91" w:rsidRDefault="005E4FA0" w:rsidP="005E4FA0">
            <w:pPr>
              <w:rPr>
                <w:sz w:val="20"/>
                <w:szCs w:val="20"/>
                <w:lang w:val="en-US"/>
              </w:rPr>
            </w:pPr>
            <w:r w:rsidRPr="005E4FA0">
              <w:rPr>
                <w:sz w:val="20"/>
                <w:szCs w:val="20"/>
                <w:lang w:val="en-US"/>
              </w:rPr>
              <w:t>McComb BL, Chung JH, Crabtree TD, et al. ACR appropriateness criteria® routine chest radiography.</w:t>
            </w:r>
          </w:p>
        </w:tc>
        <w:tc>
          <w:tcPr>
            <w:tcW w:w="2551" w:type="dxa"/>
            <w:tcBorders>
              <w:top w:val="single" w:sz="4" w:space="0" w:color="auto"/>
              <w:left w:val="nil"/>
              <w:bottom w:val="single" w:sz="4" w:space="0" w:color="auto"/>
              <w:right w:val="nil"/>
            </w:tcBorders>
          </w:tcPr>
          <w:p w14:paraId="7AACA57E" w14:textId="2E7DEA7E" w:rsidR="006A62A1" w:rsidRPr="00EC3E91" w:rsidRDefault="005E4FA0" w:rsidP="00C02742">
            <w:pPr>
              <w:rPr>
                <w:sz w:val="20"/>
                <w:szCs w:val="20"/>
                <w:lang w:val="en-US"/>
              </w:rPr>
            </w:pPr>
            <w:r w:rsidRPr="005E4FA0">
              <w:rPr>
                <w:sz w:val="20"/>
                <w:szCs w:val="20"/>
                <w:lang w:val="en-US"/>
              </w:rPr>
              <w:t>conduct educational meeting, audit and provide feedback, develop educational materials, Use advisory boards and workgroups</w:t>
            </w:r>
            <w:r w:rsidR="008C5C14">
              <w:rPr>
                <w:sz w:val="20"/>
                <w:szCs w:val="20"/>
                <w:lang w:val="en-US"/>
              </w:rPr>
              <w:t xml:space="preserve">. </w:t>
            </w:r>
            <w:r w:rsidR="008C5C14">
              <w:rPr>
                <w:lang w:val="en-US"/>
              </w:rPr>
              <w:t>C</w:t>
            </w:r>
            <w:r w:rsidR="008C5C14" w:rsidRPr="008C5C14">
              <w:rPr>
                <w:sz w:val="20"/>
                <w:szCs w:val="20"/>
                <w:lang w:val="en-US"/>
              </w:rPr>
              <w:t xml:space="preserve">onduct cyclical small tests of change, </w:t>
            </w:r>
            <w:r w:rsidR="008C5C14">
              <w:rPr>
                <w:sz w:val="20"/>
                <w:szCs w:val="20"/>
                <w:lang w:val="en-US"/>
              </w:rPr>
              <w:t>a</w:t>
            </w:r>
            <w:r w:rsidR="008C5C14" w:rsidRPr="008C5C14">
              <w:rPr>
                <w:sz w:val="20"/>
                <w:szCs w:val="20"/>
                <w:lang w:val="en-US"/>
              </w:rPr>
              <w:t>ssess readiness and identify barriers and facilitators</w:t>
            </w:r>
          </w:p>
        </w:tc>
      </w:tr>
    </w:tbl>
    <w:p w14:paraId="1331A05B" w14:textId="704248D3" w:rsidR="00D56C0C" w:rsidRPr="00EC3E91" w:rsidRDefault="00D56C0C">
      <w:pPr>
        <w:rPr>
          <w:lang w:val="en-US"/>
        </w:rPr>
      </w:pPr>
    </w:p>
    <w:p w14:paraId="4E4C70BD" w14:textId="439CEAD9" w:rsidR="0022134C" w:rsidRPr="00EC3E91" w:rsidRDefault="0022134C" w:rsidP="0022134C">
      <w:pPr>
        <w:spacing w:after="0" w:line="240" w:lineRule="auto"/>
        <w:rPr>
          <w:rFonts w:ascii="Times New Roman" w:hAnsi="Times New Roman" w:cs="Times New Roman"/>
          <w:sz w:val="24"/>
          <w:szCs w:val="24"/>
          <w:lang w:val="en-US" w:eastAsia="sv-SE"/>
        </w:rPr>
      </w:pPr>
      <w:r w:rsidRPr="00EC3E91">
        <w:rPr>
          <w:rFonts w:cstheme="minorHAnsi"/>
          <w:sz w:val="20"/>
          <w:szCs w:val="20"/>
          <w:vertAlign w:val="superscript"/>
          <w:lang w:val="en-US"/>
        </w:rPr>
        <w:t>1</w:t>
      </w:r>
      <w:r w:rsidRPr="00EC3E91">
        <w:rPr>
          <w:rFonts w:cstheme="minorHAnsi"/>
          <w:sz w:val="20"/>
          <w:szCs w:val="20"/>
          <w:lang w:val="en-US"/>
        </w:rPr>
        <w:t xml:space="preserve">Includes Bronchodilators (n=4), Opioids (n=4), Antimalarials (n=4), </w:t>
      </w:r>
      <w:r w:rsidR="00740A75" w:rsidRPr="00EC3E91">
        <w:rPr>
          <w:rFonts w:cstheme="minorHAnsi"/>
          <w:sz w:val="20"/>
          <w:szCs w:val="20"/>
          <w:lang w:val="en-US"/>
        </w:rPr>
        <w:t>Benzodiazepines</w:t>
      </w:r>
      <w:r w:rsidRPr="00EC3E91">
        <w:rPr>
          <w:rFonts w:cstheme="minorHAnsi"/>
          <w:sz w:val="20"/>
          <w:szCs w:val="20"/>
          <w:lang w:val="en-US"/>
        </w:rPr>
        <w:t xml:space="preserve"> (n=3), Physical restraint (n=2), Echocardiography (n=2), Screening (n=2), Albumin (n=2), Antifungals (n=2), Sedatives (n=2), Corticosteroids (n=2), NSAIDs (n=2), Antihypertensives (n=1), SMBG (n=1), Antiplatelet therapy (n=1), Catheters (n=1), ANA (n=1), Colonoscopy (n=1), COXIB (n=1), Pulse </w:t>
      </w:r>
      <w:r w:rsidR="005B4949" w:rsidRPr="00EC3E91">
        <w:rPr>
          <w:rFonts w:cstheme="minorHAnsi"/>
          <w:sz w:val="20"/>
          <w:szCs w:val="20"/>
          <w:lang w:val="en-US"/>
        </w:rPr>
        <w:t>oximetry</w:t>
      </w:r>
      <w:r w:rsidRPr="00EC3E91">
        <w:rPr>
          <w:rFonts w:cstheme="minorHAnsi"/>
          <w:sz w:val="20"/>
          <w:szCs w:val="20"/>
          <w:lang w:val="en-US"/>
        </w:rPr>
        <w:t xml:space="preserve"> (n=1), Erythropoiesis-stimulating agents (ESAs) (n=1), Antithrombotic agents (n=1), Z drugs (n=1), Domperidone (n=1), Cardiac testing (n=1), Complete blood counts (CBCs) (n=1), Electrocardiograms (EKGs) (n=1), Mirabegron (n=1), Telemetry (n=1)</w:t>
      </w:r>
      <w:r w:rsidRPr="00EC3E91">
        <w:rPr>
          <w:rFonts w:cstheme="minorHAnsi"/>
          <w:sz w:val="20"/>
          <w:szCs w:val="20"/>
          <w:lang w:val="en-US"/>
        </w:rPr>
        <w:br/>
      </w:r>
      <w:r w:rsidRPr="00EC3E91">
        <w:rPr>
          <w:rFonts w:cstheme="minorHAnsi"/>
          <w:sz w:val="20"/>
          <w:szCs w:val="20"/>
          <w:vertAlign w:val="superscript"/>
          <w:lang w:val="en-US"/>
        </w:rPr>
        <w:t>2</w:t>
      </w:r>
      <w:r w:rsidRPr="00EC3E91">
        <w:rPr>
          <w:rFonts w:cstheme="minorHAnsi"/>
          <w:sz w:val="20"/>
          <w:szCs w:val="20"/>
          <w:lang w:val="en-US"/>
        </w:rPr>
        <w:t xml:space="preserve">Includes Stress ulcer prophylaxis (n=5), Proton pump inhibitors (n=1) </w:t>
      </w:r>
    </w:p>
    <w:p w14:paraId="39F0BF23" w14:textId="77777777" w:rsidR="0022134C" w:rsidRPr="00EC3E91" w:rsidRDefault="0022134C">
      <w:pPr>
        <w:rPr>
          <w:lang w:val="en-US"/>
        </w:rPr>
      </w:pPr>
    </w:p>
    <w:p w14:paraId="0A2DC99A" w14:textId="57B4A071" w:rsidR="00F5474B" w:rsidRPr="00F5474B" w:rsidRDefault="006D21DE" w:rsidP="00F5474B">
      <w:pPr>
        <w:widowControl w:val="0"/>
        <w:autoSpaceDE w:val="0"/>
        <w:autoSpaceDN w:val="0"/>
        <w:adjustRightInd w:val="0"/>
        <w:spacing w:line="240" w:lineRule="auto"/>
        <w:ind w:left="640" w:hanging="640"/>
        <w:rPr>
          <w:rFonts w:ascii="Calibri" w:hAnsi="Calibri" w:cs="Calibri"/>
          <w:noProof/>
          <w:szCs w:val="24"/>
        </w:rPr>
      </w:pPr>
      <w:r w:rsidRPr="00EC3E91">
        <w:rPr>
          <w:lang w:val="en-US"/>
        </w:rPr>
        <w:fldChar w:fldCharType="begin" w:fldLock="1"/>
      </w:r>
      <w:r w:rsidRPr="00EC3E91">
        <w:rPr>
          <w:lang w:val="en-US"/>
        </w:rPr>
        <w:instrText xml:space="preserve">ADDIN Mendeley Bibliography CSL_BIBLIOGRAPHY </w:instrText>
      </w:r>
      <w:r w:rsidRPr="00EC3E91">
        <w:rPr>
          <w:lang w:val="en-US"/>
        </w:rPr>
        <w:fldChar w:fldCharType="separate"/>
      </w:r>
      <w:r w:rsidR="00F5474B" w:rsidRPr="00F5474B">
        <w:rPr>
          <w:rFonts w:ascii="Calibri" w:hAnsi="Calibri" w:cs="Calibri"/>
          <w:noProof/>
          <w:szCs w:val="24"/>
        </w:rPr>
        <w:t xml:space="preserve">1. </w:t>
      </w:r>
      <w:r w:rsidR="00F5474B" w:rsidRPr="00F5474B">
        <w:rPr>
          <w:rFonts w:ascii="Calibri" w:hAnsi="Calibri" w:cs="Calibri"/>
          <w:noProof/>
          <w:szCs w:val="24"/>
        </w:rPr>
        <w:tab/>
        <w:t xml:space="preserve">Ip IK, Gershanik EF, Schneider LI, Raja AS, Mar W, Seltzer S, et al. Impact of IT-enabled intervention on MRI use for back pain. Am J Med. 2014;127(6):512-518.e1. </w:t>
      </w:r>
    </w:p>
    <w:p w14:paraId="199BDE8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 </w:t>
      </w:r>
      <w:r w:rsidRPr="00F5474B">
        <w:rPr>
          <w:rFonts w:ascii="Calibri" w:hAnsi="Calibri" w:cs="Calibri"/>
          <w:noProof/>
          <w:szCs w:val="24"/>
        </w:rPr>
        <w:tab/>
        <w:t xml:space="preserve">Iyengar K, Jain M, Thomas S, Dashora K, Liu W, Saini P, et al. Adherence to evidence based care practices for childbirth before and after a quality improvement intervention in health facilities of Rajasthan, India. BMC Pregnancy Childbirth. 2014;14:270. </w:t>
      </w:r>
    </w:p>
    <w:p w14:paraId="0BB5BD9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 </w:t>
      </w:r>
      <w:r w:rsidRPr="00F5474B">
        <w:rPr>
          <w:rFonts w:ascii="Calibri" w:hAnsi="Calibri" w:cs="Calibri"/>
          <w:noProof/>
          <w:szCs w:val="24"/>
        </w:rPr>
        <w:tab/>
        <w:t xml:space="preserve">Nausheen S, Hammad R, Khan A. Rational use of antibiotics--a quality improvement initiative in hospital setting. JPMA - J Pakistan Med Assoc. 2013;63(1):60–4. </w:t>
      </w:r>
    </w:p>
    <w:p w14:paraId="5637E33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 </w:t>
      </w:r>
      <w:r w:rsidRPr="00F5474B">
        <w:rPr>
          <w:rFonts w:ascii="Calibri" w:hAnsi="Calibri" w:cs="Calibri"/>
          <w:noProof/>
          <w:szCs w:val="24"/>
        </w:rPr>
        <w:tab/>
        <w:t xml:space="preserve">Meeker D, Linder JA, Fox CR, Friedberg MW, Persell SD, Goldstein NJ, et al. Effect of Behavioral Interventions on Inappropriate Antibiotic Prescribing Among Primary Care Practices: A Randomized Clinical Trial. JAMA. 2016;315(6):562–70. </w:t>
      </w:r>
    </w:p>
    <w:p w14:paraId="39146AC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 </w:t>
      </w:r>
      <w:r w:rsidRPr="00F5474B">
        <w:rPr>
          <w:rFonts w:ascii="Calibri" w:hAnsi="Calibri" w:cs="Calibri"/>
          <w:noProof/>
          <w:szCs w:val="24"/>
        </w:rPr>
        <w:tab/>
        <w:t xml:space="preserve">Alagiakrishnan K, Wilson P, Sadowski CA, Rolfson D, Ballermann M, Ausford A, et al. Physicians’ use of computerized clinical decision supports to improve medication management in the elderly – The Seniors Medication Alert and Review Technology intervention. Clin Interv Aging. 2016;11:73–81. </w:t>
      </w:r>
    </w:p>
    <w:p w14:paraId="5F513E2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 </w:t>
      </w:r>
      <w:r w:rsidRPr="00F5474B">
        <w:rPr>
          <w:rFonts w:ascii="Calibri" w:hAnsi="Calibri" w:cs="Calibri"/>
          <w:noProof/>
          <w:szCs w:val="24"/>
        </w:rPr>
        <w:tab/>
        <w:t xml:space="preserve">Andrew MK, Purcell CA, Marshall EG, Varatharasan N, Clarke B, Bowles SK. Polypharmacy and use of potentially inappropriate medications in long-term care facilities: does coordinated primary care make a difference? Int J Pharm Pract. 2018 Aug 1;26(4):318–24. </w:t>
      </w:r>
    </w:p>
    <w:p w14:paraId="4ACAC45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7. </w:t>
      </w:r>
      <w:r w:rsidRPr="00F5474B">
        <w:rPr>
          <w:rFonts w:ascii="Calibri" w:hAnsi="Calibri" w:cs="Calibri"/>
          <w:noProof/>
          <w:szCs w:val="24"/>
        </w:rPr>
        <w:tab/>
        <w:t xml:space="preserve">Cooper DL, Titler M, Struble L, Redman R. A multifaceted, evidence-based program to reduce inappropriate antibiotic treatment of suspected urinary tract infections. Ann Long-Term Care. 2017;25(2):36–43. </w:t>
      </w:r>
    </w:p>
    <w:p w14:paraId="5FDB642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 </w:t>
      </w:r>
      <w:r w:rsidRPr="00F5474B">
        <w:rPr>
          <w:rFonts w:ascii="Calibri" w:hAnsi="Calibri" w:cs="Calibri"/>
          <w:noProof/>
          <w:szCs w:val="24"/>
        </w:rPr>
        <w:tab/>
        <w:t xml:space="preserve">Latham I, Brooker D. Reducing anti-psychotic prescribing for care home residents with dementia. Nurse Prescr. 2017;15(10). </w:t>
      </w:r>
    </w:p>
    <w:p w14:paraId="7E9EBDA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 </w:t>
      </w:r>
      <w:r w:rsidRPr="00F5474B">
        <w:rPr>
          <w:rFonts w:ascii="Calibri" w:hAnsi="Calibri" w:cs="Calibri"/>
          <w:noProof/>
          <w:szCs w:val="24"/>
        </w:rPr>
        <w:tab/>
        <w:t xml:space="preserve">Hogli JU, Garcia BH, Skjold F, Skogen V, Smabrekke L. An audit and feedback intervention study increased adherence to antibiotic prescribing guidelines at a Norwegian hospital. BMC Infect Dis. 2016;16:96. </w:t>
      </w:r>
    </w:p>
    <w:p w14:paraId="2ADEAF6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 </w:t>
      </w:r>
      <w:r w:rsidRPr="00F5474B">
        <w:rPr>
          <w:rFonts w:ascii="Calibri" w:hAnsi="Calibri" w:cs="Calibri"/>
          <w:noProof/>
          <w:szCs w:val="24"/>
        </w:rPr>
        <w:tab/>
        <w:t xml:space="preserve">Clyne B, Cooper JA, Hughes CM, Fahey T, Smith SM, Team O-S study. A process evaluation of a cluster randomised trial to reduce potentially inappropriate prescribing in older people in primary care (OPTI-SCRIPT study). Trials. 2016;17(1):386. </w:t>
      </w:r>
    </w:p>
    <w:p w14:paraId="3BFC908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 </w:t>
      </w:r>
      <w:r w:rsidRPr="00F5474B">
        <w:rPr>
          <w:rFonts w:ascii="Calibri" w:hAnsi="Calibri" w:cs="Calibri"/>
          <w:noProof/>
          <w:szCs w:val="24"/>
        </w:rPr>
        <w:tab/>
        <w:t xml:space="preserve">Dalbak LG, Rognstad S, Melbye H, Stra, J. Changed terms for drug payment influenced GPs’ diagnoses and prescribing practice for inhaled corticosteroids. Eur J Gen Pract. 2013;19(2):106–10. </w:t>
      </w:r>
    </w:p>
    <w:p w14:paraId="6341AA7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 </w:t>
      </w:r>
      <w:r w:rsidRPr="00F5474B">
        <w:rPr>
          <w:rFonts w:ascii="Calibri" w:hAnsi="Calibri" w:cs="Calibri"/>
          <w:noProof/>
          <w:szCs w:val="24"/>
        </w:rPr>
        <w:tab/>
        <w:t xml:space="preserve">Jennings RM, Burtner JJ, Pellicer JF, Nair DK, Bradford MC, Shaffer M, et al. Reducing head CT use for children with head injuries in a community emergency department. Pediatrics. 2017;139(4). </w:t>
      </w:r>
    </w:p>
    <w:p w14:paraId="69366BA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 </w:t>
      </w:r>
      <w:r w:rsidRPr="00F5474B">
        <w:rPr>
          <w:rFonts w:ascii="Calibri" w:hAnsi="Calibri" w:cs="Calibri"/>
          <w:noProof/>
          <w:szCs w:val="24"/>
        </w:rPr>
        <w:tab/>
        <w:t xml:space="preserve">Martins CM, da Costa Teixeira AS, de Azevedo LF, Sa LM, Santos PA, do Couto ML, et al. The effect of a test ordering software intervention on the prescription of unnecessary laboratory tests - a randomized controlled trial. BMC Med Informatics Decis Mak. 2017;17(1):20. </w:t>
      </w:r>
    </w:p>
    <w:p w14:paraId="67CBE0B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 </w:t>
      </w:r>
      <w:r w:rsidRPr="00F5474B">
        <w:rPr>
          <w:rFonts w:ascii="Calibri" w:hAnsi="Calibri" w:cs="Calibri"/>
          <w:noProof/>
          <w:szCs w:val="24"/>
        </w:rPr>
        <w:tab/>
        <w:t xml:space="preserve">Sadowski BW, Lane AB, Wood SM, Robinson SL, Kim CH. High-Value, Cost-Conscious Care: Iterative Systems-Based Interventions to Reduce Unnecessary Laboratory Testing. Am J Med. 2017;130(9):1112.e1-1112.e7. </w:t>
      </w:r>
    </w:p>
    <w:p w14:paraId="1379D06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 </w:t>
      </w:r>
      <w:r w:rsidRPr="00F5474B">
        <w:rPr>
          <w:rFonts w:ascii="Calibri" w:hAnsi="Calibri" w:cs="Calibri"/>
          <w:noProof/>
          <w:szCs w:val="24"/>
        </w:rPr>
        <w:tab/>
        <w:t xml:space="preserve">White DR, Hamilton KW, Pegues DA, Hanish A, Umscheid CA. The Impact of a Computerized Clinical Decision Support Tool on Inappropriate Clostridium difficile Testing. Infect Control Hosp Epidemiol. 2017;38(10):1204–8. </w:t>
      </w:r>
    </w:p>
    <w:p w14:paraId="433C270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 </w:t>
      </w:r>
      <w:r w:rsidRPr="00F5474B">
        <w:rPr>
          <w:rFonts w:ascii="Calibri" w:hAnsi="Calibri" w:cs="Calibri"/>
          <w:noProof/>
          <w:szCs w:val="24"/>
        </w:rPr>
        <w:tab/>
        <w:t xml:space="preserve">Klatte JM, Selvarangan R, Jackson MA, Myers AL. Reducing Overutilization of Testing for Clostridium difficile Infection in a Pediatric Hospital System: A Quality Improvement Initiative. Hosp Pediatr. 2016;6(1):9–14. </w:t>
      </w:r>
    </w:p>
    <w:p w14:paraId="75B11E5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 </w:t>
      </w:r>
      <w:r w:rsidRPr="00F5474B">
        <w:rPr>
          <w:rFonts w:ascii="Calibri" w:hAnsi="Calibri" w:cs="Calibri"/>
          <w:noProof/>
          <w:szCs w:val="24"/>
        </w:rPr>
        <w:tab/>
        <w:t xml:space="preserve">Melendez-Rosado J, Thompson KM, Cowdell JC, Sanchez Alvarez C, Ung RL, Villanueva A, et al. Reducing unnecessary testing: an intervention to improve resident ordering practices. Postgrad Med J. 2017;93(1102):476–9. </w:t>
      </w:r>
    </w:p>
    <w:p w14:paraId="26E4D1C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 </w:t>
      </w:r>
      <w:r w:rsidRPr="00F5474B">
        <w:rPr>
          <w:rFonts w:ascii="Calibri" w:hAnsi="Calibri" w:cs="Calibri"/>
          <w:noProof/>
          <w:szCs w:val="24"/>
        </w:rPr>
        <w:tab/>
        <w:t xml:space="preserve">Robson J, Smithers H, Chowdhury T, Bennett-Richards P, Keene D, Dostal I, et al. Reduction in self-monitoring of blood glucose in type 2 diabetes: an observational controlled study in east London. Br J Gen Pract. 2015;65(633):e256-63. </w:t>
      </w:r>
    </w:p>
    <w:p w14:paraId="3351B7A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 </w:t>
      </w:r>
      <w:r w:rsidRPr="00F5474B">
        <w:rPr>
          <w:rFonts w:ascii="Calibri" w:hAnsi="Calibri" w:cs="Calibri"/>
          <w:noProof/>
          <w:szCs w:val="24"/>
        </w:rPr>
        <w:tab/>
        <w:t xml:space="preserve">Lin IB, Coffin J, O’Sullivan PB. Using theory to improve low back pain care in Australian Aboriginal primary care: a mixed method single cohort pilot study. BMC Fam Pract. 2016;17:44. </w:t>
      </w:r>
    </w:p>
    <w:p w14:paraId="60FF907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 </w:t>
      </w:r>
      <w:r w:rsidRPr="00F5474B">
        <w:rPr>
          <w:rFonts w:ascii="Calibri" w:hAnsi="Calibri" w:cs="Calibri"/>
          <w:noProof/>
          <w:szCs w:val="24"/>
        </w:rPr>
        <w:tab/>
        <w:t xml:space="preserve">Garcia-Gollarte F, Baleriola-Julvez J, Ferrero-Lopez I, Cuenllas-Diaz A, Cruz-Jentoft AJ. An educational intervention on drug use in nursing homes </w:t>
      </w:r>
      <w:r w:rsidRPr="00F5474B">
        <w:rPr>
          <w:rFonts w:ascii="Calibri" w:hAnsi="Calibri" w:cs="Calibri"/>
          <w:noProof/>
          <w:szCs w:val="24"/>
        </w:rPr>
        <w:lastRenderedPageBreak/>
        <w:t xml:space="preserve">improves health outcomes resource utilization and reduces inappropriate drug prescription. J Am Med Dir Assoc. 2014;15(12):885–91. </w:t>
      </w:r>
    </w:p>
    <w:p w14:paraId="4756A07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 </w:t>
      </w:r>
      <w:r w:rsidRPr="00F5474B">
        <w:rPr>
          <w:rFonts w:ascii="Calibri" w:hAnsi="Calibri" w:cs="Calibri"/>
          <w:noProof/>
          <w:szCs w:val="24"/>
        </w:rPr>
        <w:tab/>
        <w:t xml:space="preserve">Corbi G, Gambassi G, Pagano G, Russomanno G, Conti V, Rengo G, et al. Impact of an Innovative Educational Strategy on Medication Appropriate Use and Length of Stay in Elderly Patients. Medicine (Baltimore). 2015;94(24):e918. </w:t>
      </w:r>
    </w:p>
    <w:p w14:paraId="6156D0A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 </w:t>
      </w:r>
      <w:r w:rsidRPr="00F5474B">
        <w:rPr>
          <w:rFonts w:ascii="Calibri" w:hAnsi="Calibri" w:cs="Calibri"/>
          <w:noProof/>
          <w:szCs w:val="24"/>
        </w:rPr>
        <w:tab/>
        <w:t xml:space="preserve">Angelidou A, Bell K, Gupta M, Tropea Leeman K, Hansen A. Implementation of a Guideline to Decrease Use of Acid-Suppressing Medications in the NICU. Pediatrics. 2017;140(6). </w:t>
      </w:r>
    </w:p>
    <w:p w14:paraId="5A8F147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 </w:t>
      </w:r>
      <w:r w:rsidRPr="00F5474B">
        <w:rPr>
          <w:rFonts w:ascii="Calibri" w:hAnsi="Calibri" w:cs="Calibri"/>
          <w:noProof/>
          <w:szCs w:val="24"/>
        </w:rPr>
        <w:tab/>
        <w:t xml:space="preserve">Sigmund AE, Stevens ER, Blitz JD, Ladapo JA. Use of Preoperative Testing and Physicians’ Response to Professional Society Guidance. JAMA Intern Med. 2015;175(8):1352–9. </w:t>
      </w:r>
    </w:p>
    <w:p w14:paraId="3E121BB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 </w:t>
      </w:r>
      <w:r w:rsidRPr="00F5474B">
        <w:rPr>
          <w:rFonts w:ascii="Calibri" w:hAnsi="Calibri" w:cs="Calibri"/>
          <w:noProof/>
          <w:szCs w:val="24"/>
        </w:rPr>
        <w:tab/>
        <w:t xml:space="preserve">Ackerman SL, Gonzales R, Stahl MS, Metlay JP. One size does not fit all: evaluating an intervention to reduce antibiotic prescribing for acute bronchitis. BMC Health Serv Res. 2013;13:462. </w:t>
      </w:r>
    </w:p>
    <w:p w14:paraId="57BDEB3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 </w:t>
      </w:r>
      <w:r w:rsidRPr="00F5474B">
        <w:rPr>
          <w:rFonts w:ascii="Calibri" w:hAnsi="Calibri" w:cs="Calibri"/>
          <w:noProof/>
          <w:szCs w:val="24"/>
        </w:rPr>
        <w:tab/>
        <w:t xml:space="preserve">Bailey JE, Wan JY, Mabry LM, L, Y SH, Pope RA, et al. Does health information exchange reduce unnecessary neuroimaging and improve quality of headache care in the emergency department? J Gen Intern Med. 2013;28(2):176–83. </w:t>
      </w:r>
    </w:p>
    <w:p w14:paraId="2BF5452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 </w:t>
      </w:r>
      <w:r w:rsidRPr="00F5474B">
        <w:rPr>
          <w:rFonts w:ascii="Calibri" w:hAnsi="Calibri" w:cs="Calibri"/>
          <w:noProof/>
          <w:szCs w:val="24"/>
        </w:rPr>
        <w:tab/>
        <w:t xml:space="preserve">Bhatia RS, Milford CE, Picard MH, Weiner RB. An educational intervention reduces the rate of inappropriate echocardiograms on an inpatient medical service. Jacc Cardiovasc Imaging. 2013;6(5):545–55. </w:t>
      </w:r>
    </w:p>
    <w:p w14:paraId="7B6A5DB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 </w:t>
      </w:r>
      <w:r w:rsidRPr="00F5474B">
        <w:rPr>
          <w:rFonts w:ascii="Calibri" w:hAnsi="Calibri" w:cs="Calibri"/>
          <w:noProof/>
          <w:szCs w:val="24"/>
        </w:rPr>
        <w:tab/>
        <w:t xml:space="preserve">Brahmbhatt M, Palla K, Kossifologos A, Mitchell D, Lee T. Appropriateness of medication prescribing using the STOPP/START criteria in veterans receiving home-based primary care. Consult Pharm. 2013;28(6):361–9. </w:t>
      </w:r>
    </w:p>
    <w:p w14:paraId="3A99A43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 </w:t>
      </w:r>
      <w:r w:rsidRPr="00F5474B">
        <w:rPr>
          <w:rFonts w:ascii="Calibri" w:hAnsi="Calibri" w:cs="Calibri"/>
          <w:noProof/>
          <w:szCs w:val="24"/>
        </w:rPr>
        <w:tab/>
        <w:t xml:space="preserve">Egger M, Balmer F, Friedli-Wuthrich H, Muhlemann K. Reduction of urinary catheter use and prescription of antibiotics for asymptomatic bacteriuria in hospitalised patients in internal medicine: before-and-after intervention study. Swiss Med Wkly. 2013;143:w13796. </w:t>
      </w:r>
    </w:p>
    <w:p w14:paraId="333EE76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 </w:t>
      </w:r>
      <w:r w:rsidRPr="00F5474B">
        <w:rPr>
          <w:rFonts w:ascii="Calibri" w:hAnsi="Calibri" w:cs="Calibri"/>
          <w:noProof/>
          <w:szCs w:val="24"/>
        </w:rPr>
        <w:tab/>
        <w:t xml:space="preserve">Gillespie U, Alassaad A, Hammarlund-Udenaes M, Morlin C, Henrohn D, Bertilsson M, et al. Effects of pharmacists’ interventions on appropriateness of prescribing and evaluation of the instruments’ (MAI, STOPP and STARTs’) ability to predict hospitalization--analyses from a randomized controlled trial. PLoS One. 2013;8(5):e62401. </w:t>
      </w:r>
    </w:p>
    <w:p w14:paraId="0F40C83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 </w:t>
      </w:r>
      <w:r w:rsidRPr="00F5474B">
        <w:rPr>
          <w:rFonts w:ascii="Calibri" w:hAnsi="Calibri" w:cs="Calibri"/>
          <w:noProof/>
          <w:szCs w:val="24"/>
        </w:rPr>
        <w:tab/>
        <w:t xml:space="preserve">Gonzales R, Anderer T, McCulloch CE, Maselli JH, Bloom F. J. J, Graf TR, et al. A cluster randomized trial of decision support strategies for reducing antibiotic use in acute bronchitis. JAMA Intern Med. 2015;173(4):267–73. </w:t>
      </w:r>
    </w:p>
    <w:p w14:paraId="434EBA3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31. </w:t>
      </w:r>
      <w:r w:rsidRPr="00F5474B">
        <w:rPr>
          <w:rFonts w:ascii="Calibri" w:hAnsi="Calibri" w:cs="Calibri"/>
          <w:noProof/>
          <w:szCs w:val="24"/>
        </w:rPr>
        <w:tab/>
        <w:t xml:space="preserve">Gupta R, Marshall J, Munoz JC, Kottoor R, Jamal MM, Vega KJ. Decreased acid suppression therapy overuse after education and medication reconciliation. Int J Clin Pract. 2013;67(1):60–5. </w:t>
      </w:r>
    </w:p>
    <w:p w14:paraId="3E4B3CC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32. </w:t>
      </w:r>
      <w:r w:rsidRPr="00F5474B">
        <w:rPr>
          <w:rFonts w:ascii="Calibri" w:hAnsi="Calibri" w:cs="Calibri"/>
          <w:noProof/>
          <w:szCs w:val="24"/>
        </w:rPr>
        <w:tab/>
        <w:t xml:space="preserve">Jenkins TC, Irwin A, Coombs L, Dealleaume L, Ross SE, Rozwadowski J, et al. Effects of clinical pathways for common outpatient infections on antibiotic prescribing. Am J Med. 2013;126(4):327-335.e12. </w:t>
      </w:r>
    </w:p>
    <w:p w14:paraId="6766915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33. </w:t>
      </w:r>
      <w:r w:rsidRPr="00F5474B">
        <w:rPr>
          <w:rFonts w:ascii="Calibri" w:hAnsi="Calibri" w:cs="Calibri"/>
          <w:noProof/>
          <w:szCs w:val="24"/>
        </w:rPr>
        <w:tab/>
        <w:t xml:space="preserve">Johnson LW, Robles J, Hudgins A, Osburn S, Martin D, Thompson A. Management of bronchiolitis in the emergency department: impact of evidence-based guidelines? Pediatrics. 2013;131(SUPPL.1):S103-9. </w:t>
      </w:r>
    </w:p>
    <w:p w14:paraId="64E3105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34. </w:t>
      </w:r>
      <w:r w:rsidRPr="00F5474B">
        <w:rPr>
          <w:rFonts w:ascii="Calibri" w:hAnsi="Calibri" w:cs="Calibri"/>
          <w:noProof/>
          <w:szCs w:val="24"/>
        </w:rPr>
        <w:tab/>
        <w:t xml:space="preserve">Keith SW, Maio V, Dudash K, Templin M, Del Canale S. A physician-focused intervention to reduce potentially inappropriate medication prescribing in older people: a 3-year, Italian, prospective, proof-of-concept study. Drugs Aging. 2013;30(2):119–27. </w:t>
      </w:r>
    </w:p>
    <w:p w14:paraId="75F6FA5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35. </w:t>
      </w:r>
      <w:r w:rsidRPr="00F5474B">
        <w:rPr>
          <w:rFonts w:ascii="Calibri" w:hAnsi="Calibri" w:cs="Calibri"/>
          <w:noProof/>
          <w:szCs w:val="24"/>
        </w:rPr>
        <w:tab/>
        <w:t xml:space="preserve">Litvin CB, Ornstein SM, Wessell AM, Nemeth LS, Nietert PJ. Use of an electronic health record clinical decision support tool to improve antibiotic prescribing for acute respiratory infections: the ABX-TRIP study. J Gen Intern Med. 2013;28(6):810–6. </w:t>
      </w:r>
    </w:p>
    <w:p w14:paraId="1EEE33B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36. </w:t>
      </w:r>
      <w:r w:rsidRPr="00F5474B">
        <w:rPr>
          <w:rFonts w:ascii="Calibri" w:hAnsi="Calibri" w:cs="Calibri"/>
          <w:noProof/>
          <w:szCs w:val="24"/>
        </w:rPr>
        <w:tab/>
        <w:t xml:space="preserve">Mainous A. G. 3rd, Lambourne CA, Nietert PJ. Impact of a clinical decision support system on antibiotic prescribing for acute respiratory infections in primary care: quasi-experimental trial. J Am Med Informatics Assoc. 2013;20(2):317–24. </w:t>
      </w:r>
    </w:p>
    <w:p w14:paraId="3343E7F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37. </w:t>
      </w:r>
      <w:r w:rsidRPr="00F5474B">
        <w:rPr>
          <w:rFonts w:ascii="Calibri" w:hAnsi="Calibri" w:cs="Calibri"/>
          <w:noProof/>
          <w:szCs w:val="24"/>
        </w:rPr>
        <w:tab/>
        <w:t xml:space="preserve">Monette J, Monette M, Sourial N, V, Al AC, Wolfson C, et al. Effect of an interdisciplinary educational program on antipsychotic prescribing among residents with dementia in two long-term care centers. J Appl Gerontol. 2013;32(7):833–54. </w:t>
      </w:r>
    </w:p>
    <w:p w14:paraId="4F262CA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38. </w:t>
      </w:r>
      <w:r w:rsidRPr="00F5474B">
        <w:rPr>
          <w:rFonts w:ascii="Calibri" w:hAnsi="Calibri" w:cs="Calibri"/>
          <w:noProof/>
          <w:szCs w:val="24"/>
        </w:rPr>
        <w:tab/>
        <w:t xml:space="preserve">Mousavi M, Dashti-Khavidaki S, Khalili H, Farshchi A, Gatmiri M. Impact of clinical pharmacy services on stress ulcer prophylaxis prescribing and related cost in patients with renal insufficiency. Int J Pharm Pract. 2013;21(4):263–9. </w:t>
      </w:r>
    </w:p>
    <w:p w14:paraId="068B87D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39. </w:t>
      </w:r>
      <w:r w:rsidRPr="00F5474B">
        <w:rPr>
          <w:rFonts w:ascii="Calibri" w:hAnsi="Calibri" w:cs="Calibri"/>
          <w:noProof/>
          <w:szCs w:val="24"/>
        </w:rPr>
        <w:tab/>
        <w:t xml:space="preserve">Rognstad S, Brekke M, Fetveit A, Dalen I, Stra, J. Prescription peer academic detailing to reduce inappropriate prescribing for older patients: a cluster randomised controlled trial. Br J Gen Pract. 2013;63(613):e554-62. </w:t>
      </w:r>
    </w:p>
    <w:p w14:paraId="31E70B0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40. </w:t>
      </w:r>
      <w:r w:rsidRPr="00F5474B">
        <w:rPr>
          <w:rFonts w:ascii="Calibri" w:hAnsi="Calibri" w:cs="Calibri"/>
          <w:noProof/>
          <w:szCs w:val="24"/>
        </w:rPr>
        <w:tab/>
        <w:t xml:space="preserve">Saifi S, Taylor AJ, Allen J, Hendel R. The use of a learning community and online evaluation of utilization for SPECT myocardial perfusion imaging. Jacc Cardiovasc Imaging. 2013;6(7):823–9. </w:t>
      </w:r>
    </w:p>
    <w:p w14:paraId="079F408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41. </w:t>
      </w:r>
      <w:r w:rsidRPr="00F5474B">
        <w:rPr>
          <w:rFonts w:ascii="Calibri" w:hAnsi="Calibri" w:cs="Calibri"/>
          <w:noProof/>
          <w:szCs w:val="24"/>
        </w:rPr>
        <w:tab/>
        <w:t xml:space="preserve">Strother MK, Robert EC, Cobb JG, Pruthi S, Feurer ID. Reduction in the number and associated costs of unindicated dual-phase head CT examinations after a quality improvement initiative. AJR Am J Roentgenol. 2013;201(5):1049–56. </w:t>
      </w:r>
    </w:p>
    <w:p w14:paraId="037A150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42. </w:t>
      </w:r>
      <w:r w:rsidRPr="00F5474B">
        <w:rPr>
          <w:rFonts w:ascii="Calibri" w:hAnsi="Calibri" w:cs="Calibri"/>
          <w:noProof/>
          <w:szCs w:val="24"/>
        </w:rPr>
        <w:tab/>
        <w:t xml:space="preserve">Willens HJ, Nelson K, Hendel RC. Appropriate use criteria for stress echocardiography: impact of updated criteria on appropriateness ratings, correlation with pre-authorization guidelines, and effect of temporal trends and an educational initiative on utilization. Jacc Cardiovasc Imaging. 2013;6(3):297–309. </w:t>
      </w:r>
    </w:p>
    <w:p w14:paraId="7D84FBD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43. </w:t>
      </w:r>
      <w:r w:rsidRPr="00F5474B">
        <w:rPr>
          <w:rFonts w:ascii="Calibri" w:hAnsi="Calibri" w:cs="Calibri"/>
          <w:noProof/>
          <w:szCs w:val="24"/>
        </w:rPr>
        <w:tab/>
        <w:t xml:space="preserve">Achonduh OA, Mbacham WF, Mangham-Jefferies L, Cundill B, Ch, Ler C, et al. Designing and implementing interventions to change clinicians’ practice in the management of uncomplicated malaria: lessons from Cameroon. Malar J. 2014;13:204. </w:t>
      </w:r>
    </w:p>
    <w:p w14:paraId="71BF3D1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44. </w:t>
      </w:r>
      <w:r w:rsidRPr="00F5474B">
        <w:rPr>
          <w:rFonts w:ascii="Calibri" w:hAnsi="Calibri" w:cs="Calibri"/>
          <w:noProof/>
          <w:szCs w:val="24"/>
        </w:rPr>
        <w:tab/>
        <w:t xml:space="preserve">Akenroye AT, Baskin MN, Samnaliev M, Stack AM. Impact of a bronchiolitis guideline on ED resource use and cost: a segmented time-series analysis. Pediatrics. 2014;133(1):e227-34. </w:t>
      </w:r>
    </w:p>
    <w:p w14:paraId="5097026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45. </w:t>
      </w:r>
      <w:r w:rsidRPr="00F5474B">
        <w:rPr>
          <w:rFonts w:ascii="Calibri" w:hAnsi="Calibri" w:cs="Calibri"/>
          <w:noProof/>
          <w:szCs w:val="24"/>
        </w:rPr>
        <w:tab/>
        <w:t xml:space="preserve">Bhatia RS, Dudzinski DM, Milford CE, Picard MH, Weiner RB. Educational intervention to reduce inappropriate transthoracic echocardiograms: the </w:t>
      </w:r>
      <w:r w:rsidRPr="00F5474B">
        <w:rPr>
          <w:rFonts w:ascii="Calibri" w:hAnsi="Calibri" w:cs="Calibri"/>
          <w:noProof/>
          <w:szCs w:val="24"/>
        </w:rPr>
        <w:lastRenderedPageBreak/>
        <w:t xml:space="preserve">need for sustained intervention. Echocardiography. 2014;31(8):916–23. </w:t>
      </w:r>
    </w:p>
    <w:p w14:paraId="4C44170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46. </w:t>
      </w:r>
      <w:r w:rsidRPr="00F5474B">
        <w:rPr>
          <w:rFonts w:ascii="Calibri" w:hAnsi="Calibri" w:cs="Calibri"/>
          <w:noProof/>
          <w:szCs w:val="24"/>
        </w:rPr>
        <w:tab/>
        <w:t xml:space="preserve">Boonyasiri A, Thamlikitkul V. Effectiveness of multifaceted interventions on rational use of antibiotics for patients with upper respiratory tract infections and acute diarrhea. J Med Assoc Thail. 2014;97:S13-9. </w:t>
      </w:r>
    </w:p>
    <w:p w14:paraId="6B34AA8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47. </w:t>
      </w:r>
      <w:r w:rsidRPr="00F5474B">
        <w:rPr>
          <w:rFonts w:ascii="Calibri" w:hAnsi="Calibri" w:cs="Calibri"/>
          <w:noProof/>
          <w:szCs w:val="24"/>
        </w:rPr>
        <w:tab/>
        <w:t xml:space="preserve">Chaves NJ, Ingram RJ, MacIsaac CM, Buising KL. Sticking to minimum standards: implementing antibiotic stewardship in intensive care. Intern Med J. 2014;44(12):1180–7. </w:t>
      </w:r>
    </w:p>
    <w:p w14:paraId="5E7E08D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48. </w:t>
      </w:r>
      <w:r w:rsidRPr="00F5474B">
        <w:rPr>
          <w:rFonts w:ascii="Calibri" w:hAnsi="Calibri" w:cs="Calibri"/>
          <w:noProof/>
          <w:szCs w:val="24"/>
        </w:rPr>
        <w:tab/>
        <w:t xml:space="preserve">Fagan M, Lindbaek M, Reiso H, Berild D. A simple intervention to reduce inappropriate ciprofloxacin prescribing in the emergency department. Scand J Infect Dis. 2014;46(7):481–5. </w:t>
      </w:r>
    </w:p>
    <w:p w14:paraId="2425917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49. </w:t>
      </w:r>
      <w:r w:rsidRPr="00F5474B">
        <w:rPr>
          <w:rFonts w:ascii="Calibri" w:hAnsi="Calibri" w:cs="Calibri"/>
          <w:noProof/>
          <w:szCs w:val="24"/>
        </w:rPr>
        <w:tab/>
        <w:t xml:space="preserve">Fleet E, Gopal Rao G, Patel B, Cookson B, Charlett A, Bowman C, et al. Impact of implementation of a novel antimicrobial stewardship tool on antibiotic use in nursing homes: a prospective cluster randomized control pilot study. J Antimicrob Chemother. 2014;69(8):2265–73. </w:t>
      </w:r>
    </w:p>
    <w:p w14:paraId="504B7ED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50. </w:t>
      </w:r>
      <w:r w:rsidRPr="00F5474B">
        <w:rPr>
          <w:rFonts w:ascii="Calibri" w:hAnsi="Calibri" w:cs="Calibri"/>
          <w:noProof/>
          <w:szCs w:val="24"/>
        </w:rPr>
        <w:tab/>
        <w:t xml:space="preserve">Kelley D, Aaronson P, Poon E, McCarter YS, Bato B, Jankowski CA. Evaluation of an antimicrobial stewardship approach to minimize overuse of antibiotics in patients with asymptomatic bacteriuria. Infect Control Hosp Epidemiol. 2014;35(2):193–5. </w:t>
      </w:r>
    </w:p>
    <w:p w14:paraId="7B4EDA4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51. </w:t>
      </w:r>
      <w:r w:rsidRPr="00F5474B">
        <w:rPr>
          <w:rFonts w:ascii="Calibri" w:hAnsi="Calibri" w:cs="Calibri"/>
          <w:noProof/>
          <w:szCs w:val="24"/>
        </w:rPr>
        <w:tab/>
        <w:t xml:space="preserve">Lopatto J, Keith SW, Del Canale S, Templin M, Maio V. Evaluating sustained quality improvements: long-term effectiveness of a physician-focused intervention to reduce potentially inappropriate medication prescribing in an older population. J Clin Pharm Ther. 2014;39(3):266–71. </w:t>
      </w:r>
    </w:p>
    <w:p w14:paraId="1B1972A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52. </w:t>
      </w:r>
      <w:r w:rsidRPr="00F5474B">
        <w:rPr>
          <w:rFonts w:ascii="Calibri" w:hAnsi="Calibri" w:cs="Calibri"/>
          <w:noProof/>
          <w:szCs w:val="24"/>
        </w:rPr>
        <w:tab/>
        <w:t xml:space="preserve">McCullough JM, Zimmerman FJ, Rodriguez HP. Impact of clinical decision support on receipt of antibiotic prescriptions for acute bronchitis and upper respiratory tract infection. J Am Med Informatics Assoc. 2014;21(6):1091–7. </w:t>
      </w:r>
    </w:p>
    <w:p w14:paraId="3A50FB0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53. </w:t>
      </w:r>
      <w:r w:rsidRPr="00F5474B">
        <w:rPr>
          <w:rFonts w:ascii="Calibri" w:hAnsi="Calibri" w:cs="Calibri"/>
          <w:noProof/>
          <w:szCs w:val="24"/>
        </w:rPr>
        <w:tab/>
        <w:t xml:space="preserve">Meeker D, Knight TK, Friedberg MW, Linder JA, Goldstein NJ, Fox CR, et al. Nudging guideline-concordant antibiotic prescribing: a randomized clinical trial. JAMA Intern Med. 2014;174(3):425–31. </w:t>
      </w:r>
    </w:p>
    <w:p w14:paraId="4FBB7E3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54. </w:t>
      </w:r>
      <w:r w:rsidRPr="00F5474B">
        <w:rPr>
          <w:rFonts w:ascii="Calibri" w:hAnsi="Calibri" w:cs="Calibri"/>
          <w:noProof/>
          <w:szCs w:val="24"/>
        </w:rPr>
        <w:tab/>
        <w:t xml:space="preserve">Robson J, Dostal I, Mathur R, Sohanpal R, Hull S, Antoniou S, et al. Improving anticoagulation in atrial fibrillation: observational study in three primary care trusts. Br J Gen Pract. 2014;64(622):e275-81. </w:t>
      </w:r>
    </w:p>
    <w:p w14:paraId="66E58D5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55. </w:t>
      </w:r>
      <w:r w:rsidRPr="00F5474B">
        <w:rPr>
          <w:rFonts w:ascii="Calibri" w:hAnsi="Calibri" w:cs="Calibri"/>
          <w:noProof/>
          <w:szCs w:val="24"/>
        </w:rPr>
        <w:tab/>
        <w:t xml:space="preserve">Szymczak JE, Feemster KA, Zaoutis TE, Gerber JS. Pediatrician perceptions of an outpatient antimicrobial stewardship intervention. Infect Control Hosp Epidemiol. 2014;35:S69-78. </w:t>
      </w:r>
    </w:p>
    <w:p w14:paraId="0F6C5DD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56. </w:t>
      </w:r>
      <w:r w:rsidRPr="00F5474B">
        <w:rPr>
          <w:rFonts w:ascii="Calibri" w:hAnsi="Calibri" w:cs="Calibri"/>
          <w:noProof/>
          <w:szCs w:val="24"/>
        </w:rPr>
        <w:tab/>
        <w:t xml:space="preserve">Zimmerman S, Sloane PD, Bertr, R., Olsho LE, Beeber A, et al. Successfully reducing antibiotic prescribing in nursing homes. J Am Geriatr Soc. 2014;62(5):907–12. </w:t>
      </w:r>
    </w:p>
    <w:p w14:paraId="4B59822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57. </w:t>
      </w:r>
      <w:r w:rsidRPr="00F5474B">
        <w:rPr>
          <w:rFonts w:ascii="Calibri" w:hAnsi="Calibri" w:cs="Calibri"/>
          <w:noProof/>
          <w:szCs w:val="24"/>
        </w:rPr>
        <w:tab/>
        <w:t xml:space="preserve">Agee C, Coulter L, Hudson J. Effects of pharmacy resident led education on resident physician prescribing habits associated with stress ulcer prophylaxis in non-intensive care unit patients. Am J Heal Pharm. 2015;72(11):S48-52. </w:t>
      </w:r>
    </w:p>
    <w:p w14:paraId="43E426E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58. </w:t>
      </w:r>
      <w:r w:rsidRPr="00F5474B">
        <w:rPr>
          <w:rFonts w:ascii="Calibri" w:hAnsi="Calibri" w:cs="Calibri"/>
          <w:noProof/>
          <w:szCs w:val="24"/>
        </w:rPr>
        <w:tab/>
        <w:t xml:space="preserve">Apisarnthanarak A, Lapcharoen P, Vanichkul P, Srisaeng-Ngoen T, Mundy LM. Design and analysis of a pharmacist-enhanced antimicrobial </w:t>
      </w:r>
      <w:r w:rsidRPr="00F5474B">
        <w:rPr>
          <w:rFonts w:ascii="Calibri" w:hAnsi="Calibri" w:cs="Calibri"/>
          <w:noProof/>
          <w:szCs w:val="24"/>
        </w:rPr>
        <w:lastRenderedPageBreak/>
        <w:t xml:space="preserve">stewardship program in Thailand. Am J Infect Control. 2015;43(9):956–9. </w:t>
      </w:r>
    </w:p>
    <w:p w14:paraId="22B65AD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59. </w:t>
      </w:r>
      <w:r w:rsidRPr="00F5474B">
        <w:rPr>
          <w:rFonts w:ascii="Calibri" w:hAnsi="Calibri" w:cs="Calibri"/>
          <w:noProof/>
          <w:szCs w:val="24"/>
        </w:rPr>
        <w:tab/>
        <w:t xml:space="preserve">Bowblis JR, Lucas JA, Brunt CS. The Effects of Antipsychotic Quality Reporting on Antipsychotic and Psychoactive Medication Use. Health Serv Res. 2015;50(4):1069–87. </w:t>
      </w:r>
    </w:p>
    <w:p w14:paraId="48C7D6E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60. </w:t>
      </w:r>
      <w:r w:rsidRPr="00F5474B">
        <w:rPr>
          <w:rFonts w:ascii="Calibri" w:hAnsi="Calibri" w:cs="Calibri"/>
          <w:noProof/>
          <w:szCs w:val="24"/>
        </w:rPr>
        <w:tab/>
        <w:t xml:space="preserve">Buckley MS, Park AS, Anderson CS, Barletta JF, Bikin DS, Gerkin RD, et al. Impact of a clinical pharmacist stress ulcer prophylaxis management program on inappropriate use in hospitalized patients. Am J Med. 2015;128(8):905–13. </w:t>
      </w:r>
    </w:p>
    <w:p w14:paraId="358C2BD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61. </w:t>
      </w:r>
      <w:r w:rsidRPr="00F5474B">
        <w:rPr>
          <w:rFonts w:ascii="Calibri" w:hAnsi="Calibri" w:cs="Calibri"/>
          <w:noProof/>
          <w:szCs w:val="24"/>
        </w:rPr>
        <w:tab/>
        <w:t xml:space="preserve">Cameron M, Jones S, Adedeji O. Antibiotic prophylaxis audit and questionnaire study: Traffic Light Poster improves adherence to protocol in gastrointestinal surgery. Int J Surg. 2015;19:112–5. </w:t>
      </w:r>
    </w:p>
    <w:p w14:paraId="5D7BB63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62. </w:t>
      </w:r>
      <w:r w:rsidRPr="00F5474B">
        <w:rPr>
          <w:rFonts w:ascii="Calibri" w:hAnsi="Calibri" w:cs="Calibri"/>
          <w:noProof/>
          <w:szCs w:val="24"/>
        </w:rPr>
        <w:tab/>
        <w:t xml:space="preserve">Choma K, McKeever AE. Cervical cancer screening in adolescents: an evidence-based internet education program for practice improvement among advanced practice nurses. Worldviews Evidence-Based Nurs. 2015;12(1):51–60. </w:t>
      </w:r>
    </w:p>
    <w:p w14:paraId="6E0A62A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63. </w:t>
      </w:r>
      <w:r w:rsidRPr="00F5474B">
        <w:rPr>
          <w:rFonts w:ascii="Calibri" w:hAnsi="Calibri" w:cs="Calibri"/>
          <w:noProof/>
          <w:szCs w:val="24"/>
        </w:rPr>
        <w:tab/>
        <w:t xml:space="preserve">Gebhardt BJ, Rajagopalan MS, Gill BS, Heron DE, Rakfal SM, Flickinger JC, et al. Impact of dynamic changes to a bone metastases pathway in a large, integrated, National Cancer Institute-designated comprehensive cancer center network. Pract Radiat Oncol. 2015;5(6):398–405. </w:t>
      </w:r>
    </w:p>
    <w:p w14:paraId="1F767DA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64. </w:t>
      </w:r>
      <w:r w:rsidRPr="00F5474B">
        <w:rPr>
          <w:rFonts w:ascii="Calibri" w:hAnsi="Calibri" w:cs="Calibri"/>
          <w:noProof/>
          <w:szCs w:val="24"/>
        </w:rPr>
        <w:tab/>
        <w:t xml:space="preserve">Giles M, Watts W, O’Brien A, Berenger S, Paul M, McNeil K, et al. Does our bundle stack up! Innovative nurse-led changes for preventing catheter-associated urinary tract infection (CAUTI). Healthc Infect. 2015;20(2):62–71. </w:t>
      </w:r>
    </w:p>
    <w:p w14:paraId="1FBE336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65. </w:t>
      </w:r>
      <w:r w:rsidRPr="00F5474B">
        <w:rPr>
          <w:rFonts w:ascii="Calibri" w:hAnsi="Calibri" w:cs="Calibri"/>
          <w:noProof/>
          <w:szCs w:val="24"/>
        </w:rPr>
        <w:tab/>
        <w:t xml:space="preserve">Ilic D, Bukumiric Z, Jankovic S. Impact of educational intervention on prescribing inappropriate medication to elderly nursing homes residents. Srp Arh Celok Lek. 2015;143(3):174–9. </w:t>
      </w:r>
    </w:p>
    <w:p w14:paraId="5EC5B1F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66. </w:t>
      </w:r>
      <w:r w:rsidRPr="00F5474B">
        <w:rPr>
          <w:rFonts w:ascii="Calibri" w:hAnsi="Calibri" w:cs="Calibri"/>
          <w:noProof/>
          <w:szCs w:val="24"/>
        </w:rPr>
        <w:tab/>
        <w:t xml:space="preserve">Ip IK, Raja AS, Gupta A, Andruchow J, Sodickson A, Khorasani R. Impact of clinical decision support on head computed tomography use in patients with mild traumatic brain injury in the ED. Am J Emerg Med. 2015; </w:t>
      </w:r>
    </w:p>
    <w:p w14:paraId="6148D3C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67. </w:t>
      </w:r>
      <w:r w:rsidRPr="00F5474B">
        <w:rPr>
          <w:rFonts w:ascii="Calibri" w:hAnsi="Calibri" w:cs="Calibri"/>
          <w:noProof/>
          <w:szCs w:val="24"/>
        </w:rPr>
        <w:tab/>
        <w:t xml:space="preserve">Irfan N, Brooks A, Mithoowani S, Celetti SJ, Main C, Mertz D. A Controlled Quasi-Experimental Study of an Educational Intervention to Reduce the Unnecessary Use of Antimicrobials For Asymptomatic Bacteriuria. PLoS One. 2015;10(7):e0132071. </w:t>
      </w:r>
    </w:p>
    <w:p w14:paraId="41F24A7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68. </w:t>
      </w:r>
      <w:r w:rsidRPr="00F5474B">
        <w:rPr>
          <w:rFonts w:ascii="Calibri" w:hAnsi="Calibri" w:cs="Calibri"/>
          <w:noProof/>
          <w:szCs w:val="24"/>
        </w:rPr>
        <w:tab/>
        <w:t xml:space="preserve">Kashyap M, D’Cruz S, Sachdev A, Tiwari P. Evidence-based information leads to reduction in inappropriate drug prescribing: Results from Indian older inpatients. Int J Risk Saf Med. 2015;27(4):209–17. </w:t>
      </w:r>
    </w:p>
    <w:p w14:paraId="071FC61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69. </w:t>
      </w:r>
      <w:r w:rsidRPr="00F5474B">
        <w:rPr>
          <w:rFonts w:ascii="Calibri" w:hAnsi="Calibri" w:cs="Calibri"/>
          <w:noProof/>
          <w:szCs w:val="24"/>
        </w:rPr>
        <w:tab/>
        <w:t>Kost A, Genao I, Lee JW, Smith SR. Clinical decisions made in primary care clinics before and after choosing wisely</w:t>
      </w:r>
      <w:r w:rsidRPr="00F5474B">
        <w:rPr>
          <w:rFonts w:ascii="Calibri" w:hAnsi="Calibri" w:cs="Calibri"/>
          <w:noProof/>
          <w:szCs w:val="24"/>
          <w:vertAlign w:val="superscript"/>
        </w:rPr>
        <w:t>TM</w:t>
      </w:r>
      <w:r w:rsidRPr="00F5474B">
        <w:rPr>
          <w:rFonts w:ascii="Calibri" w:hAnsi="Calibri" w:cs="Calibri"/>
          <w:noProof/>
          <w:szCs w:val="24"/>
        </w:rPr>
        <w:t xml:space="preserve">. J Am Board Fam Med. 2015;28(4):471–4. </w:t>
      </w:r>
    </w:p>
    <w:p w14:paraId="690055A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70. </w:t>
      </w:r>
      <w:r w:rsidRPr="00F5474B">
        <w:rPr>
          <w:rFonts w:ascii="Calibri" w:hAnsi="Calibri" w:cs="Calibri"/>
          <w:noProof/>
          <w:szCs w:val="24"/>
        </w:rPr>
        <w:tab/>
        <w:t xml:space="preserve">Lester PE, Rios-Rojas L, Islam S, Fazzari MJ, Gomolin IH. Impact of computerized physician order entry alerts on prescribing in older patients. Drugs Aging. 2015;32(3):227–33. </w:t>
      </w:r>
    </w:p>
    <w:p w14:paraId="4CE2989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71. </w:t>
      </w:r>
      <w:r w:rsidRPr="00F5474B">
        <w:rPr>
          <w:rFonts w:ascii="Calibri" w:hAnsi="Calibri" w:cs="Calibri"/>
          <w:noProof/>
          <w:szCs w:val="24"/>
        </w:rPr>
        <w:tab/>
        <w:t xml:space="preserve">Menya D, Platt A, Manji I, Sang E, Wafula R, Ren J, et al. Using pay for performance incentives (P4P) to improve management of suspected malaria </w:t>
      </w:r>
      <w:r w:rsidRPr="00F5474B">
        <w:rPr>
          <w:rFonts w:ascii="Calibri" w:hAnsi="Calibri" w:cs="Calibri"/>
          <w:noProof/>
          <w:szCs w:val="24"/>
        </w:rPr>
        <w:lastRenderedPageBreak/>
        <w:t xml:space="preserve">fevers in rural Kenya: A cluster randomized controlled trial. BMC Med. 2015;13(1). </w:t>
      </w:r>
    </w:p>
    <w:p w14:paraId="2C04F08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72. </w:t>
      </w:r>
      <w:r w:rsidRPr="00F5474B">
        <w:rPr>
          <w:rFonts w:ascii="Calibri" w:hAnsi="Calibri" w:cs="Calibri"/>
          <w:noProof/>
          <w:szCs w:val="24"/>
        </w:rPr>
        <w:tab/>
        <w:t xml:space="preserve">Mestres C, Agustí A, Puerta L, Barba M. Prescription of potentially inappropriate drugs for geriatric patients in long-term care: Improvement through pharmacist’s intervention. Eur J Hosp Pharm. 2015;22(4):198–201. </w:t>
      </w:r>
    </w:p>
    <w:p w14:paraId="548B9DA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73. </w:t>
      </w:r>
      <w:r w:rsidRPr="00F5474B">
        <w:rPr>
          <w:rFonts w:ascii="Calibri" w:hAnsi="Calibri" w:cs="Calibri"/>
          <w:noProof/>
          <w:szCs w:val="24"/>
        </w:rPr>
        <w:tab/>
        <w:t xml:space="preserve">Njuguna J, Menge D, Nzou J, Chege C. Impact of an Intervention to Minimize Overdiagnosis of Malaria Cases in a Low Risk Kenyan sub-County. J Heal Care Poor Underserved. 2015;26(3):802–10. </w:t>
      </w:r>
    </w:p>
    <w:p w14:paraId="0B2B846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74. </w:t>
      </w:r>
      <w:r w:rsidRPr="00F5474B">
        <w:rPr>
          <w:rFonts w:ascii="Calibri" w:hAnsi="Calibri" w:cs="Calibri"/>
          <w:noProof/>
          <w:szCs w:val="24"/>
        </w:rPr>
        <w:tab/>
        <w:t xml:space="preserve">Orl, O V, Menditto E, Guerriero F, Rotunno R. Effectiveness of the cardiopain initiative in reducing inappropriate nsaid prescriptions in pain therapy among high cardiovascular risk patients: An informative italian survey. Heart Int. 2015;10(1):e20–4. </w:t>
      </w:r>
    </w:p>
    <w:p w14:paraId="1F84405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75. </w:t>
      </w:r>
      <w:r w:rsidRPr="00F5474B">
        <w:rPr>
          <w:rFonts w:ascii="Calibri" w:hAnsi="Calibri" w:cs="Calibri"/>
          <w:noProof/>
          <w:szCs w:val="24"/>
        </w:rPr>
        <w:tab/>
        <w:t xml:space="preserve">Rayo MF, Kowalczyk N, Liston BW, S, Ers EB, White S, et al. Comparing the Effectiveness of Alerts and Dynamically Annotated Visualizations (DAVs) in Improving Clinical Decision Making. Hum Factors. 2015;57(6):1002–14. </w:t>
      </w:r>
    </w:p>
    <w:p w14:paraId="2FA5DF7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76. </w:t>
      </w:r>
      <w:r w:rsidRPr="00F5474B">
        <w:rPr>
          <w:rFonts w:ascii="Calibri" w:hAnsi="Calibri" w:cs="Calibri"/>
          <w:noProof/>
          <w:szCs w:val="24"/>
        </w:rPr>
        <w:tab/>
        <w:t xml:space="preserve">Schondelmeyer AC, Simmons JM, Statile AM, Hofacer KE, Smith R, Prine L, et al. Using quality improvement to reduce continuous pulse oximetry use in children with wheezing. Pediatrics. 2015;135(4):e1044-51. </w:t>
      </w:r>
    </w:p>
    <w:p w14:paraId="0979B99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77. </w:t>
      </w:r>
      <w:r w:rsidRPr="00F5474B">
        <w:rPr>
          <w:rFonts w:ascii="Calibri" w:hAnsi="Calibri" w:cs="Calibri"/>
          <w:noProof/>
          <w:szCs w:val="24"/>
        </w:rPr>
        <w:tab/>
        <w:t xml:space="preserve">Shelton JB, Ochotorena L, Bennett C, Shekelle P, Kwan L, Skolarus T, et al. Reducing PSA-Based Prostate Cancer Screening in Men Aged75 Years and Older with the Use of Highly Specific Computerized Clinical Decision Support. J Gen Intern Med. 2015;30(8):1133–9. </w:t>
      </w:r>
    </w:p>
    <w:p w14:paraId="1DD25B0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78. </w:t>
      </w:r>
      <w:r w:rsidRPr="00F5474B">
        <w:rPr>
          <w:rFonts w:ascii="Calibri" w:hAnsi="Calibri" w:cs="Calibri"/>
          <w:noProof/>
          <w:szCs w:val="24"/>
        </w:rPr>
        <w:tab/>
        <w:t xml:space="preserve">So JP, Aleem IS, Tsang DS, Matlow AG, Wright JG, SickKids Surgical Site Infection Task F. Increasing Compliance With an Antibiotic Prophylaxis Guideline to Prevent Pediatric Surgical Site Infection: Before and After Study. Ann Surg. 2015;262(2):403–8. </w:t>
      </w:r>
    </w:p>
    <w:p w14:paraId="29FC099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79. </w:t>
      </w:r>
      <w:r w:rsidRPr="00F5474B">
        <w:rPr>
          <w:rFonts w:ascii="Calibri" w:hAnsi="Calibri" w:cs="Calibri"/>
          <w:noProof/>
          <w:szCs w:val="24"/>
        </w:rPr>
        <w:tab/>
        <w:t xml:space="preserve">Stevens MB, Hastings SN, Powers J, V, Enberg AE, Echt K V, et al. Enhancing the quality of prescribing practices for older veterans discharged from the emergency department (EQUiPPED): Preliminary results from enhancing quality of prescribing practices for older veterans discharged from the emergency department, a novel. J Am Geriatr Soc. 2015;63(5):1025–9. </w:t>
      </w:r>
    </w:p>
    <w:p w14:paraId="4507E59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80. </w:t>
      </w:r>
      <w:r w:rsidRPr="00F5474B">
        <w:rPr>
          <w:rFonts w:ascii="Calibri" w:hAnsi="Calibri" w:cs="Calibri"/>
          <w:noProof/>
          <w:szCs w:val="24"/>
        </w:rPr>
        <w:tab/>
        <w:t xml:space="preserve">Strykowski DF, Nielsen AB, Llor C, Siersma V, Bjerrum L. An intervention with access to C-reactive protein rapid test reduces antibiotic overprescribing in acute exacerbations of chronic bronchitis and COPD. Fam Pract. 2015;32(4):395–400. </w:t>
      </w:r>
    </w:p>
    <w:p w14:paraId="5AFF39C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81. </w:t>
      </w:r>
      <w:r w:rsidRPr="00F5474B">
        <w:rPr>
          <w:rFonts w:ascii="Calibri" w:hAnsi="Calibri" w:cs="Calibri"/>
          <w:noProof/>
          <w:szCs w:val="24"/>
        </w:rPr>
        <w:tab/>
        <w:t xml:space="preserve">Trautner BW, Grigoryan L, Petersen NJ, Hysong S, Cadena J, Patterson JE, et al. Effectiveness of an Antimicrobial Stewardship Approach for Urinary Catheter-Associated Asymptomatic Bacteriuria. JAMA Intern Med. 2015;175(7):1120–7. </w:t>
      </w:r>
    </w:p>
    <w:p w14:paraId="0C5961E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82. </w:t>
      </w:r>
      <w:r w:rsidRPr="00F5474B">
        <w:rPr>
          <w:rFonts w:ascii="Calibri" w:hAnsi="Calibri" w:cs="Calibri"/>
          <w:noProof/>
          <w:szCs w:val="24"/>
        </w:rPr>
        <w:tab/>
        <w:t xml:space="preserve">Boggan JC, Schulteis RD, Donahue M, Simel DL. Guideline-based decision support has a small, non-sustained effect on transthoracic echocardiography ordering frequency. BMJ Qual Saf. 2015;25(1):57–62. </w:t>
      </w:r>
    </w:p>
    <w:p w14:paraId="5C0E0BD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83. </w:t>
      </w:r>
      <w:r w:rsidRPr="00F5474B">
        <w:rPr>
          <w:rFonts w:ascii="Calibri" w:hAnsi="Calibri" w:cs="Calibri"/>
          <w:noProof/>
          <w:szCs w:val="24"/>
        </w:rPr>
        <w:tab/>
        <w:t xml:space="preserve">Brooker DJ, Latham I, Evans SC, Jacobson N, Perry W, Bray J, et al. FITS into practice: Translating research into practice in reducing the use of anti-psychotic medication for people with dementia living in care homes. Aging Ment Heal. 2016;20(7). </w:t>
      </w:r>
    </w:p>
    <w:p w14:paraId="21E871E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84. </w:t>
      </w:r>
      <w:r w:rsidRPr="00F5474B">
        <w:rPr>
          <w:rFonts w:ascii="Calibri" w:hAnsi="Calibri" w:cs="Calibri"/>
          <w:noProof/>
          <w:szCs w:val="24"/>
        </w:rPr>
        <w:tab/>
        <w:t xml:space="preserve">Cossette B, Bergeron J, Ricard G, Ethier JF, Joly-Mischlich T, Levine M, et al. Knowledge Translation Strategy to Reduce the Use of Potentially Inappropriate Medications in Hospitalized Elderly Adults. J Am Geriatr Soc. 2016;64(12):2487–94. </w:t>
      </w:r>
    </w:p>
    <w:p w14:paraId="6D65582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85. </w:t>
      </w:r>
      <w:r w:rsidRPr="00F5474B">
        <w:rPr>
          <w:rFonts w:ascii="Calibri" w:hAnsi="Calibri" w:cs="Calibri"/>
          <w:noProof/>
          <w:szCs w:val="24"/>
        </w:rPr>
        <w:tab/>
        <w:t xml:space="preserve">Depinet H, von Allmen D, Towbin A, Hornung R, Ho M, Aless, et al. Risk Stratification to Decrease Unnecessary Diagnostic Imaging for Acute Appendicitis. Pediatrics. 2016;138(3). </w:t>
      </w:r>
    </w:p>
    <w:p w14:paraId="63F35F0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86. </w:t>
      </w:r>
      <w:r w:rsidRPr="00F5474B">
        <w:rPr>
          <w:rFonts w:ascii="Calibri" w:hAnsi="Calibri" w:cs="Calibri"/>
          <w:noProof/>
          <w:szCs w:val="24"/>
        </w:rPr>
        <w:tab/>
        <w:t xml:space="preserve">Ellis K, Rubal-Peace G, Chang V, Liang E, Wong N, Campbell S. Antimicrobial Stewardship for a Geriatric Behavioral Health Population. Antibiotics. 2016;5(1):19. </w:t>
      </w:r>
    </w:p>
    <w:p w14:paraId="0A90820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87. </w:t>
      </w:r>
      <w:r w:rsidRPr="00F5474B">
        <w:rPr>
          <w:rFonts w:ascii="Calibri" w:hAnsi="Calibri" w:cs="Calibri"/>
          <w:noProof/>
          <w:szCs w:val="24"/>
        </w:rPr>
        <w:tab/>
        <w:t xml:space="preserve">Ellis SD, Chen RC, Dusetzina SB, Wheeler SB, Jackson GL, Nielsen ME, et al. Are small reimbursement changes enough to change cancer care? reimbursement variation in prostate cancer treatment. J Oncol Pract. 2016;12(4):e423–36. </w:t>
      </w:r>
    </w:p>
    <w:p w14:paraId="64D835A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88. </w:t>
      </w:r>
      <w:r w:rsidRPr="00F5474B">
        <w:rPr>
          <w:rFonts w:ascii="Calibri" w:hAnsi="Calibri" w:cs="Calibri"/>
          <w:noProof/>
          <w:szCs w:val="24"/>
        </w:rPr>
        <w:tab/>
        <w:t xml:space="preserve">Elnenaei MO, Campbell SG, Thoni AJ, Lou A, Crocker BD, Nassar BA. An effective utilization management strategy by dual approach of influencing physician ordering and gate keeping. Clin Biochem. 2016;49(3):208–12. </w:t>
      </w:r>
    </w:p>
    <w:p w14:paraId="558E567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89. </w:t>
      </w:r>
      <w:r w:rsidRPr="00F5474B">
        <w:rPr>
          <w:rFonts w:ascii="Calibri" w:hAnsi="Calibri" w:cs="Calibri"/>
          <w:noProof/>
          <w:szCs w:val="24"/>
        </w:rPr>
        <w:tab/>
        <w:t xml:space="preserve">Epstein L, Edwards JR, Halpin AL, Preas MA, Blythe D, Harris AD, et al. Evaluation of a novel intervention to reduce unnecessary urine cultures in intensive care units at a Tertiary Care Hospital in Maryland, 2011-2014. Infect Control Hosp Epidemiol. 2016;37(5):606–9. </w:t>
      </w:r>
    </w:p>
    <w:p w14:paraId="5097685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90. </w:t>
      </w:r>
      <w:r w:rsidRPr="00F5474B">
        <w:rPr>
          <w:rFonts w:ascii="Calibri" w:hAnsi="Calibri" w:cs="Calibri"/>
          <w:noProof/>
          <w:szCs w:val="24"/>
        </w:rPr>
        <w:tab/>
        <w:t xml:space="preserve">Franchi C, Tettamanti M, Djade CD, Pasina L, Mannucci PM, Onder G, et al. E-learning in order to improve drug prescription for hospitalized older patients: a cluster-randomized controlled study. Br J Clin Pharmacol. 2016;82(1):53–63. </w:t>
      </w:r>
    </w:p>
    <w:p w14:paraId="5B8BE23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91. </w:t>
      </w:r>
      <w:r w:rsidRPr="00F5474B">
        <w:rPr>
          <w:rFonts w:ascii="Calibri" w:hAnsi="Calibri" w:cs="Calibri"/>
          <w:noProof/>
          <w:szCs w:val="24"/>
        </w:rPr>
        <w:tab/>
        <w:t xml:space="preserve">Friedman DP, Smith NS. Impact of a Collaborative Radiology Utilization Management Program: Does the Specialty of the Referring Provider Matter? AJR Am J Roentgenol. 2016;207(1):121–5. </w:t>
      </w:r>
    </w:p>
    <w:p w14:paraId="20736DA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92. </w:t>
      </w:r>
      <w:r w:rsidRPr="00F5474B">
        <w:rPr>
          <w:rFonts w:ascii="Calibri" w:hAnsi="Calibri" w:cs="Calibri"/>
          <w:noProof/>
          <w:szCs w:val="24"/>
        </w:rPr>
        <w:tab/>
        <w:t xml:space="preserve">Gertz ZM, O’Donnell W, Raina A, Balderston JR, Litwack AJ, Goldberg LR. Implementation of a Computerized Order Entry Tool to Reduce the Inappropriate and Unnecessary Use of Cardiac Stress Tests With Imaging in Hospitalized Patients. Am J Cardiol. 2016;118(8):1123–7. </w:t>
      </w:r>
    </w:p>
    <w:p w14:paraId="074215D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93. </w:t>
      </w:r>
      <w:r w:rsidRPr="00F5474B">
        <w:rPr>
          <w:rFonts w:ascii="Calibri" w:hAnsi="Calibri" w:cs="Calibri"/>
          <w:noProof/>
          <w:szCs w:val="24"/>
        </w:rPr>
        <w:tab/>
        <w:t xml:space="preserve">Gong CL, Hay JW, Meeker D, Doctor JN. Prescriber preferences for behavioural economics interventions to improve treatment of acute respiratory infections: a discrete choice experiment. BMJ Open. 2016;6(9):e012739. </w:t>
      </w:r>
    </w:p>
    <w:p w14:paraId="0D4D2DE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94. </w:t>
      </w:r>
      <w:r w:rsidRPr="00F5474B">
        <w:rPr>
          <w:rFonts w:ascii="Calibri" w:hAnsi="Calibri" w:cs="Calibri"/>
          <w:noProof/>
          <w:szCs w:val="24"/>
        </w:rPr>
        <w:tab/>
        <w:t xml:space="preserve">Henao-Villada R, Sossa-Briceno MP, Rodriguez-Martinez CE. Impact of the implementation of an evidence-based guideline on diagnostic testing, management, and clinical outcomes for infants with bronchiolitis. Ther Adv Respir Dis. 2016;10(5):425–34. </w:t>
      </w:r>
    </w:p>
    <w:p w14:paraId="64E6CB5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95. </w:t>
      </w:r>
      <w:r w:rsidRPr="00F5474B">
        <w:rPr>
          <w:rFonts w:ascii="Calibri" w:hAnsi="Calibri" w:cs="Calibri"/>
          <w:noProof/>
          <w:szCs w:val="24"/>
        </w:rPr>
        <w:tab/>
        <w:t xml:space="preserve">Holloway KA, Rosella L, Henry D. The Impact of WHO Essential Medicines Policies on Inappropriate Use of Antibiotics. PLoS One. 2016;11(3):e0152020. </w:t>
      </w:r>
    </w:p>
    <w:p w14:paraId="05147D7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96. </w:t>
      </w:r>
      <w:r w:rsidRPr="00F5474B">
        <w:rPr>
          <w:rFonts w:ascii="Calibri" w:hAnsi="Calibri" w:cs="Calibri"/>
          <w:noProof/>
          <w:szCs w:val="24"/>
        </w:rPr>
        <w:tab/>
        <w:t xml:space="preserve">Ioannou A, Jain A, Kassianos G, Missouris C. Survey of the use of domperidone and the association with QTc prolongation in general practice. Postgrad Med J. 2016;92(1089):390–2. </w:t>
      </w:r>
    </w:p>
    <w:p w14:paraId="7E1DE71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97. </w:t>
      </w:r>
      <w:r w:rsidRPr="00F5474B">
        <w:rPr>
          <w:rFonts w:ascii="Calibri" w:hAnsi="Calibri" w:cs="Calibri"/>
          <w:noProof/>
          <w:szCs w:val="24"/>
        </w:rPr>
        <w:tab/>
        <w:t xml:space="preserve">Lasser EC, Pfoh ER, Chang HY, Chan KS, Bailey JC, Kharrazi H, et al. Has Choosing Wisely affected rates of dual-energy X-ray absorptiometry use? Osteoporos Int. 2016;27(7):2311–6. </w:t>
      </w:r>
    </w:p>
    <w:p w14:paraId="5C3650C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98. </w:t>
      </w:r>
      <w:r w:rsidRPr="00F5474B">
        <w:rPr>
          <w:rFonts w:ascii="Calibri" w:hAnsi="Calibri" w:cs="Calibri"/>
          <w:noProof/>
          <w:szCs w:val="24"/>
        </w:rPr>
        <w:tab/>
        <w:t xml:space="preserve">Lesuis N, Hulscher ME, Piek E, Demirel H, van der Laan-Baalbergen N, Meek I, et al. Choosing Wisely in Daily Practice: An Intervention Study on Antinuclear Antibody Testing by Rheumatologists. Arthritis Care Res (Hoboken). 2016;68(4):562–9. </w:t>
      </w:r>
    </w:p>
    <w:p w14:paraId="2AC6388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99. </w:t>
      </w:r>
      <w:r w:rsidRPr="00F5474B">
        <w:rPr>
          <w:rFonts w:ascii="Calibri" w:hAnsi="Calibri" w:cs="Calibri"/>
          <w:noProof/>
          <w:szCs w:val="24"/>
        </w:rPr>
        <w:tab/>
        <w:t xml:space="preserve">Link TL, Townsend ML, Leung E, Kommu S, Vega RY, Hendrix CC. Reducing Inappropriate Antibiotic Prescribing for Adults With Acute Bronchitis in an Urgent Care Setting: A Quality Improvement Initiative. Adv Emerg Nurs J. 2016;38(4):327–35. </w:t>
      </w:r>
    </w:p>
    <w:p w14:paraId="1172DF5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100. </w:t>
      </w:r>
      <w:r w:rsidRPr="00F5474B">
        <w:rPr>
          <w:rFonts w:ascii="Calibri" w:hAnsi="Calibri" w:cs="Calibri"/>
          <w:noProof/>
          <w:szCs w:val="24"/>
        </w:rPr>
        <w:tab/>
        <w:t xml:space="preserve">May L, Franks P, Jerant A, Fenton J. Watchful Waiting Strategy May Reduce Low-Value Diagnostic Testing. J Am Board Fam Med JABFM. 2016;29(6):710–7. </w:t>
      </w:r>
    </w:p>
    <w:p w14:paraId="7EEF001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101. </w:t>
      </w:r>
      <w:r w:rsidRPr="00F5474B">
        <w:rPr>
          <w:rFonts w:ascii="Calibri" w:hAnsi="Calibri" w:cs="Calibri"/>
          <w:noProof/>
          <w:szCs w:val="24"/>
        </w:rPr>
        <w:tab/>
        <w:t xml:space="preserve">McLellan L, Dornan T, Newton P, Williams SD, Lewis P, Steinke D, et al. Pharmacist-led feedback workshops increase appropriate prescribing of antimicrobials. J Antimicrob Chemother. 2016;71(5):1415–25. </w:t>
      </w:r>
    </w:p>
    <w:p w14:paraId="31E288D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102. </w:t>
      </w:r>
      <w:r w:rsidRPr="00F5474B">
        <w:rPr>
          <w:rFonts w:ascii="Calibri" w:hAnsi="Calibri" w:cs="Calibri"/>
          <w:noProof/>
          <w:szCs w:val="24"/>
        </w:rPr>
        <w:tab/>
        <w:t xml:space="preserve">Morgan S, Morgan A, Kerr R, Tapley A, Magin P. Test ordering by GP trainees: Effects of an educational intervention on attitudes and intended practice. Can Fam Physician. 2016;62(9):733–41. </w:t>
      </w:r>
    </w:p>
    <w:p w14:paraId="5AA91CF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103. </w:t>
      </w:r>
      <w:r w:rsidRPr="00F5474B">
        <w:rPr>
          <w:rFonts w:ascii="Calibri" w:hAnsi="Calibri" w:cs="Calibri"/>
          <w:noProof/>
          <w:szCs w:val="24"/>
        </w:rPr>
        <w:tab/>
        <w:t xml:space="preserve">Panesar P, Jones A, Aldous A, Kranzer K, Halpin E, Fifer H, et al. Attitudes and Behaviours to Antimicrobial Prescribing following Introduction of a Smartphone App. PLoS One. 2016;11(4):e0154202. </w:t>
      </w:r>
    </w:p>
    <w:p w14:paraId="24C9F12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104. </w:t>
      </w:r>
      <w:r w:rsidRPr="00F5474B">
        <w:rPr>
          <w:rFonts w:ascii="Calibri" w:hAnsi="Calibri" w:cs="Calibri"/>
          <w:noProof/>
          <w:szCs w:val="24"/>
        </w:rPr>
        <w:tab/>
        <w:t xml:space="preserve">Persell SD, Doctor JN, Friedberg MW, Meeker D, Friesema E, Cooper A, et al. Behavioral interventions to reduce inappropriate antibiotic prescribing: a randomized pilot trial. BMC Infect Dis. 2016;16:373. </w:t>
      </w:r>
    </w:p>
    <w:p w14:paraId="723607F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105. </w:t>
      </w:r>
      <w:r w:rsidRPr="00F5474B">
        <w:rPr>
          <w:rFonts w:ascii="Calibri" w:hAnsi="Calibri" w:cs="Calibri"/>
          <w:noProof/>
          <w:szCs w:val="24"/>
        </w:rPr>
        <w:tab/>
        <w:t xml:space="preserve">Petrou P. Failed Attempts to Reduce Inappropriate Laboratory Utilization in an Emergency Department Setting in Cyprus: Lessons Learned. J Emerg Med. 2016;50(3):510–7. </w:t>
      </w:r>
    </w:p>
    <w:p w14:paraId="1DDC668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106. </w:t>
      </w:r>
      <w:r w:rsidRPr="00F5474B">
        <w:rPr>
          <w:rFonts w:ascii="Calibri" w:hAnsi="Calibri" w:cs="Calibri"/>
          <w:noProof/>
          <w:szCs w:val="24"/>
        </w:rPr>
        <w:tab/>
        <w:t xml:space="preserve">Sartelli M, Labricciosa FM, Scoccia L, Bellesi J, Mazzoccanti MR, Scaloni G, et al. Non-Restrictive Antimicrobial Stewardship Program in a General and Emergency Surgery Unit. Surg Infect (Larchmt). 2016;17(4):485–90. </w:t>
      </w:r>
    </w:p>
    <w:p w14:paraId="2B56DE3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107. </w:t>
      </w:r>
      <w:r w:rsidRPr="00F5474B">
        <w:rPr>
          <w:rFonts w:ascii="Calibri" w:hAnsi="Calibri" w:cs="Calibri"/>
          <w:noProof/>
          <w:szCs w:val="24"/>
        </w:rPr>
        <w:tab/>
        <w:t xml:space="preserve">Song I, Choi SH, Shin JY. Trends in prescription of pregnancy-contraindicated drugs in Korea, 2007-2011. Regul Toxicol Pharmacol. 2016;75:35–45. </w:t>
      </w:r>
    </w:p>
    <w:p w14:paraId="3E97467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108. </w:t>
      </w:r>
      <w:r w:rsidRPr="00F5474B">
        <w:rPr>
          <w:rFonts w:ascii="Calibri" w:hAnsi="Calibri" w:cs="Calibri"/>
          <w:noProof/>
          <w:szCs w:val="24"/>
        </w:rPr>
        <w:tab/>
        <w:t xml:space="preserve">Spence SC, McAlister W, Reed B, Zare M, Bingham B, Low J, et al. A Multispecialty Collaboration to Reduce Unnecessary Imaging for Knee Osteoarthritis. J Am Coll Radiol. 2016;13(11):1343–6. </w:t>
      </w:r>
    </w:p>
    <w:p w14:paraId="4C76E0F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109. </w:t>
      </w:r>
      <w:r w:rsidRPr="00F5474B">
        <w:rPr>
          <w:rFonts w:ascii="Calibri" w:hAnsi="Calibri" w:cs="Calibri"/>
          <w:noProof/>
          <w:szCs w:val="24"/>
        </w:rPr>
        <w:tab/>
        <w:t xml:space="preserve">Stinnett-Donnelly JM, Stevens PG, Hood VL. Developing a high value care programme from the bottom up: a programme of faculty-resident improvement projects targeting harmful or unnecessary care. BMJ Qual Saf. 2016;25(11):901–8. </w:t>
      </w:r>
    </w:p>
    <w:p w14:paraId="07A1B4E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110. </w:t>
      </w:r>
      <w:r w:rsidRPr="00F5474B">
        <w:rPr>
          <w:rFonts w:ascii="Calibri" w:hAnsi="Calibri" w:cs="Calibri"/>
          <w:noProof/>
          <w:szCs w:val="24"/>
        </w:rPr>
        <w:tab/>
        <w:t xml:space="preserve">Thompson I, Lavelle C, Leonard L. An evaluation of the effectiveness of an algorithm intervention in reducing inappropriate faecal samples sent for </w:t>
      </w:r>
      <w:r w:rsidRPr="00F5474B">
        <w:rPr>
          <w:rFonts w:ascii="Calibri" w:hAnsi="Calibri" w:cs="Calibri"/>
          <w:noProof/>
          <w:szCs w:val="24"/>
        </w:rPr>
        <w:lastRenderedPageBreak/>
        <w:t xml:space="preserve">Clostridium difficile testing. J Infect Prev. 2016;17(6). </w:t>
      </w:r>
    </w:p>
    <w:p w14:paraId="61A6EDB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111. </w:t>
      </w:r>
      <w:r w:rsidRPr="00F5474B">
        <w:rPr>
          <w:rFonts w:ascii="Calibri" w:hAnsi="Calibri" w:cs="Calibri"/>
          <w:noProof/>
          <w:szCs w:val="24"/>
        </w:rPr>
        <w:tab/>
        <w:t xml:space="preserve">Vellinga A, Galvin S, Duane S, Callan A, Bennett K, Cormican M, et al. Intervention to improve the quality of antimicrobial prescribing for urinary tract infection: a cluster randomized trial. C Can Med Assoc J. 2016;188(2):108–15. </w:t>
      </w:r>
    </w:p>
    <w:p w14:paraId="5BF99A5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112. </w:t>
      </w:r>
      <w:r w:rsidRPr="00F5474B">
        <w:rPr>
          <w:rFonts w:ascii="Calibri" w:hAnsi="Calibri" w:cs="Calibri"/>
          <w:noProof/>
          <w:szCs w:val="24"/>
        </w:rPr>
        <w:tab/>
        <w:t xml:space="preserve">Yeo JM. Antimicrobial stewardship: Improving antibiotic prescribing practice in a respiratory ward. BMJ Qual Improv Reports. 2016;5(1). </w:t>
      </w:r>
    </w:p>
    <w:p w14:paraId="11A2927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113. </w:t>
      </w:r>
      <w:r w:rsidRPr="00F5474B">
        <w:rPr>
          <w:rFonts w:ascii="Calibri" w:hAnsi="Calibri" w:cs="Calibri"/>
          <w:noProof/>
          <w:szCs w:val="24"/>
        </w:rPr>
        <w:tab/>
        <w:t xml:space="preserve">Barnes GD, Misirliyan S, Kaatz S, Jackson EA, Haymart B, Kline-Rogers E, et al. Barriers and facilitators to reducing frequent laboratory testing for patients who are stable on warfarin: a mixed methods study of de-implementation in five anticoagulation clinics. Implement Sci. 2017;12(1):87. </w:t>
      </w:r>
    </w:p>
    <w:p w14:paraId="24D97BB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114. </w:t>
      </w:r>
      <w:r w:rsidRPr="00F5474B">
        <w:rPr>
          <w:rFonts w:ascii="Calibri" w:hAnsi="Calibri" w:cs="Calibri"/>
          <w:noProof/>
          <w:szCs w:val="24"/>
        </w:rPr>
        <w:tab/>
        <w:t xml:space="preserve">Belfield KD, Kuyumjian AG, Teran R, Amadi M, Blatt M, Bicking K. Impact of A Collaborative Strategy to Reduce the Inappropriate Use of Acid Suppressive Therapy in Non-Intensive Care Unit Patients. Ann Pharmacother. 2017;51(7):577–83. </w:t>
      </w:r>
    </w:p>
    <w:p w14:paraId="466B832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115. </w:t>
      </w:r>
      <w:r w:rsidRPr="00F5474B">
        <w:rPr>
          <w:rFonts w:ascii="Calibri" w:hAnsi="Calibri" w:cs="Calibri"/>
          <w:noProof/>
          <w:szCs w:val="24"/>
        </w:rPr>
        <w:tab/>
        <w:t xml:space="preserve">Bond SE, Boutlis CS, Yeo WW, Miyakis S. Impact of an antimicrobial stewardship intervention on appropriateness of prescribing for community-acquired pneumonia in an Australian regional hospital. Intern Med J. 2017;47(5). </w:t>
      </w:r>
    </w:p>
    <w:p w14:paraId="2592618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116. </w:t>
      </w:r>
      <w:r w:rsidRPr="00F5474B">
        <w:rPr>
          <w:rFonts w:ascii="Calibri" w:hAnsi="Calibri" w:cs="Calibri"/>
          <w:noProof/>
          <w:szCs w:val="24"/>
        </w:rPr>
        <w:tab/>
        <w:t xml:space="preserve">Bookman K, West D, Ginde A, Wiler J, McIntyre R, Hammes A, et al. Embedded Clinical Decision Support in Electronic Health Record Decreases Use of High-cost Imaging in the Emergency Department: EmbED study. Acad Emerg Med. 2017;24(7):839–45. </w:t>
      </w:r>
    </w:p>
    <w:p w14:paraId="7BB552E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117. </w:t>
      </w:r>
      <w:r w:rsidRPr="00F5474B">
        <w:rPr>
          <w:rFonts w:ascii="Calibri" w:hAnsi="Calibri" w:cs="Calibri"/>
          <w:noProof/>
          <w:szCs w:val="24"/>
        </w:rPr>
        <w:tab/>
        <w:t xml:space="preserve">Frankenthal D, Israeli A, Caraco Y, Lerman Y, Kalendaryev E, Z, et al. Long-Term Outcomes of Medication Intervention Using the Screening Tool of Older Persons Potentially Inappropriate Prescriptions Screening Tool to Alert Doctors to Right Treatment Criteria. J Am Geriatr Soc. 2017;65(2):e33–8. </w:t>
      </w:r>
    </w:p>
    <w:p w14:paraId="7639A12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118. </w:t>
      </w:r>
      <w:r w:rsidRPr="00F5474B">
        <w:rPr>
          <w:rFonts w:ascii="Calibri" w:hAnsi="Calibri" w:cs="Calibri"/>
          <w:noProof/>
          <w:szCs w:val="24"/>
        </w:rPr>
        <w:tab/>
        <w:t xml:space="preserve">Freer J, Ally T, Brugha R. Impact of Centor scores on determining antibiotic prescribing in children. Int J Health Care Qual Assur. 2016;30(4):319–26. </w:t>
      </w:r>
    </w:p>
    <w:p w14:paraId="1BE9764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119. </w:t>
      </w:r>
      <w:r w:rsidRPr="00F5474B">
        <w:rPr>
          <w:rFonts w:ascii="Calibri" w:hAnsi="Calibri" w:cs="Calibri"/>
          <w:noProof/>
          <w:szCs w:val="24"/>
        </w:rPr>
        <w:tab/>
        <w:t xml:space="preserve">Gillespie P, Clyne B, Raymakers A, Fahey T, Hughes CM, Smith SM. Reducing Potentially Inappropriate Prescribing for Older People in Primary Care: Cost-Effectiveness of the Opti-Script Intervention. Int J Technol Assess Health Care. 2017;33(4):494–503. </w:t>
      </w:r>
    </w:p>
    <w:p w14:paraId="666BFC9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120. </w:t>
      </w:r>
      <w:r w:rsidRPr="00F5474B">
        <w:rPr>
          <w:rFonts w:ascii="Calibri" w:hAnsi="Calibri" w:cs="Calibri"/>
          <w:noProof/>
          <w:szCs w:val="24"/>
        </w:rPr>
        <w:tab/>
        <w:t xml:space="preserve">Hannou S, Voirol P, Pannatier A, Weibel ML, Sadeghipour F, von Gunten A, et al. Pharmacist intervention acceptance for the reduction of potentially inappropriate drug prescribing in acute psychiatry. Int J Clin Pharm. 2017;39(6):1228–36. </w:t>
      </w:r>
    </w:p>
    <w:p w14:paraId="57C591B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121. </w:t>
      </w:r>
      <w:r w:rsidRPr="00F5474B">
        <w:rPr>
          <w:rFonts w:ascii="Calibri" w:hAnsi="Calibri" w:cs="Calibri"/>
          <w:noProof/>
          <w:szCs w:val="24"/>
        </w:rPr>
        <w:tab/>
        <w:t xml:space="preserve">Hemkens LG, Saccilotto R, Reyes SL, Glinz D, Zumbrunn T, Grolimund O, et al. Personalized Prescription Feedback Using Routinely Collected Data to Reduce Antibiotic Use in Primary Care: A Randomized Clinical Trial. JAMA Intern Med. 2017;177(2):176–83. </w:t>
      </w:r>
    </w:p>
    <w:p w14:paraId="5174963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122. </w:t>
      </w:r>
      <w:r w:rsidRPr="00F5474B">
        <w:rPr>
          <w:rFonts w:ascii="Calibri" w:hAnsi="Calibri" w:cs="Calibri"/>
          <w:noProof/>
          <w:szCs w:val="24"/>
        </w:rPr>
        <w:tab/>
        <w:t xml:space="preserve">Ip IK, Lacson R, Hentel K, Malhotra S, Darer J, Langlotz C, et al. JOURNAL CLUB: Predictors of Provider Response to Clinical Decision Support: Lessons Learned From the Medicare Imaging Demonstration. AJR Am J Roentgenol. 2017;208(2):351–7. </w:t>
      </w:r>
    </w:p>
    <w:p w14:paraId="00B3895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123. </w:t>
      </w:r>
      <w:r w:rsidRPr="00F5474B">
        <w:rPr>
          <w:rFonts w:ascii="Calibri" w:hAnsi="Calibri" w:cs="Calibri"/>
          <w:noProof/>
          <w:szCs w:val="24"/>
        </w:rPr>
        <w:tab/>
        <w:t xml:space="preserve">Jones EB, Swain M, Burdick T. Using clinical decision support to reduce inappropriate imaging: A health care improvement case study. J Clin Outcomes Manag. 2017;24(11). </w:t>
      </w:r>
    </w:p>
    <w:p w14:paraId="02A7609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124. </w:t>
      </w:r>
      <w:r w:rsidRPr="00F5474B">
        <w:rPr>
          <w:rFonts w:ascii="Calibri" w:hAnsi="Calibri" w:cs="Calibri"/>
          <w:noProof/>
          <w:szCs w:val="24"/>
        </w:rPr>
        <w:tab/>
        <w:t xml:space="preserve">Karthikeyan G, Shirodkar U, Rajivlochan M, Birch S. Appropriateness-based reimbursement of elective invasive coronary procedures in low- and middle-income countries: Preliminary assessment of feasibility in India. Natl Med J India. 2017;30(1):11–4. </w:t>
      </w:r>
    </w:p>
    <w:p w14:paraId="6A30250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125. </w:t>
      </w:r>
      <w:r w:rsidRPr="00F5474B">
        <w:rPr>
          <w:rFonts w:ascii="Calibri" w:hAnsi="Calibri" w:cs="Calibri"/>
          <w:noProof/>
          <w:szCs w:val="24"/>
        </w:rPr>
        <w:tab/>
        <w:t xml:space="preserve">Kessel L, Erngaard D, Flesner P, Andresen J, Hjortdal J. Do evidence-based guidelines change clinical practice patterns? Acta Opthalmologica. 2017;95(4):337–43. </w:t>
      </w:r>
    </w:p>
    <w:p w14:paraId="5408F25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126. </w:t>
      </w:r>
      <w:r w:rsidRPr="00F5474B">
        <w:rPr>
          <w:rFonts w:ascii="Calibri" w:hAnsi="Calibri" w:cs="Calibri"/>
          <w:noProof/>
          <w:szCs w:val="24"/>
        </w:rPr>
        <w:tab/>
        <w:t xml:space="preserve">Lacson R, Ip I, Hentel KD, Malhotra S, Balthazar P, Langlotz CP, et al. Medicare Imaging Demonstration: Assessing Attributes of Appropriate Use Criteria and Their Influence on Ordering Behavior. AJR Am J Roentgenol. 2017;208(5):1051–7. </w:t>
      </w:r>
    </w:p>
    <w:p w14:paraId="7645C3B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127. </w:t>
      </w:r>
      <w:r w:rsidRPr="00F5474B">
        <w:rPr>
          <w:rFonts w:ascii="Calibri" w:hAnsi="Calibri" w:cs="Calibri"/>
          <w:noProof/>
          <w:szCs w:val="24"/>
        </w:rPr>
        <w:tab/>
        <w:t xml:space="preserve">Lambl BB, Kaufman N, Kurowski J, O’Neill W, Buckley F. J, Duram M, et al. Does electronic stewardship work? J Am Med Informatics Assoc. 2017;24(5):981–5. </w:t>
      </w:r>
    </w:p>
    <w:p w14:paraId="6D71B0E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128. </w:t>
      </w:r>
      <w:r w:rsidRPr="00F5474B">
        <w:rPr>
          <w:rFonts w:ascii="Calibri" w:hAnsi="Calibri" w:cs="Calibri"/>
          <w:noProof/>
          <w:szCs w:val="24"/>
        </w:rPr>
        <w:tab/>
        <w:t xml:space="preserve">Lapic I, Juros GF, Rako I, Rogic D. Changing the electronic request form proves to be an effective tool for optimizing laboratory test utilization in the emergency department. Int J Med Inform. 2017;102:29–34. </w:t>
      </w:r>
    </w:p>
    <w:p w14:paraId="3D9C3F9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129. </w:t>
      </w:r>
      <w:r w:rsidRPr="00F5474B">
        <w:rPr>
          <w:rFonts w:ascii="Calibri" w:hAnsi="Calibri" w:cs="Calibri"/>
          <w:noProof/>
          <w:szCs w:val="24"/>
        </w:rPr>
        <w:tab/>
        <w:t xml:space="preserve">Linder JA, Meeker D, Fox CR, Friedberg MW, Persell SD, Goldstein NJ, et al. Effects of Behavioral Interventions on Inappropriate Antibiotic Prescribing in Primary Care 12 Months After Stopping Interventions. JAMA. 2017;318(14):1391–2. </w:t>
      </w:r>
    </w:p>
    <w:p w14:paraId="2E40948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130. </w:t>
      </w:r>
      <w:r w:rsidRPr="00F5474B">
        <w:rPr>
          <w:rFonts w:ascii="Calibri" w:hAnsi="Calibri" w:cs="Calibri"/>
          <w:noProof/>
          <w:szCs w:val="24"/>
        </w:rPr>
        <w:tab/>
        <w:t xml:space="preserve">Luo HL, Fan QZ, Xiao SL, Chen K. Impact of clinical pharmacist interventions on inappropriate prophylactic acid suppressant use in hepatobiliary surgical patients undergoing elective operations. PLoS One. 2017;12(10):15. </w:t>
      </w:r>
    </w:p>
    <w:p w14:paraId="7E8F68A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131. </w:t>
      </w:r>
      <w:r w:rsidRPr="00F5474B">
        <w:rPr>
          <w:rFonts w:ascii="Calibri" w:hAnsi="Calibri" w:cs="Calibri"/>
          <w:noProof/>
          <w:szCs w:val="24"/>
        </w:rPr>
        <w:tab/>
        <w:t xml:space="preserve">Nault V, Pepin J, Beaudoin M, Perron J, Moutquin JM, Valiquette L. Sustained impact of a computer-assisted antimicrobial stewardship intervention on antimicrobial use and length of stay. J Antimicrob Chemother. 2017;72(3):933–40. </w:t>
      </w:r>
    </w:p>
    <w:p w14:paraId="5EAF4F9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132. </w:t>
      </w:r>
      <w:r w:rsidRPr="00F5474B">
        <w:rPr>
          <w:rFonts w:ascii="Calibri" w:hAnsi="Calibri" w:cs="Calibri"/>
          <w:noProof/>
          <w:szCs w:val="24"/>
        </w:rPr>
        <w:tab/>
        <w:t xml:space="preserve">Prochaska MT, Hohmann SF, Modes M, Arora VM. Trends in troponin-only testing for AMI in academic teaching hospitals and the impact of choosing wisely®. J Hosp Med. 2017;12(12):957–62. </w:t>
      </w:r>
    </w:p>
    <w:p w14:paraId="068D749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133. </w:t>
      </w:r>
      <w:r w:rsidRPr="00F5474B">
        <w:rPr>
          <w:rFonts w:ascii="Calibri" w:hAnsi="Calibri" w:cs="Calibri"/>
          <w:noProof/>
          <w:szCs w:val="24"/>
        </w:rPr>
        <w:tab/>
        <w:t xml:space="preserve">Roifman I, Austin PC, Qiu F, Wijeysundera HC. Impact of the Publication of Appropriate Use Criteria on Utilization Rates of Myocardial Perfusion Imaging Studies in Ontario, Canada: A Population-Based Study. J Am Heart Assoc. 2017;6(6):5. </w:t>
      </w:r>
    </w:p>
    <w:p w14:paraId="7BBE1CF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134. </w:t>
      </w:r>
      <w:r w:rsidRPr="00F5474B">
        <w:rPr>
          <w:rFonts w:ascii="Calibri" w:hAnsi="Calibri" w:cs="Calibri"/>
          <w:noProof/>
          <w:szCs w:val="24"/>
        </w:rPr>
        <w:tab/>
        <w:t xml:space="preserve">Ruhl, J., D, Bellone JM, Wilkes E. Implementation and Assessment of an Ambulatory Prescribing Guidance Tool to Improve Patient Safety in the Geriatric Population. Consult Pharm. 2017;32(3):169–74. </w:t>
      </w:r>
    </w:p>
    <w:p w14:paraId="476B243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135. </w:t>
      </w:r>
      <w:r w:rsidRPr="00F5474B">
        <w:rPr>
          <w:rFonts w:ascii="Calibri" w:hAnsi="Calibri" w:cs="Calibri"/>
          <w:noProof/>
          <w:szCs w:val="24"/>
        </w:rPr>
        <w:tab/>
        <w:t xml:space="preserve">Sikkens JJ, van Agtmael MA, Peters EJG, Lettinga KD, van der Kuip M, V, et al. Behavioral Approach to Appropriate Antimicrobial Prescribing in Hospitals: The Dutch Unique Method for Antimicrobial Stewardship (DUMAS) Participatory Intervention Study. JAMA Intern Med. 2017;177(8):1130–8. </w:t>
      </w:r>
    </w:p>
    <w:p w14:paraId="74588FF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136. </w:t>
      </w:r>
      <w:r w:rsidRPr="00F5474B">
        <w:rPr>
          <w:rFonts w:ascii="Calibri" w:hAnsi="Calibri" w:cs="Calibri"/>
          <w:noProof/>
          <w:szCs w:val="24"/>
        </w:rPr>
        <w:tab/>
        <w:t xml:space="preserve">Sim EY, Tan DJA, Abdullah HR. The use of computerized physician order entry with clinical decision support reduces practice variance in ordering </w:t>
      </w:r>
      <w:r w:rsidRPr="00F5474B">
        <w:rPr>
          <w:rFonts w:ascii="Calibri" w:hAnsi="Calibri" w:cs="Calibri"/>
          <w:noProof/>
          <w:szCs w:val="24"/>
        </w:rPr>
        <w:lastRenderedPageBreak/>
        <w:t xml:space="preserve">preoperative investigations: A retrospective cohort study. Int J Med Inform. 2017;108:29–35. </w:t>
      </w:r>
    </w:p>
    <w:p w14:paraId="0497F5F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137. </w:t>
      </w:r>
      <w:r w:rsidRPr="00F5474B">
        <w:rPr>
          <w:rFonts w:ascii="Calibri" w:hAnsi="Calibri" w:cs="Calibri"/>
          <w:noProof/>
          <w:szCs w:val="24"/>
        </w:rPr>
        <w:tab/>
        <w:t xml:space="preserve">Song I, Shin HN, Shin JY. Decrease in use of contraindicated drugs with automated alerts in children. Pediatr Int. 2017;59(6):720–6. </w:t>
      </w:r>
    </w:p>
    <w:p w14:paraId="54C3A25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138. </w:t>
      </w:r>
      <w:r w:rsidRPr="00F5474B">
        <w:rPr>
          <w:rFonts w:ascii="Calibri" w:hAnsi="Calibri" w:cs="Calibri"/>
          <w:noProof/>
          <w:szCs w:val="24"/>
        </w:rPr>
        <w:tab/>
        <w:t xml:space="preserve">Stocks SJ, Kontopantelis E, Webb RT, Avery AJ, Burns A, Ashcroft DM. Antipsychotic Prescribing to Patients Diagnosed with Dementia Without a Diagnosis of Psychosis in the Context of National Guidance and Drug Safety Warnings: Longitudinal Study in UK General Practice. Drug Saf. 2017;40(8):679–92. </w:t>
      </w:r>
    </w:p>
    <w:p w14:paraId="703740B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139. </w:t>
      </w:r>
      <w:r w:rsidRPr="00F5474B">
        <w:rPr>
          <w:rFonts w:ascii="Calibri" w:hAnsi="Calibri" w:cs="Calibri"/>
          <w:noProof/>
          <w:szCs w:val="24"/>
        </w:rPr>
        <w:tab/>
        <w:t xml:space="preserve">V, Erman AJ, Moss JM, Bryan W. E. 3rd, Sloane R, Jackson GL, et al. Evaluating the Impact of Medication Safety Alerts on Prescribing of Potentially Inappropriate Medications for Older Veterans in an Ambulatory Care Setting. J Pharm Pract. 2017;30(1):82–8. </w:t>
      </w:r>
    </w:p>
    <w:p w14:paraId="12B9876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140. </w:t>
      </w:r>
      <w:r w:rsidRPr="00F5474B">
        <w:rPr>
          <w:rFonts w:ascii="Calibri" w:hAnsi="Calibri" w:cs="Calibri"/>
          <w:noProof/>
          <w:szCs w:val="24"/>
        </w:rPr>
        <w:tab/>
        <w:t xml:space="preserve">Wei XL, Zhang ZT, Walley JD, Hicks JP, Zeng J, Deng SM, et al. Effect of a training and educational intervention for physicians and caregivers on antibiotic prescribing for upper respiratory tract infections in children at primary care facilities in rural China: a cluster-randomised controlled trial. Lancet Glob Heal. 2017;5(12):E1258–67. </w:t>
      </w:r>
    </w:p>
    <w:p w14:paraId="728CC18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141. </w:t>
      </w:r>
      <w:r w:rsidRPr="00F5474B">
        <w:rPr>
          <w:rFonts w:ascii="Calibri" w:hAnsi="Calibri" w:cs="Calibri"/>
          <w:noProof/>
          <w:szCs w:val="24"/>
        </w:rPr>
        <w:tab/>
        <w:t xml:space="preserve">Weiner SG, Baker O, Poon SJ, Rodgers AF, Garner C, Nelson LS, et al. The Effect of Opioid Prescribing Guidelines on Prescriptions by Emergency Physicians in Ohio. Ann Emerg Med. 2017;70(6):799-808.e1. </w:t>
      </w:r>
    </w:p>
    <w:p w14:paraId="1CE83D1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142. </w:t>
      </w:r>
      <w:r w:rsidRPr="00F5474B">
        <w:rPr>
          <w:rFonts w:ascii="Calibri" w:hAnsi="Calibri" w:cs="Calibri"/>
          <w:noProof/>
          <w:szCs w:val="24"/>
        </w:rPr>
        <w:tab/>
        <w:t xml:space="preserve">Yogo N, Shihadeh K, Young H, Calcaterra SL, Knepper BC, Burman WJ, et al. Intervention to Reduce Broad-Spectrum Antibiotics and Treatment Durations Prescribed at the Time of Hospital Discharge: A Novel Stewardship Approach. Infect Control Hosp Epidemiol. 2017;38(5):534–41. </w:t>
      </w:r>
    </w:p>
    <w:p w14:paraId="147C834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143. </w:t>
      </w:r>
      <w:r w:rsidRPr="00F5474B">
        <w:rPr>
          <w:rFonts w:ascii="Calibri" w:hAnsi="Calibri" w:cs="Calibri"/>
          <w:noProof/>
          <w:szCs w:val="24"/>
        </w:rPr>
        <w:tab/>
        <w:t xml:space="preserve">Breakell R, Thorndyke B, Clennett J, Harkensee C. Reducing unnecessary chest X-rays, antibiotics and bronchodilators through implementation of the NICE bronchiolitis guideline. Eur J Pediatr. 2018;177(1):47–51. </w:t>
      </w:r>
    </w:p>
    <w:p w14:paraId="07C5388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144. </w:t>
      </w:r>
      <w:r w:rsidRPr="00F5474B">
        <w:rPr>
          <w:rFonts w:ascii="Calibri" w:hAnsi="Calibri" w:cs="Calibri"/>
          <w:noProof/>
          <w:szCs w:val="24"/>
        </w:rPr>
        <w:tab/>
        <w:t xml:space="preserve">Gong CL, Zangwill KM, Hay JW, Meeker D, Doctor JN. Behavioral Economics Interventions to Improve Outpatient Antibiotic Prescribing for Acute Respiratory Infections: a Cost-Effectiveness Analysis. J Gen Intern Med. 2019;8:8. </w:t>
      </w:r>
    </w:p>
    <w:p w14:paraId="34163E9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145. </w:t>
      </w:r>
      <w:r w:rsidRPr="00F5474B">
        <w:rPr>
          <w:rFonts w:ascii="Calibri" w:hAnsi="Calibri" w:cs="Calibri"/>
          <w:noProof/>
          <w:szCs w:val="24"/>
        </w:rPr>
        <w:tab/>
        <w:t xml:space="preserve">Graves JM, Fulton-Kehoe D, Jarvik JG, Franklin GM. Impact of an Advanced Imaging Utilization Review Program on Downstream Health Care Utilization and Costs for Low Back Pain. Med Care. 2018;56(6):520–8. </w:t>
      </w:r>
    </w:p>
    <w:p w14:paraId="546B7BB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146. </w:t>
      </w:r>
      <w:r w:rsidRPr="00F5474B">
        <w:rPr>
          <w:rFonts w:ascii="Calibri" w:hAnsi="Calibri" w:cs="Calibri"/>
          <w:noProof/>
          <w:szCs w:val="24"/>
        </w:rPr>
        <w:tab/>
        <w:t xml:space="preserve">Gregg JR, Bhalla RG, Cook JP, Kang C, Dmochowski R, Talbot TR, et al. An Evidence-Based Protocol for Antibiotic Use Prior to Cystoscopy Decreases Antibiotic Use without Impacting Post-Procedural Symptomatic Urinary Tract Infection Rates. J Urol. 2018;199(4):1004–10. </w:t>
      </w:r>
    </w:p>
    <w:p w14:paraId="3A7543E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147. </w:t>
      </w:r>
      <w:r w:rsidRPr="00F5474B">
        <w:rPr>
          <w:rFonts w:ascii="Calibri" w:hAnsi="Calibri" w:cs="Calibri"/>
          <w:noProof/>
          <w:szCs w:val="24"/>
        </w:rPr>
        <w:tab/>
        <w:t xml:space="preserve">Lemiengre MB, Verbakel JY, Colman R, De Burghgraeve T, Buntinx F, Aertgeerts B, et al. Reducing inappropriate antibiotic prescribing for children in primary care: a cluster randomised controlled trial of two interventions. Br J Gen Pract. 2018;68(668):e204–10. </w:t>
      </w:r>
    </w:p>
    <w:p w14:paraId="3FBA4EB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148. </w:t>
      </w:r>
      <w:r w:rsidRPr="00F5474B">
        <w:rPr>
          <w:rFonts w:ascii="Calibri" w:hAnsi="Calibri" w:cs="Calibri"/>
          <w:noProof/>
          <w:szCs w:val="24"/>
        </w:rPr>
        <w:tab/>
        <w:t xml:space="preserve">Magin P, Tapley A, Morgan S, Davis JS, McElduff P, Yardley L, et al. Reducing early career general practitioners’ antibiotic prescribing for respiratory tract infections: A pragmatic prospective non-randomised controlled trial. Fam Pract. 2018;35(1):53–60. </w:t>
      </w:r>
    </w:p>
    <w:p w14:paraId="696A372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149. </w:t>
      </w:r>
      <w:r w:rsidRPr="00F5474B">
        <w:rPr>
          <w:rFonts w:ascii="Calibri" w:hAnsi="Calibri" w:cs="Calibri"/>
          <w:noProof/>
          <w:szCs w:val="24"/>
        </w:rPr>
        <w:tab/>
        <w:t xml:space="preserve">Najjar MF, Sulaiman SAS, Al Jeraisy M, Balubaid H. The impact of a combined intervention program: An educational and clinical pharmacist’s intervention to improve prescribing pattern in hospitalized geriatric patients at King Abdulaziz Medical City in Riyadh, Saudi Arabia. Ther Clin Risk Manag. 2018;14:557–64. </w:t>
      </w:r>
    </w:p>
    <w:p w14:paraId="2AD3360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150. </w:t>
      </w:r>
      <w:r w:rsidRPr="00F5474B">
        <w:rPr>
          <w:rFonts w:ascii="Calibri" w:hAnsi="Calibri" w:cs="Calibri"/>
          <w:noProof/>
          <w:szCs w:val="24"/>
        </w:rPr>
        <w:tab/>
        <w:t xml:space="preserve">Rattanaumpawan P, Chuenchom N, Thamlikitkul V. Individual feedback to reduce inappropriate antimicrobial prescriptions for treating acute upper respiratory infections in an outpatient setting of a Thai university hospital. J Glob Antimicrob Resist. 2018;12:11–4. </w:t>
      </w:r>
    </w:p>
    <w:p w14:paraId="03CD6AD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151. </w:t>
      </w:r>
      <w:r w:rsidRPr="00F5474B">
        <w:rPr>
          <w:rFonts w:ascii="Calibri" w:hAnsi="Calibri" w:cs="Calibri"/>
          <w:noProof/>
          <w:szCs w:val="24"/>
        </w:rPr>
        <w:tab/>
        <w:t xml:space="preserve">Tyler A, Krack P, Bakel LA, O’Hara K, Scudamore D, Topoz I, et al. Interventions to Reduce Over-Utilized Tests and Treatments in Bronchiolitis. Pediatrics. 2018;11:11. </w:t>
      </w:r>
    </w:p>
    <w:p w14:paraId="7A89677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152. </w:t>
      </w:r>
      <w:r w:rsidRPr="00F5474B">
        <w:rPr>
          <w:rFonts w:ascii="Calibri" w:hAnsi="Calibri" w:cs="Calibri"/>
          <w:noProof/>
          <w:szCs w:val="24"/>
        </w:rPr>
        <w:tab/>
        <w:t xml:space="preserve">Clyne B, Smith SM, Hughes CM, Bol, F., Bradley MC, et al. Effectiveness of a Multifaceted Intervention for Potentially Inappropriate Prescribing in Older Patients in Primary Care: A Cluster-Randomized Controlled Trial (OPTI-SCRIPT Study). Ann Fam Med. 2015;13(6):545–53. </w:t>
      </w:r>
    </w:p>
    <w:p w14:paraId="04532F8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153. </w:t>
      </w:r>
      <w:r w:rsidRPr="00F5474B">
        <w:rPr>
          <w:rFonts w:ascii="Calibri" w:hAnsi="Calibri" w:cs="Calibri"/>
          <w:noProof/>
          <w:szCs w:val="24"/>
        </w:rPr>
        <w:tab/>
        <w:t xml:space="preserve">Clyne B, Smith SM, Hughes CM, Bol, F., Cooper JA, et al. Sustained effectiveness of a multifaceted intervention to reduce potentially inappropriate prescribing in older patients in primary care (OPTI-SCRIPT study). Implement Sci. 2016;11(1):79. </w:t>
      </w:r>
    </w:p>
    <w:p w14:paraId="0652114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154. </w:t>
      </w:r>
      <w:r w:rsidRPr="00F5474B">
        <w:rPr>
          <w:rFonts w:ascii="Calibri" w:hAnsi="Calibri" w:cs="Calibri"/>
          <w:noProof/>
          <w:szCs w:val="24"/>
        </w:rPr>
        <w:tab/>
        <w:t xml:space="preserve">Maude RM, Skinner JP, Foureur MJ. Intelligent Structured Intermittent Auscultation (ISIA): evaluation of a decision-making framework for fetal heart monitoring of low-risk women. BMC Pregnancy Childbirth. 2014;14:184. </w:t>
      </w:r>
    </w:p>
    <w:p w14:paraId="156E7B9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155. </w:t>
      </w:r>
      <w:r w:rsidRPr="00F5474B">
        <w:rPr>
          <w:rFonts w:ascii="Calibri" w:hAnsi="Calibri" w:cs="Calibri"/>
          <w:noProof/>
          <w:szCs w:val="24"/>
        </w:rPr>
        <w:tab/>
        <w:t xml:space="preserve">Seetasith A, Holdford D, Shah A, Patterson J. On-label and off-label prescribing patterns of erythropoiesis-stimulating agents in inpatient hospital settings in the US during the period of major regulatory changes. Res Soc Adm Pharm. 2017;13(4):778–88. </w:t>
      </w:r>
    </w:p>
    <w:p w14:paraId="4A88D1D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156. </w:t>
      </w:r>
      <w:r w:rsidRPr="00F5474B">
        <w:rPr>
          <w:rFonts w:ascii="Calibri" w:hAnsi="Calibri" w:cs="Calibri"/>
          <w:noProof/>
          <w:szCs w:val="24"/>
        </w:rPr>
        <w:tab/>
        <w:t xml:space="preserve">Tawiah P, Black M, Scott-Walker M, Johnson E, Vaughan CP. Reducing antipsychotic use through culture change: An interdisciplinary effort. Ann Long-Term Care. 2016;24(10):27–32. </w:t>
      </w:r>
    </w:p>
    <w:p w14:paraId="7DE6C12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157. </w:t>
      </w:r>
      <w:r w:rsidRPr="00F5474B">
        <w:rPr>
          <w:rFonts w:ascii="Calibri" w:hAnsi="Calibri" w:cs="Calibri"/>
          <w:noProof/>
          <w:szCs w:val="24"/>
        </w:rPr>
        <w:tab/>
        <w:t xml:space="preserve">Tasaka CL, Burg C, VanOsdol SJ, Bekeart L, Anglemyer A, Tsourounis C, et al. An interprofessional approach to reducing the overutilization of stress ulcer prophylaxis in adult medical and surgical intensive care units. Ann Pharmacother. 2014;48(4):462–9. </w:t>
      </w:r>
    </w:p>
    <w:p w14:paraId="188BE64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158. </w:t>
      </w:r>
      <w:r w:rsidRPr="00F5474B">
        <w:rPr>
          <w:rFonts w:ascii="Calibri" w:hAnsi="Calibri" w:cs="Calibri"/>
          <w:noProof/>
          <w:szCs w:val="24"/>
        </w:rPr>
        <w:tab/>
        <w:t xml:space="preserve">Abdul-Moheeth M, Valencia V, Schaefer S, Brode WM, Nieto K, Moriates C. Improving Healthcare Value: Effectiveness of a Program to Reduce Laboratory Testing for Non-Critically-Ill Patients With COVID-19. J Hosp Med. 2021;16(8):495–8. </w:t>
      </w:r>
    </w:p>
    <w:p w14:paraId="4A0E232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159. </w:t>
      </w:r>
      <w:r w:rsidRPr="00F5474B">
        <w:rPr>
          <w:rFonts w:ascii="Calibri" w:hAnsi="Calibri" w:cs="Calibri"/>
          <w:noProof/>
          <w:szCs w:val="24"/>
        </w:rPr>
        <w:tab/>
        <w:t xml:space="preserve">Abrahamson K, Davila H, Kirk L, Garavito GA, Mueller C. Can a Nursing Home Psychotropic Reduction Project be Successfully Implemented in Assisted Living? J Appl Gerontol. 2021;40(9):1071–9. </w:t>
      </w:r>
    </w:p>
    <w:p w14:paraId="1B67AEE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160. </w:t>
      </w:r>
      <w:r w:rsidRPr="00F5474B">
        <w:rPr>
          <w:rFonts w:ascii="Calibri" w:hAnsi="Calibri" w:cs="Calibri"/>
          <w:noProof/>
          <w:szCs w:val="24"/>
        </w:rPr>
        <w:tab/>
        <w:t xml:space="preserve">Adeola M, Azad R, Kassie GM, Shirkey B, Taffet G, Liebl M, et al. Multicomponent Interventions Reduce High-Risk Medications for Delirium in Hospitalized Older Adults. J Am Geriatr Soc. 2018;66(8):1638–45. </w:t>
      </w:r>
    </w:p>
    <w:p w14:paraId="73AE2AB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161. </w:t>
      </w:r>
      <w:r w:rsidRPr="00F5474B">
        <w:rPr>
          <w:rFonts w:ascii="Calibri" w:hAnsi="Calibri" w:cs="Calibri"/>
          <w:noProof/>
          <w:szCs w:val="24"/>
        </w:rPr>
        <w:tab/>
        <w:t xml:space="preserve">Aharaz A, Rasmussen JH, McNulty HBØ, Cyron A, Fabricius PK, Bengaard AK, et al. A collaborative deprescribing intervention in a subacute medical </w:t>
      </w:r>
      <w:r w:rsidRPr="00F5474B">
        <w:rPr>
          <w:rFonts w:ascii="Calibri" w:hAnsi="Calibri" w:cs="Calibri"/>
          <w:noProof/>
          <w:szCs w:val="24"/>
        </w:rPr>
        <w:lastRenderedPageBreak/>
        <w:t xml:space="preserve">outpatient clinic: A pilot randomized controlled trial. Metabolites. 2021 Apr 1;11(4). </w:t>
      </w:r>
    </w:p>
    <w:p w14:paraId="7BAA656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162. </w:t>
      </w:r>
      <w:r w:rsidRPr="00F5474B">
        <w:rPr>
          <w:rFonts w:ascii="Calibri" w:hAnsi="Calibri" w:cs="Calibri"/>
          <w:noProof/>
          <w:szCs w:val="24"/>
        </w:rPr>
        <w:tab/>
        <w:t xml:space="preserve">Ahmed SA, Kumar A, Sethi P, Kapil A, Pandey RM. Original Articles Effectiveness of education and antibiotic control programme at All India Institute of Medical Sciences, New Delhi. Vol. 31, THE NATIONAL MEDICAL JOURNAL OF INDIA. 2018. </w:t>
      </w:r>
    </w:p>
    <w:p w14:paraId="530225F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163. </w:t>
      </w:r>
      <w:r w:rsidRPr="00F5474B">
        <w:rPr>
          <w:rFonts w:ascii="Calibri" w:hAnsi="Calibri" w:cs="Calibri"/>
          <w:noProof/>
          <w:szCs w:val="24"/>
        </w:rPr>
        <w:tab/>
        <w:t xml:space="preserve">Akkawi ME, Nik Mohamed MH, Md Aris MA. The impact of a multifaceted intervention to reduce potentially inappropriate prescribing among discharged older adults: A before-and-after study. J Pharm Policy Pract. 2020 Jul 17;13(1). </w:t>
      </w:r>
    </w:p>
    <w:p w14:paraId="1477826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164. </w:t>
      </w:r>
      <w:r w:rsidRPr="00F5474B">
        <w:rPr>
          <w:rFonts w:ascii="Calibri" w:hAnsi="Calibri" w:cs="Calibri"/>
          <w:noProof/>
          <w:szCs w:val="24"/>
        </w:rPr>
        <w:tab/>
        <w:t xml:space="preserve">Alcorn S, van der Hoek J, Shaban RZ. Reducing inappropriate third-generation cephalosporin use for community-acquired pneumonia in a small Australian emergency department. Infect Dis Heal. 2018;23(3):163–9. </w:t>
      </w:r>
    </w:p>
    <w:p w14:paraId="47D32F3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165. </w:t>
      </w:r>
      <w:r w:rsidRPr="00F5474B">
        <w:rPr>
          <w:rFonts w:ascii="Calibri" w:hAnsi="Calibri" w:cs="Calibri"/>
          <w:noProof/>
          <w:szCs w:val="24"/>
        </w:rPr>
        <w:tab/>
        <w:t xml:space="preserve">Arizmendez NP, Kotovicz F, Kram JJF, Baumgardner DJ. Multimodal local opioid prescribing intervention outcomes in chronic noncancer pain management. J Am Board Fam Med. 2019;32(4):559–66. </w:t>
      </w:r>
    </w:p>
    <w:p w14:paraId="0BC743D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166. </w:t>
      </w:r>
      <w:r w:rsidRPr="00F5474B">
        <w:rPr>
          <w:rFonts w:ascii="Calibri" w:hAnsi="Calibri" w:cs="Calibri"/>
          <w:noProof/>
          <w:szCs w:val="24"/>
        </w:rPr>
        <w:tab/>
        <w:t xml:space="preserve">Azeez S, Panakkal LM, Meenpidiyil SS, Sulaiman N. Impact of clinical pharmacist intervention in promoting rational antibiotic use in pediatric patients. Res J Pharm Technol. 2020;13(11):5077–82. </w:t>
      </w:r>
    </w:p>
    <w:p w14:paraId="7682A0C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167. </w:t>
      </w:r>
      <w:r w:rsidRPr="00F5474B">
        <w:rPr>
          <w:rFonts w:ascii="Calibri" w:hAnsi="Calibri" w:cs="Calibri"/>
          <w:noProof/>
          <w:szCs w:val="24"/>
        </w:rPr>
        <w:tab/>
        <w:t xml:space="preserve">Balsom C, Pittman N, King R, Kelly D. Impact of a pharmacist-administered deprescribing intervention on nursing home residents: a randomized controlled trial. Int J Clin Pharm. 2020 Aug 1;42(4):1153–67. </w:t>
      </w:r>
    </w:p>
    <w:p w14:paraId="0C5E5D3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168. </w:t>
      </w:r>
      <w:r w:rsidRPr="00F5474B">
        <w:rPr>
          <w:rFonts w:ascii="Calibri" w:hAnsi="Calibri" w:cs="Calibri"/>
          <w:noProof/>
          <w:szCs w:val="24"/>
        </w:rPr>
        <w:tab/>
        <w:t xml:space="preserve">Bejjanki H, Mramba LK, Beal SG, Radhakrishnan N, Bishnoi R, Shah C, et al. The role of a best practice alert in the electronic medical record in reducing repetitive lab tests. Clin Outcomes Res. 2018;10:611–8. </w:t>
      </w:r>
    </w:p>
    <w:p w14:paraId="1B2BC58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169. </w:t>
      </w:r>
      <w:r w:rsidRPr="00F5474B">
        <w:rPr>
          <w:rFonts w:ascii="Calibri" w:hAnsi="Calibri" w:cs="Calibri"/>
          <w:noProof/>
          <w:szCs w:val="24"/>
        </w:rPr>
        <w:tab/>
        <w:t xml:space="preserve">Berg K, Nedved A, Richardson T, Montalbano A, Michael J, Johnson M. Actively Doing Less: Deimplementation of Unnecessary Interventions in Bronchiolitis Care Across Urgent Care, Emergency Department, and Inpatient Settings. Hosp Pediatr. 2020 May 1;10(5):385–91. </w:t>
      </w:r>
    </w:p>
    <w:p w14:paraId="79449F4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170. </w:t>
      </w:r>
      <w:r w:rsidRPr="00F5474B">
        <w:rPr>
          <w:rFonts w:ascii="Calibri" w:hAnsi="Calibri" w:cs="Calibri"/>
          <w:noProof/>
          <w:szCs w:val="24"/>
        </w:rPr>
        <w:tab/>
        <w:t xml:space="preserve">Biezen R, Buising K, Monaghan T, Bal R, Thursky K, Cheah R, et al. Evaluating the implementation of a pilot quality improvement program to support appropriate antimicrobial prescribing in general practice. Antibiotics. 2021;10(7). </w:t>
      </w:r>
    </w:p>
    <w:p w14:paraId="589E860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171. </w:t>
      </w:r>
      <w:r w:rsidRPr="00F5474B">
        <w:rPr>
          <w:rFonts w:ascii="Calibri" w:hAnsi="Calibri" w:cs="Calibri"/>
          <w:noProof/>
          <w:szCs w:val="24"/>
        </w:rPr>
        <w:tab/>
        <w:t xml:space="preserve">Blum MR, Sallevelt BTGM, Spinewine A, O’Mahony D, Moutzouri E, Feller M, et al. Optimizing Therapy to Prevent Avoidable Hospital Admissions in Multimorbid Older Adults (OPERAM): Cluster randomised controlled trial. BMJ. 2021 Jul 13;374. </w:t>
      </w:r>
    </w:p>
    <w:p w14:paraId="5489DA9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172. </w:t>
      </w:r>
      <w:r w:rsidRPr="00F5474B">
        <w:rPr>
          <w:rFonts w:ascii="Calibri" w:hAnsi="Calibri" w:cs="Calibri"/>
          <w:noProof/>
          <w:szCs w:val="24"/>
        </w:rPr>
        <w:tab/>
        <w:t xml:space="preserve">Bolten BC, Bradford JL, White BN, Heath GW, Sizemore JM, White CE. Effects of an automatic discontinuation of antibiotics policy: A novel approach to antimicrobial stewardship. Am J Heal Pharm. 2019 Sep 1;76(Supplement_3):S85–90. </w:t>
      </w:r>
    </w:p>
    <w:p w14:paraId="4794D23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173. </w:t>
      </w:r>
      <w:r w:rsidRPr="00F5474B">
        <w:rPr>
          <w:rFonts w:ascii="Calibri" w:hAnsi="Calibri" w:cs="Calibri"/>
          <w:noProof/>
          <w:szCs w:val="24"/>
        </w:rPr>
        <w:tab/>
        <w:t xml:space="preserve">Borde JP, Kaier K, Steib-Bauert M, Vach W, Geibel-Zehender A, Busch H, et al. Feasibility and impact of an intensified antibiotic stewardship programme targeting cephalosporin and fluoroquinolone use in a tertiary care university medical center. BMC Infect Dis. 2014;14(1). </w:t>
      </w:r>
    </w:p>
    <w:p w14:paraId="33505FC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174. </w:t>
      </w:r>
      <w:r w:rsidRPr="00F5474B">
        <w:rPr>
          <w:rFonts w:ascii="Calibri" w:hAnsi="Calibri" w:cs="Calibri"/>
          <w:noProof/>
          <w:szCs w:val="24"/>
        </w:rPr>
        <w:tab/>
        <w:t xml:space="preserve">Bou-Antoun S, Costelloe C, Honeyford K, Mazidi M, Hayhoe BWJ, Holmes A, et al. Age-related decline in antibiotic prescribing for uncomplicated </w:t>
      </w:r>
      <w:r w:rsidRPr="00F5474B">
        <w:rPr>
          <w:rFonts w:ascii="Calibri" w:hAnsi="Calibri" w:cs="Calibri"/>
          <w:noProof/>
          <w:szCs w:val="24"/>
        </w:rPr>
        <w:lastRenderedPageBreak/>
        <w:t xml:space="preserve">respiratory tract infections in primary care in England following the introduction of a national financial incentive (the Quality Premium) for health commissioners to reduce use of antibiotic. J Antimicrob Chemother. 2018;73(10):2883–92. </w:t>
      </w:r>
    </w:p>
    <w:p w14:paraId="2D76C45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175. </w:t>
      </w:r>
      <w:r w:rsidRPr="00F5474B">
        <w:rPr>
          <w:rFonts w:ascii="Calibri" w:hAnsi="Calibri" w:cs="Calibri"/>
          <w:noProof/>
          <w:szCs w:val="24"/>
        </w:rPr>
        <w:tab/>
        <w:t xml:space="preserve">Bravo-José P, Sáez-Lleó CI, Peris-Martí JF. Deprescribing antipsychotics in long term care patients with dementia. Farm Hosp. 2019;43(4):140–5. </w:t>
      </w:r>
    </w:p>
    <w:p w14:paraId="4057D55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176. </w:t>
      </w:r>
      <w:r w:rsidRPr="00F5474B">
        <w:rPr>
          <w:rFonts w:ascii="Calibri" w:hAnsi="Calibri" w:cs="Calibri"/>
          <w:noProof/>
          <w:szCs w:val="24"/>
        </w:rPr>
        <w:tab/>
        <w:t xml:space="preserve">Brodaty H, Aerts L, Harrison F, Jessop T, Cations M, Chenoweth L, et al. Antipsychotic Deprescription for Older Adults in Long-term Care: The HALT Study. J Am Med Dir Assoc. 2018 Jul 1;19(7):592-600.e7. </w:t>
      </w:r>
    </w:p>
    <w:p w14:paraId="049F3A6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177. </w:t>
      </w:r>
      <w:r w:rsidRPr="00F5474B">
        <w:rPr>
          <w:rFonts w:ascii="Calibri" w:hAnsi="Calibri" w:cs="Calibri"/>
          <w:noProof/>
          <w:szCs w:val="24"/>
        </w:rPr>
        <w:tab/>
        <w:t xml:space="preserve">Brown CA. Reducing Outpatient Antibiotic Prescribing for Acute Respiratory Infections: A Quasi-Experimental Study. J Dr Nurs Pract. 2018;11(1):3–15. </w:t>
      </w:r>
    </w:p>
    <w:p w14:paraId="6B8F465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178. </w:t>
      </w:r>
      <w:r w:rsidRPr="00F5474B">
        <w:rPr>
          <w:rFonts w:ascii="Calibri" w:hAnsi="Calibri" w:cs="Calibri"/>
          <w:noProof/>
          <w:szCs w:val="24"/>
        </w:rPr>
        <w:tab/>
        <w:t xml:space="preserve">Bruno C, Pearson SA, Daniels B, Buckley NA, Schaffer A, Zoega H. Passing the acid test? Evaluating the impact of national education initiatives to reduce proton pump inhibitor use in Australia. BMJ Qual Saf. 2020 May 1;29(5):365–73. </w:t>
      </w:r>
    </w:p>
    <w:p w14:paraId="7289A2A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179. </w:t>
      </w:r>
      <w:r w:rsidRPr="00F5474B">
        <w:rPr>
          <w:rFonts w:ascii="Calibri" w:hAnsi="Calibri" w:cs="Calibri"/>
          <w:noProof/>
          <w:szCs w:val="24"/>
        </w:rPr>
        <w:tab/>
        <w:t xml:space="preserve">Buckley MS, Agarwal SK, Lansburg JM, Kopp BJ, Erstad BL. Clinical Pharmacist–Led Impact on Inappropriate Albumin Utilization and Associated Costs in General Ward Patients. Ann Pharmacother. 2021 Jan 1;55(1):44–51. </w:t>
      </w:r>
    </w:p>
    <w:p w14:paraId="253121F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180. </w:t>
      </w:r>
      <w:r w:rsidRPr="00F5474B">
        <w:rPr>
          <w:rFonts w:ascii="Calibri" w:hAnsi="Calibri" w:cs="Calibri"/>
          <w:noProof/>
          <w:szCs w:val="24"/>
        </w:rPr>
        <w:tab/>
        <w:t xml:space="preserve">Buckley MS, Knutson KD, Agarwal SK, Lansburg JM, Wicks LM, Saggar RC, et al. Clinical Pharmacist–Led Impact on Inappropriate Albumin Use and Costs in the Critically Ill. Ann Pharmacother. 2020 Feb 1;54(2):105–12. </w:t>
      </w:r>
    </w:p>
    <w:p w14:paraId="68F0664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181. </w:t>
      </w:r>
      <w:r w:rsidRPr="00F5474B">
        <w:rPr>
          <w:rFonts w:ascii="Calibri" w:hAnsi="Calibri" w:cs="Calibri"/>
          <w:noProof/>
          <w:szCs w:val="24"/>
        </w:rPr>
        <w:tab/>
        <w:t>Buehrle DJ, Buehrle DJ, Shively NR, Wagener MM, Clancy CJ, Decker BK. Clinical Infectious Diseases Clinical Infectious Diseases ® 2019;XX(XX):1-7 Sustained Reductions in Overall and Unnecessary Antibiotic Prescribing at Primary Care Clinics in a Veterans Affairs Healthcare System Following a Multifaceted Stewardship Intervention. Available from: https://academic.oup.com/cid/advance-article-abstract/doi/10.1093/cid/ciz1180/5669960</w:t>
      </w:r>
    </w:p>
    <w:p w14:paraId="6990AD6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182. </w:t>
      </w:r>
      <w:r w:rsidRPr="00F5474B">
        <w:rPr>
          <w:rFonts w:ascii="Calibri" w:hAnsi="Calibri" w:cs="Calibri"/>
          <w:noProof/>
          <w:szCs w:val="24"/>
        </w:rPr>
        <w:tab/>
        <w:t xml:space="preserve">Cadogan CA, Ryan C, Gormley GJ, Francis JJ, Passmore P, Kerse N, et al. A feasibility study of a theory-based intervention to improve appropriate polypharmacy for older people in primary care. Pilot feasibility Stud. 2018;4(1):23. </w:t>
      </w:r>
    </w:p>
    <w:p w14:paraId="6E59FD3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183. </w:t>
      </w:r>
      <w:r w:rsidRPr="00F5474B">
        <w:rPr>
          <w:rFonts w:ascii="Calibri" w:hAnsi="Calibri" w:cs="Calibri"/>
          <w:noProof/>
          <w:szCs w:val="24"/>
        </w:rPr>
        <w:tab/>
        <w:t xml:space="preserve">Calvo LLJ, García Cámara P, Llorente Barrio M, Sierra Gabarda O, Monzón Baez R, Arbonés Mainar JM, et al. Successful deprescribing of proton pump inhibitors with a patient-centered process: the DESPIBP Project. Eur J Clin Pharmacol. 2021; </w:t>
      </w:r>
    </w:p>
    <w:p w14:paraId="0D5355C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184. </w:t>
      </w:r>
      <w:r w:rsidRPr="00F5474B">
        <w:rPr>
          <w:rFonts w:ascii="Calibri" w:hAnsi="Calibri" w:cs="Calibri"/>
          <w:noProof/>
          <w:szCs w:val="24"/>
        </w:rPr>
        <w:tab/>
        <w:t xml:space="preserve">Campbell NL, Holden RJ, Tang Q, Boustani MA, Teal E, Hillstrom J, et al. Multicomponent behavioral intervention to reduce exposure to anticholinergics in primary care older adults. J Am Geriatr Soc. 2021 Jun 1;69(6):1490–9. </w:t>
      </w:r>
    </w:p>
    <w:p w14:paraId="510DD13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185. </w:t>
      </w:r>
      <w:r w:rsidRPr="00F5474B">
        <w:rPr>
          <w:rFonts w:ascii="Calibri" w:hAnsi="Calibri" w:cs="Calibri"/>
          <w:noProof/>
          <w:szCs w:val="24"/>
        </w:rPr>
        <w:tab/>
        <w:t xml:space="preserve">Campbell NL, Perkins AJ, Khan BA, Gao S, Farber MO, Khan S, et al. Deprescribing in the Pharmacologic Management of Delirium: A Randomized Trial in the Intensive Care Unit. J Am Geriatr Soc. 2019 Apr 1;67(4):695–702. </w:t>
      </w:r>
    </w:p>
    <w:p w14:paraId="1A1FE76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186. </w:t>
      </w:r>
      <w:r w:rsidRPr="00F5474B">
        <w:rPr>
          <w:rFonts w:ascii="Calibri" w:hAnsi="Calibri" w:cs="Calibri"/>
          <w:noProof/>
          <w:szCs w:val="24"/>
        </w:rPr>
        <w:tab/>
        <w:t xml:space="preserve">Campins L, Serra-Prat M, Palomera E, Bolibar I, Martínez MÀ, Gallo P. Reduction of pharmaceutical expenditure by a drug appropriateness intervention in polymedicated elderly subjects in Catalonia (Spain). Gac Sanit. 2019;33(2):106–11. </w:t>
      </w:r>
    </w:p>
    <w:p w14:paraId="54FC10C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187. </w:t>
      </w:r>
      <w:r w:rsidRPr="00F5474B">
        <w:rPr>
          <w:rFonts w:ascii="Calibri" w:hAnsi="Calibri" w:cs="Calibri"/>
          <w:noProof/>
          <w:szCs w:val="24"/>
        </w:rPr>
        <w:tab/>
        <w:t xml:space="preserve">Cano-Valderrama O, Cuñarro-López Y, Laiz B, Jiménez-Fuertes M, Torres AJ, Duran-Poveda M. Inappropriate Venous Thromboembolism Prophylaxis </w:t>
      </w:r>
      <w:r w:rsidRPr="00F5474B">
        <w:rPr>
          <w:rFonts w:ascii="Calibri" w:hAnsi="Calibri" w:cs="Calibri"/>
          <w:noProof/>
          <w:szCs w:val="24"/>
        </w:rPr>
        <w:lastRenderedPageBreak/>
        <w:t xml:space="preserve">in a General Surgery Department: Risk Factors and Improvement with a Simple Educational Program. Indian J Surg. 2020 Oct 1;82(5):855–60. </w:t>
      </w:r>
    </w:p>
    <w:p w14:paraId="651CD0B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188. </w:t>
      </w:r>
      <w:r w:rsidRPr="00F5474B">
        <w:rPr>
          <w:rFonts w:ascii="Calibri" w:hAnsi="Calibri" w:cs="Calibri"/>
          <w:noProof/>
          <w:szCs w:val="24"/>
        </w:rPr>
        <w:tab/>
        <w:t xml:space="preserve">Cardwell K, Smith SM, Clyne B, McCullagh L, Wallace E, Kirke C, et al. Evaluation of the General Practice Pharmacist (GPP) intervention to optimise prescribing in Irish primary care: a non-randomised pilot study. BMJ Open. 2020 Jun 28;10(6):e035087. </w:t>
      </w:r>
    </w:p>
    <w:p w14:paraId="1D80440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189. </w:t>
      </w:r>
      <w:r w:rsidRPr="00F5474B">
        <w:rPr>
          <w:rFonts w:ascii="Calibri" w:hAnsi="Calibri" w:cs="Calibri"/>
          <w:noProof/>
          <w:szCs w:val="24"/>
        </w:rPr>
        <w:tab/>
        <w:t xml:space="preserve">Cateau D, Ballabeni P, Niquille A. Effects of an interprofessional Quality Circle-Deprescribing Module (QC-DeMo) in Swiss nursing homes: a randomised controlled trial. BMC Geriatr. 2021 Dec 1;21(1). </w:t>
      </w:r>
    </w:p>
    <w:p w14:paraId="5CBE1C2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190. </w:t>
      </w:r>
      <w:r w:rsidRPr="00F5474B">
        <w:rPr>
          <w:rFonts w:ascii="Calibri" w:hAnsi="Calibri" w:cs="Calibri"/>
          <w:noProof/>
          <w:szCs w:val="24"/>
        </w:rPr>
        <w:tab/>
        <w:t xml:space="preserve">Charra F, Bourne C, Forissier C, Quaglia A, Durand PG, Bergheau F. Quality improvement program of adult urinary tract infection management: Review and impact. Médecine Mal Infect. 2017 Dec 1;47(8):519–25. </w:t>
      </w:r>
    </w:p>
    <w:p w14:paraId="0449ED3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191. </w:t>
      </w:r>
      <w:r w:rsidRPr="00F5474B">
        <w:rPr>
          <w:rFonts w:ascii="Calibri" w:hAnsi="Calibri" w:cs="Calibri"/>
          <w:noProof/>
          <w:szCs w:val="24"/>
        </w:rPr>
        <w:tab/>
        <w:t xml:space="preserve">Chenoweth L, Jessop T, Harrison F, Cations M, Cook J, Brodaty H. Critical Contextual Elements in Facilitating and Achieving Success with a Person-Centred Care Intervention to Support Antipsychotic Deprescribing for Older People in Long-Term Care. Biomed Res Int. 2018;2018. </w:t>
      </w:r>
    </w:p>
    <w:p w14:paraId="231D240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192. </w:t>
      </w:r>
      <w:r w:rsidRPr="00F5474B">
        <w:rPr>
          <w:rFonts w:ascii="Calibri" w:hAnsi="Calibri" w:cs="Calibri"/>
          <w:noProof/>
          <w:szCs w:val="24"/>
        </w:rPr>
        <w:tab/>
        <w:t xml:space="preserve">Chiu AS, Freedman-Weiss MR, Jean RA, Cohen E, Yoo PS. No refills: The durable impact of a multifaceted effort by surgical trainees to minimize the prescription of postoperative opioids. Surgery. 2019 Nov 1;166(5):758–63. </w:t>
      </w:r>
    </w:p>
    <w:p w14:paraId="2FFCE9D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193. </w:t>
      </w:r>
      <w:r w:rsidRPr="00F5474B">
        <w:rPr>
          <w:rFonts w:ascii="Calibri" w:hAnsi="Calibri" w:cs="Calibri"/>
          <w:noProof/>
          <w:szCs w:val="24"/>
        </w:rPr>
        <w:tab/>
        <w:t xml:space="preserve">Chivapricha W, Srinonprasert V, Suansanae T. Impact of Geriatric Pharmacy Specialist Interventions to Reduce Potentially Inappropriate Medication Among Hospitalized Elderly Patients at Medical Wards: A Prospective Quasi-Experimental Study. Drugs - Real World Outcomes. 2021 Mar 1;8(1):39–47. </w:t>
      </w:r>
    </w:p>
    <w:p w14:paraId="14A435F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194. </w:t>
      </w:r>
      <w:r w:rsidRPr="00F5474B">
        <w:rPr>
          <w:rFonts w:ascii="Calibri" w:hAnsi="Calibri" w:cs="Calibri"/>
          <w:noProof/>
          <w:szCs w:val="24"/>
        </w:rPr>
        <w:tab/>
        <w:t xml:space="preserve">Chowdhury TP, Starr R, Brennan M, Knee A, Ehresman M, Velayutham L, et al. A Quality Improvement Initiative to Improve Medication Management in an Acute Care for Elders Program Through Integration of a Clinical Pharmacist. J Pharm Pract. 2020 Feb 1;33(1):55–62. </w:t>
      </w:r>
    </w:p>
    <w:p w14:paraId="7AB6786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195. </w:t>
      </w:r>
      <w:r w:rsidRPr="00F5474B">
        <w:rPr>
          <w:rFonts w:ascii="Calibri" w:hAnsi="Calibri" w:cs="Calibri"/>
          <w:noProof/>
          <w:szCs w:val="24"/>
        </w:rPr>
        <w:tab/>
        <w:t xml:space="preserve">Clark CM, LaValley SA, Singh R, Mustafa E, Monte S V., Wahler RG. A pharmacist-led pilot program to facilitate deprescribing in a primary care clinic. J Am Pharm Assoc. 2020 Jan 1;60(1):105–11. </w:t>
      </w:r>
    </w:p>
    <w:p w14:paraId="4534F78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196. </w:t>
      </w:r>
      <w:r w:rsidRPr="00F5474B">
        <w:rPr>
          <w:rFonts w:ascii="Calibri" w:hAnsi="Calibri" w:cs="Calibri"/>
          <w:noProof/>
          <w:szCs w:val="24"/>
        </w:rPr>
        <w:tab/>
        <w:t xml:space="preserve">Coronado-Vázquez V, Gómez-Salgado J, de los Monteros JCE, Ayuso-Murillo D, Ruiz-Frutos C. Shared decision-making in chronic patients with polypharmacy: An interventional study for assessing medication appropriateness. J Clin Med. 2019;8(6). </w:t>
      </w:r>
    </w:p>
    <w:p w14:paraId="1C09E60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197. </w:t>
      </w:r>
      <w:r w:rsidRPr="00F5474B">
        <w:rPr>
          <w:rFonts w:ascii="Calibri" w:hAnsi="Calibri" w:cs="Calibri"/>
          <w:noProof/>
          <w:szCs w:val="24"/>
        </w:rPr>
        <w:tab/>
        <w:t xml:space="preserve">Cossette B, Bruneau MA, Couturier Y, Gilbert S, Boyer D, Ricard J, et al. Optimizing Practices, Use, Care and Services–Antipsychotics (OPUS-AP) in Long-term Care Centers in Québec, Canada: A Strategy for Best Practices. J Am Med Dir Assoc. 2020 Feb 1;21(2):212–9. </w:t>
      </w:r>
    </w:p>
    <w:p w14:paraId="42CA02B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198. </w:t>
      </w:r>
      <w:r w:rsidRPr="00F5474B">
        <w:rPr>
          <w:rFonts w:ascii="Calibri" w:hAnsi="Calibri" w:cs="Calibri"/>
          <w:noProof/>
          <w:szCs w:val="24"/>
        </w:rPr>
        <w:tab/>
        <w:t xml:space="preserve">Couturier Y, Lanneville D, Lane J, Bruneau MA, Morin M, Gilbert S, et al. Implementation conditions leading to the scale-up of an innovation involving the optimal use of antipsychotics in long-term care centers: The Optimizing Practices, Use, Care and Services-Antipsychotics (OPUS-AP) program. Res Soc Adm Pharm. 2022 Mar 1;18(3):2484–8. </w:t>
      </w:r>
    </w:p>
    <w:p w14:paraId="5AD7097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199. </w:t>
      </w:r>
      <w:r w:rsidRPr="00F5474B">
        <w:rPr>
          <w:rFonts w:ascii="Calibri" w:hAnsi="Calibri" w:cs="Calibri"/>
          <w:noProof/>
          <w:szCs w:val="24"/>
        </w:rPr>
        <w:tab/>
        <w:t xml:space="preserve">Craddock K, Molino S, Stranges PM, Suda KJ, Bleasdale SC, Radosta J, et al. The impact of educational interventions on antibiotic prescribing for acute </w:t>
      </w:r>
      <w:r w:rsidRPr="00F5474B">
        <w:rPr>
          <w:rFonts w:ascii="Calibri" w:hAnsi="Calibri" w:cs="Calibri"/>
          <w:noProof/>
          <w:szCs w:val="24"/>
        </w:rPr>
        <w:lastRenderedPageBreak/>
        <w:t xml:space="preserve">upper respiratory tract infections in the ambulatory care setting: A quasi‐experimental study. JAACP  J Am Coll Clin Pharm. 2020;3(3):609–14. </w:t>
      </w:r>
    </w:p>
    <w:p w14:paraId="0692CBB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200. </w:t>
      </w:r>
      <w:r w:rsidRPr="00F5474B">
        <w:rPr>
          <w:rFonts w:ascii="Calibri" w:hAnsi="Calibri" w:cs="Calibri"/>
          <w:noProof/>
          <w:szCs w:val="24"/>
        </w:rPr>
        <w:tab/>
        <w:t xml:space="preserve">Cross AJ, George J, Woodward MC, Le VJ, Elliott RA. Deprescribing potentially inappropriate medications in memory clinic patients (DePIMM): A feasibility study. Res Soc Adm Pharm. 2020 Oct 1;16(10):1392–7. </w:t>
      </w:r>
    </w:p>
    <w:p w14:paraId="489CCDE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201. </w:t>
      </w:r>
      <w:r w:rsidRPr="00F5474B">
        <w:rPr>
          <w:rFonts w:ascii="Calibri" w:hAnsi="Calibri" w:cs="Calibri"/>
          <w:noProof/>
          <w:szCs w:val="24"/>
        </w:rPr>
        <w:tab/>
        <w:t xml:space="preserve">Cummings PL, Alajajian R, May LS, Grant R, Greer H, Sontz J, et al. Utilizing behavioral science to improve antibiotic prescribing in rural urgent care settings. Open Forum Infect Dis. 2020 Jul 1;7(7). </w:t>
      </w:r>
    </w:p>
    <w:p w14:paraId="429485F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202. </w:t>
      </w:r>
      <w:r w:rsidRPr="00F5474B">
        <w:rPr>
          <w:rFonts w:ascii="Calibri" w:hAnsi="Calibri" w:cs="Calibri"/>
          <w:noProof/>
          <w:szCs w:val="24"/>
        </w:rPr>
        <w:tab/>
        <w:t xml:space="preserve">Curtin D, Jennings E, Daunt R, Curtin S, Randles M, Gallagher P, et al. Deprescribing in Older People Approaching End of Life: A Randomized Controlled Trial Using STOPPFrail Criteria. J Am Geriatr Soc. 2020 Apr 1;68(4):762–9. </w:t>
      </w:r>
    </w:p>
    <w:p w14:paraId="56E332A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203. </w:t>
      </w:r>
      <w:r w:rsidRPr="00F5474B">
        <w:rPr>
          <w:rFonts w:ascii="Calibri" w:hAnsi="Calibri" w:cs="Calibri"/>
          <w:noProof/>
          <w:szCs w:val="24"/>
        </w:rPr>
        <w:tab/>
        <w:t xml:space="preserve">Danesh V, Gisi B, Narayan M, Yoder L, Zad O. Fecal Occult Blood Tests: Valuable for Screening, Wasteful for Diagnostics. Clin Nurse Spec. 2019 Jul 1;33(4):191–4. </w:t>
      </w:r>
    </w:p>
    <w:p w14:paraId="651B5B8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204. </w:t>
      </w:r>
      <w:r w:rsidRPr="00F5474B">
        <w:rPr>
          <w:rFonts w:ascii="Calibri" w:hAnsi="Calibri" w:cs="Calibri"/>
          <w:noProof/>
          <w:szCs w:val="24"/>
        </w:rPr>
        <w:tab/>
        <w:t xml:space="preserve">Dehn Lunn A. Reducing inappropriate antibiotic prescribing in upper respiratory tract infection in a primary care setting in Kolkata, India. BMJ Open Qual. 2018;7(4):e000217. </w:t>
      </w:r>
    </w:p>
    <w:p w14:paraId="6592431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205. </w:t>
      </w:r>
      <w:r w:rsidRPr="00F5474B">
        <w:rPr>
          <w:rFonts w:ascii="Calibri" w:hAnsi="Calibri" w:cs="Calibri"/>
          <w:noProof/>
          <w:szCs w:val="24"/>
        </w:rPr>
        <w:tab/>
        <w:t xml:space="preserve">Del Giorno R, Ceschi A, Pironi M, Zasa A, Greco A, Gabutti L. Multifaceted intervention to curb in-hospital over-prescription of proton pump inhibitors: A longitudinal multicenter quasi-experimental before-and-after study. Eur J Intern Med. 2018;50:52–9. </w:t>
      </w:r>
    </w:p>
    <w:p w14:paraId="3724EAC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206. </w:t>
      </w:r>
      <w:r w:rsidRPr="00F5474B">
        <w:rPr>
          <w:rFonts w:ascii="Calibri" w:hAnsi="Calibri" w:cs="Calibri"/>
          <w:noProof/>
          <w:szCs w:val="24"/>
        </w:rPr>
        <w:tab/>
        <w:t xml:space="preserve">Del Giorno R, Greco A, Zasa A, Clivio L, Pironi M, Ceschi A, et al. Combining prescription monitoring, benchmarking, and educational interventions to reduce benzodiazepine prescriptions among internal medicine inpatients; a multicenter before and after study in a network of Swiss Public Hospitals. Postgrad Med. 2018;130(7):627–36. </w:t>
      </w:r>
    </w:p>
    <w:p w14:paraId="1E4EAB5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207. </w:t>
      </w:r>
      <w:r w:rsidRPr="00F5474B">
        <w:rPr>
          <w:rFonts w:ascii="Calibri" w:hAnsi="Calibri" w:cs="Calibri"/>
          <w:noProof/>
          <w:szCs w:val="24"/>
        </w:rPr>
        <w:tab/>
        <w:t xml:space="preserve">Desborough JA, Clark A, Houghton J, Sach T, Shaw V, Kirthisingha V, et al. Clinical and cost effectiveness of a multi-professional medication reviews in care homes (CAREMED). Int J Pharm Pract. 2020;28(6):626–34. </w:t>
      </w:r>
    </w:p>
    <w:p w14:paraId="4B0F9EB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208. </w:t>
      </w:r>
      <w:r w:rsidRPr="00F5474B">
        <w:rPr>
          <w:rFonts w:ascii="Calibri" w:hAnsi="Calibri" w:cs="Calibri"/>
          <w:noProof/>
          <w:szCs w:val="24"/>
        </w:rPr>
        <w:tab/>
        <w:t xml:space="preserve">Dowling SK, Gjata I, Solbak NM, Weaver CGW, Smart K, Buna R, et al. Group-facilitated audit and feedback to improve bronchiolitis care in the emergency department. Can J Emerg Med. 2020 Sep 1;22(5):678–86. </w:t>
      </w:r>
    </w:p>
    <w:p w14:paraId="3148AD3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209. </w:t>
      </w:r>
      <w:r w:rsidRPr="00F5474B">
        <w:rPr>
          <w:rFonts w:ascii="Calibri" w:hAnsi="Calibri" w:cs="Calibri"/>
          <w:noProof/>
          <w:szCs w:val="24"/>
        </w:rPr>
        <w:tab/>
        <w:t xml:space="preserve">Drees M, Fischer K, Consiglio-Ward L, Caruano J, BCIDP, Chan S, et al. Statewide Antibiotic Stewardship: : An eBrightHealth Choosing Wisely Initiative. Delaware J public Heal. 2019 May 28;5(2):50–8. </w:t>
      </w:r>
    </w:p>
    <w:p w14:paraId="4C2A15E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210. </w:t>
      </w:r>
      <w:r w:rsidRPr="00F5474B">
        <w:rPr>
          <w:rFonts w:ascii="Calibri" w:hAnsi="Calibri" w:cs="Calibri"/>
          <w:noProof/>
          <w:szCs w:val="24"/>
        </w:rPr>
        <w:tab/>
        <w:t xml:space="preserve">Edholm K, Kukhareva P, Ciarkowski C, Carr J, Gill D, Rupp A, et al. Decrease in Inpatient Telemetry Utilization Through a System-Wide Electronic Health Record Change and a Multifaceted Hospitalist Intervention. J Hosp Med. 2018 Aug 1;13(8):531–6. </w:t>
      </w:r>
    </w:p>
    <w:p w14:paraId="059759F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211. </w:t>
      </w:r>
      <w:r w:rsidRPr="00F5474B">
        <w:rPr>
          <w:rFonts w:ascii="Calibri" w:hAnsi="Calibri" w:cs="Calibri"/>
          <w:noProof/>
          <w:szCs w:val="24"/>
        </w:rPr>
        <w:tab/>
        <w:t xml:space="preserve">Elias RM, Kashiwagi D, Lau C, Hansel SL. An Imaging Stewardship Initiative to Reduce Low-Value Positron Emission Tomography-Computed Tomography Use in Hospitalized Patients. J Healthc Qual. 2020;42(6):e83–91. </w:t>
      </w:r>
    </w:p>
    <w:p w14:paraId="1A626BA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212. </w:t>
      </w:r>
      <w:r w:rsidRPr="00F5474B">
        <w:rPr>
          <w:rFonts w:ascii="Calibri" w:hAnsi="Calibri" w:cs="Calibri"/>
          <w:noProof/>
          <w:szCs w:val="24"/>
        </w:rPr>
        <w:tab/>
        <w:t xml:space="preserve">Ellegård LM, Dietrichson J, Anell A. Can pay‐for‐performance to primary care providers stimulate appropriate use of antibiotics? Health Econ. 2018;27(1):e39–54. </w:t>
      </w:r>
    </w:p>
    <w:p w14:paraId="4CC8141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213. </w:t>
      </w:r>
      <w:r w:rsidRPr="00F5474B">
        <w:rPr>
          <w:rFonts w:ascii="Calibri" w:hAnsi="Calibri" w:cs="Calibri"/>
          <w:noProof/>
          <w:szCs w:val="24"/>
        </w:rPr>
        <w:tab/>
        <w:t xml:space="preserve">Engineer RS, Podolsky SR, Fertel BS, Grover P, Jimenez H, Simon EL, et al. A Pilot Study to Reduce Computed Tomography Utilization for Pediatric Mild Head Injury in the Emergency Department Using a Clinical Decision Support Tool and a Structured Parent Discussion Tool. Pediatr Emerg Care. 2018;37(12):E1670–4. </w:t>
      </w:r>
    </w:p>
    <w:p w14:paraId="32B6D7C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214. </w:t>
      </w:r>
      <w:r w:rsidRPr="00F5474B">
        <w:rPr>
          <w:rFonts w:ascii="Calibri" w:hAnsi="Calibri" w:cs="Calibri"/>
          <w:noProof/>
          <w:szCs w:val="24"/>
        </w:rPr>
        <w:tab/>
        <w:t xml:space="preserve">Erard Y, Del Giorno R, Zasa A, De Gottardi S, Della Bruna R, Keller F, et al. A multi-level strategy for a long lasting reduction in unnecessary laboratory testing: A multicenter before and after study in a teaching hospital network. Int J Clin Pract. 2019 Mar 1;73(3). </w:t>
      </w:r>
    </w:p>
    <w:p w14:paraId="2B817E1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215. </w:t>
      </w:r>
      <w:r w:rsidRPr="00F5474B">
        <w:rPr>
          <w:rFonts w:ascii="Calibri" w:hAnsi="Calibri" w:cs="Calibri"/>
          <w:noProof/>
          <w:szCs w:val="24"/>
        </w:rPr>
        <w:tab/>
        <w:t xml:space="preserve">Eskandari F, Abdullah KL, Zainal NZ, Wong LP. The effect of educational intervention on nurses’ knowledge, attitude, intention, practice and incidence rate of physical restraint use. Nurse Educ Pract. 2018;32:52–7. </w:t>
      </w:r>
    </w:p>
    <w:p w14:paraId="21CFB93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216. </w:t>
      </w:r>
      <w:r w:rsidRPr="00F5474B">
        <w:rPr>
          <w:rFonts w:ascii="Calibri" w:hAnsi="Calibri" w:cs="Calibri"/>
          <w:noProof/>
          <w:szCs w:val="24"/>
        </w:rPr>
        <w:tab/>
        <w:t xml:space="preserve">Evrard P, Henrard S, Foulon V, Spinewine A. Benzodiazepine Use and Deprescribing in Belgian Nursing Homes: Results from the COME-ON Study. J Am Geriatr Soc. 2020 Dec 1;68(12):2768–77. </w:t>
      </w:r>
    </w:p>
    <w:p w14:paraId="3901199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217. </w:t>
      </w:r>
      <w:r w:rsidRPr="00F5474B">
        <w:rPr>
          <w:rFonts w:ascii="Calibri" w:hAnsi="Calibri" w:cs="Calibri"/>
          <w:noProof/>
          <w:szCs w:val="24"/>
        </w:rPr>
        <w:tab/>
        <w:t xml:space="preserve">Fernández-Liz E, Vivó-Tristante P, Aranzana-Martínez A, Barceló-Colomer ME, Larrosa-Garcia M, del Val García JL, et al. Long-term effectiveness of an intervention to enhance mirabegron use revision and its deprescribing: 36-month follow-up of a quasi-experimental trial in primary care. Curr Med Res Opin. 2021;37(4):703–10. </w:t>
      </w:r>
    </w:p>
    <w:p w14:paraId="7A3EBE6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218. </w:t>
      </w:r>
      <w:r w:rsidRPr="00F5474B">
        <w:rPr>
          <w:rFonts w:ascii="Calibri" w:hAnsi="Calibri" w:cs="Calibri"/>
          <w:noProof/>
          <w:szCs w:val="24"/>
        </w:rPr>
        <w:tab/>
        <w:t xml:space="preserve">Garay-Bravo C, Peña A, Molina M, Sanfeliu J, Piles P, Blasco P, et al. Application of the STOPP criteria in hospitalised elderly patients to detect and optimise inappropriate psychopharmaceutical prescriptions. Eur Geriatr Med. 2018;9(5):597–602. </w:t>
      </w:r>
    </w:p>
    <w:p w14:paraId="541BFA8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219. </w:t>
      </w:r>
      <w:r w:rsidRPr="00F5474B">
        <w:rPr>
          <w:rFonts w:ascii="Calibri" w:hAnsi="Calibri" w:cs="Calibri"/>
          <w:noProof/>
          <w:szCs w:val="24"/>
        </w:rPr>
        <w:tab/>
        <w:t xml:space="preserve">Gazarin M, Devin B, Tse D, Mulligan E, Naciuk M, Duncan S, et al. Evaluating an inpatient deprescribing initiative at a rural community hospital in Ontario. Can Pharm J. 2020 Jul 1;153(4):224–31. </w:t>
      </w:r>
    </w:p>
    <w:p w14:paraId="5067811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220. </w:t>
      </w:r>
      <w:r w:rsidRPr="00F5474B">
        <w:rPr>
          <w:rFonts w:ascii="Calibri" w:hAnsi="Calibri" w:cs="Calibri"/>
          <w:noProof/>
          <w:szCs w:val="24"/>
        </w:rPr>
        <w:tab/>
        <w:t xml:space="preserve">Gibert P, Cabaret M, Moulis M, Bosson JL, Boivin JE, Chanoine S, et al. Optimizing medication use in elderly people in primary care: Impact of STOPP criteria on inappropriate prescriptions. Arch Gerontol Geriatr. 2018;75:16–9. </w:t>
      </w:r>
    </w:p>
    <w:p w14:paraId="2DCFF39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221. </w:t>
      </w:r>
      <w:r w:rsidRPr="00F5474B">
        <w:rPr>
          <w:rFonts w:ascii="Calibri" w:hAnsi="Calibri" w:cs="Calibri"/>
          <w:noProof/>
          <w:szCs w:val="24"/>
        </w:rPr>
        <w:tab/>
        <w:t xml:space="preserve">Sara GG, Antoni LA, Ana Cris CL, Oreto RM, Pilar CA, Juan Pablo OB, et al. Deprescribing program in pluripathological elderly patients at a general hospital. Eur J Clin Pharm. 2020;22(3):132–41. </w:t>
      </w:r>
    </w:p>
    <w:p w14:paraId="1DC1F14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222. </w:t>
      </w:r>
      <w:r w:rsidRPr="00F5474B">
        <w:rPr>
          <w:rFonts w:ascii="Calibri" w:hAnsi="Calibri" w:cs="Calibri"/>
          <w:noProof/>
          <w:szCs w:val="24"/>
        </w:rPr>
        <w:tab/>
        <w:t xml:space="preserve">Goga JK, Depaolo A, Khushalani S, Walters JK, Roca R, Zisselman M, et al. Lean methodology reduces inappropriate use of antipsychotics for agitation at a psychiatric hospital. Consult Pharm. 2017;32(1):54–62. </w:t>
      </w:r>
    </w:p>
    <w:p w14:paraId="34530F4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223. </w:t>
      </w:r>
      <w:r w:rsidRPr="00F5474B">
        <w:rPr>
          <w:rFonts w:ascii="Calibri" w:hAnsi="Calibri" w:cs="Calibri"/>
          <w:noProof/>
          <w:szCs w:val="24"/>
        </w:rPr>
        <w:tab/>
        <w:t xml:space="preserve">Greene MT, Fakih MG, Watson SR, Ratz D, Saint S. Reducing Inappropriate Urinary Catheter Use in the Emergency Department: Comparing Two Collaborative Structures. Infect Control Hosp Epidemiol. 2017/12/18. 2018;39(1):77–84. </w:t>
      </w:r>
    </w:p>
    <w:p w14:paraId="717F189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224. </w:t>
      </w:r>
      <w:r w:rsidRPr="00F5474B">
        <w:rPr>
          <w:rFonts w:ascii="Calibri" w:hAnsi="Calibri" w:cs="Calibri"/>
          <w:noProof/>
          <w:szCs w:val="24"/>
        </w:rPr>
        <w:tab/>
        <w:t xml:space="preserve">Gulla C, Flo E, Kjome RL, Husebo BS. Deprescribing antihypertensive treatment in nursing home patients and the effect on blood pressure. J Geriatr Cardiol. 2018;15(4):275–83. </w:t>
      </w:r>
    </w:p>
    <w:p w14:paraId="33DF89B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225. </w:t>
      </w:r>
      <w:r w:rsidRPr="00F5474B">
        <w:rPr>
          <w:rFonts w:ascii="Calibri" w:hAnsi="Calibri" w:cs="Calibri"/>
          <w:noProof/>
          <w:szCs w:val="24"/>
        </w:rPr>
        <w:tab/>
        <w:t xml:space="preserve">Gustafsson M, Sjol, Er M, Pfister B, Schneede J, Lovheim H. Effects of Pharmacists’ Interventions on Inappropriate Drug Use and Drug-Related Readmissions in People with Dementia-A Secondary Analysis of a Randomized Controlled Trial. Pharm  A J Pharm Educ Pract. 6(1):16. </w:t>
      </w:r>
    </w:p>
    <w:p w14:paraId="21B1F23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226. </w:t>
      </w:r>
      <w:r w:rsidRPr="00F5474B">
        <w:rPr>
          <w:rFonts w:ascii="Calibri" w:hAnsi="Calibri" w:cs="Calibri"/>
          <w:noProof/>
          <w:szCs w:val="24"/>
        </w:rPr>
        <w:tab/>
        <w:t xml:space="preserve">Howard-Anderson JR, Sexton ME, Robichaux C, Wiley Z, Varkey JB, Suchindran S, et al. The impact of an electronic medical record nudge on reducing testing for hospital-onset Clostridioides difficile infection. Infect Control Hosp Epidemiol. 2020/02/10. 2020;41(4):411–7. </w:t>
      </w:r>
    </w:p>
    <w:p w14:paraId="42A4FFB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227. </w:t>
      </w:r>
      <w:r w:rsidRPr="00F5474B">
        <w:rPr>
          <w:rFonts w:ascii="Calibri" w:hAnsi="Calibri" w:cs="Calibri"/>
          <w:noProof/>
          <w:szCs w:val="24"/>
        </w:rPr>
        <w:tab/>
        <w:t xml:space="preserve">Hui RL, Chang CC, Niu F, Tang YK, Harano D, Deguzman L, et al. Evaluation of a Pharmacist-Managed Antidiabetic Deprescribing Program in an Integrated Health Care System. Vol. 25, JMCP Journal of Managed Care &amp; Specialty Pharmacy. 2019. </w:t>
      </w:r>
    </w:p>
    <w:p w14:paraId="4EF2047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228. </w:t>
      </w:r>
      <w:r w:rsidRPr="00F5474B">
        <w:rPr>
          <w:rFonts w:ascii="Calibri" w:hAnsi="Calibri" w:cs="Calibri"/>
          <w:noProof/>
          <w:szCs w:val="24"/>
        </w:rPr>
        <w:tab/>
        <w:t xml:space="preserve">Hurmuz MZM, Janus SIM, van Manen JG. Changes in medicine prescription following a medication review in older high-risk patients with polypharmacy. Int J Clin Pharm. 2018;40(2):480–7. </w:t>
      </w:r>
    </w:p>
    <w:p w14:paraId="35A30B6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229. </w:t>
      </w:r>
      <w:r w:rsidRPr="00F5474B">
        <w:rPr>
          <w:rFonts w:ascii="Calibri" w:hAnsi="Calibri" w:cs="Calibri"/>
          <w:noProof/>
          <w:szCs w:val="24"/>
        </w:rPr>
        <w:tab/>
        <w:t xml:space="preserve">James D, Lopez L. Impact of a pharmacist-driven education initiative on treatment of asymptomatic bacteriuria. Am J Heal Pharm. 2019;76:S41–8. </w:t>
      </w:r>
    </w:p>
    <w:p w14:paraId="4AFA0A2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230. </w:t>
      </w:r>
      <w:r w:rsidRPr="00F5474B">
        <w:rPr>
          <w:rFonts w:ascii="Calibri" w:hAnsi="Calibri" w:cs="Calibri"/>
          <w:noProof/>
          <w:szCs w:val="24"/>
        </w:rPr>
        <w:tab/>
        <w:t xml:space="preserve">Javelot H, Marquis A, Antoine-Bernard E, Grandidier J, Weiner L, Javelot T, et al. Benzodiazepines withdrawal: Initial outcomes and long-term impact on falls in a French nursing home. Pharmacy. 2018;6(2). </w:t>
      </w:r>
    </w:p>
    <w:p w14:paraId="75650EF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231. </w:t>
      </w:r>
      <w:r w:rsidRPr="00F5474B">
        <w:rPr>
          <w:rFonts w:ascii="Calibri" w:hAnsi="Calibri" w:cs="Calibri"/>
          <w:noProof/>
          <w:szCs w:val="24"/>
        </w:rPr>
        <w:tab/>
        <w:t xml:space="preserve">Jefferson BK, King JE. Impact of the acute care nurse practitioner in reducing the number of unwarranted daily laboratory tests in the intensive care unit. J Am Assoc Nurse Pract. 2018;30(5):285–92. </w:t>
      </w:r>
    </w:p>
    <w:p w14:paraId="40FB7FB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232. </w:t>
      </w:r>
      <w:r w:rsidRPr="00F5474B">
        <w:rPr>
          <w:rFonts w:ascii="Calibri" w:hAnsi="Calibri" w:cs="Calibri"/>
          <w:noProof/>
          <w:szCs w:val="24"/>
        </w:rPr>
        <w:tab/>
        <w:t xml:space="preserve">Ji X, Haight SC, Ko JY, Cox S, Barfield WD, Zhang K, et al. Association Between State Policies on Improving Opioid Prescribing in 2 States and Opioid Overdose Rates Among Reproductive-aged Women. Med Care. 2021;59(2). </w:t>
      </w:r>
    </w:p>
    <w:p w14:paraId="0B6001B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233. </w:t>
      </w:r>
      <w:r w:rsidRPr="00F5474B">
        <w:rPr>
          <w:rFonts w:ascii="Calibri" w:hAnsi="Calibri" w:cs="Calibri"/>
          <w:noProof/>
          <w:szCs w:val="24"/>
        </w:rPr>
        <w:tab/>
        <w:t xml:space="preserve">Kato T, Tanaka I, Seyama Y, Sekikawa R, Suzuki S, Nagasawa M, et al. The effectiveness of prescription support and treatment reporting system on the appropriate usage of oral third-generation cephalosporins. J Infect Chemother. 2021;27(3):419–23. </w:t>
      </w:r>
    </w:p>
    <w:p w14:paraId="7D2EF96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234. </w:t>
      </w:r>
      <w:r w:rsidRPr="00F5474B">
        <w:rPr>
          <w:rFonts w:ascii="Calibri" w:hAnsi="Calibri" w:cs="Calibri"/>
          <w:noProof/>
          <w:szCs w:val="24"/>
        </w:rPr>
        <w:tab/>
        <w:t xml:space="preserve">Khera S, Abbasi M, Dabravolskaj J, Sadowski CA, Yua H, Chevalier B. Appropriateness of Medications in Older Adults Living With Frailty: Impact of a Pharmacist-Led Structured Medication Review Process in Primary Care. J Prim Care Community Health. 2019;10:2150132719890227–2150132719890227. </w:t>
      </w:r>
    </w:p>
    <w:p w14:paraId="0E231DD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235. </w:t>
      </w:r>
      <w:r w:rsidRPr="00F5474B">
        <w:rPr>
          <w:rFonts w:ascii="Calibri" w:hAnsi="Calibri" w:cs="Calibri"/>
          <w:noProof/>
          <w:szCs w:val="24"/>
        </w:rPr>
        <w:tab/>
        <w:t xml:space="preserve">Kleczka B, Kumar P, Njeru MK, Musiega A, Wekesa P, Rabut G, et al. Using rubber stamps and mobile phones to help understand and change antibiotic prescribing behaviour in private sector primary healthcare clinics in Kenya. BMJ Glob Heal. 2019 Sep 1;4(5):e001422. </w:t>
      </w:r>
    </w:p>
    <w:p w14:paraId="743D96B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236. </w:t>
      </w:r>
      <w:r w:rsidRPr="00F5474B">
        <w:rPr>
          <w:rFonts w:ascii="Calibri" w:hAnsi="Calibri" w:cs="Calibri"/>
          <w:noProof/>
          <w:szCs w:val="24"/>
        </w:rPr>
        <w:tab/>
        <w:t xml:space="preserve">Kouladjian O’Donnell L, Gnjidic D, Chen TF, Hilmer SN. Integration of an electronic Drug Burden Index risk assessment tool into Home Medicines Reviews: deprescribing anticholinergic and sedative medications. Ther Adv Drug Saf. 2019 Jan;10:204209861983247. </w:t>
      </w:r>
    </w:p>
    <w:p w14:paraId="79CB550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237. </w:t>
      </w:r>
      <w:r w:rsidRPr="00F5474B">
        <w:rPr>
          <w:rFonts w:ascii="Calibri" w:hAnsi="Calibri" w:cs="Calibri"/>
          <w:noProof/>
          <w:szCs w:val="24"/>
        </w:rPr>
        <w:tab/>
        <w:t xml:space="preserve">Kullgren JT, Krupka E, Schachter A, Linden A, Miller J, Acharya Y, et al. Precommitting to choose wisely about low-value services: A stepped wedge cluster randomised trial. BMJ Qual Saf. 2018;27(5):355–64. </w:t>
      </w:r>
    </w:p>
    <w:p w14:paraId="088AAFA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238. </w:t>
      </w:r>
      <w:r w:rsidRPr="00F5474B">
        <w:rPr>
          <w:rFonts w:ascii="Calibri" w:hAnsi="Calibri" w:cs="Calibri"/>
          <w:noProof/>
          <w:szCs w:val="24"/>
        </w:rPr>
        <w:tab/>
        <w:t xml:space="preserve">Laan BJ, Maaskant JM, Spijkerman IJB, Borgert MJ, Godfried MH, Pasmooij BC, et al. De-implementation strategy to reduce inappropriate use of intravenous and urinary catheters (RICAT): a multicentre, prospective, interrupted time-series and before and after study. Lancet Infect Dis. 2020 Jul 1;20(7):864–72. </w:t>
      </w:r>
    </w:p>
    <w:p w14:paraId="4B81BB7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239. </w:t>
      </w:r>
      <w:r w:rsidRPr="00F5474B">
        <w:rPr>
          <w:rFonts w:ascii="Calibri" w:hAnsi="Calibri" w:cs="Calibri"/>
          <w:noProof/>
          <w:szCs w:val="24"/>
        </w:rPr>
        <w:tab/>
        <w:t xml:space="preserve">Lee B, Mafi J, Patel MK, Sorensen A, Vangala S, Wei E, et al. Quality improvement time-saving intervention to increase use of a clinical decision support tool to reduce low-value diagnostic imaging in a safety net health system. BMJ Open Qual. 2021 Feb 1;10(1):e001076. </w:t>
      </w:r>
    </w:p>
    <w:p w14:paraId="4B0097B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240. </w:t>
      </w:r>
      <w:r w:rsidRPr="00F5474B">
        <w:rPr>
          <w:rFonts w:ascii="Calibri" w:hAnsi="Calibri" w:cs="Calibri"/>
          <w:noProof/>
          <w:szCs w:val="24"/>
        </w:rPr>
        <w:tab/>
        <w:t xml:space="preserve">Lee C, Phillips C, Vanstone JR. Educational intervention to reduce treatment of asymptomatic bacteriuria in long-term care. BMJ Open Qual. 2018 Dec 1;7(4):e000483. </w:t>
      </w:r>
    </w:p>
    <w:p w14:paraId="70CA4EF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241. </w:t>
      </w:r>
      <w:r w:rsidRPr="00F5474B">
        <w:rPr>
          <w:rFonts w:ascii="Calibri" w:hAnsi="Calibri" w:cs="Calibri"/>
          <w:noProof/>
          <w:szCs w:val="24"/>
        </w:rPr>
        <w:tab/>
        <w:t xml:space="preserve">Leslie T, Rowland M, Mikhail A, Cundill B, Willey B, Alokozai A, et al. Use of malaria rapid diagnostic tests by community health workers in Afghanistan: cluster randomised trial. BMC Med. 2017;15:1–11. </w:t>
      </w:r>
    </w:p>
    <w:p w14:paraId="1C44CFC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242. </w:t>
      </w:r>
      <w:r w:rsidRPr="00F5474B">
        <w:rPr>
          <w:rFonts w:ascii="Calibri" w:hAnsi="Calibri" w:cs="Calibri"/>
          <w:noProof/>
          <w:szCs w:val="24"/>
        </w:rPr>
        <w:tab/>
        <w:t xml:space="preserve">Lewis PO, Lundberg TS, Tharp JL, Runnels CW. Implementation of Global Strategies to Prevent Hospital-Onset Clostridium difficile Infection: Targeting Proton Pump Inhibitors and Probiotics. Ann Pharmacother. 2017;51(10):848–54. </w:t>
      </w:r>
    </w:p>
    <w:p w14:paraId="16E48C1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243. </w:t>
      </w:r>
      <w:r w:rsidRPr="00F5474B">
        <w:rPr>
          <w:rFonts w:ascii="Calibri" w:hAnsi="Calibri" w:cs="Calibri"/>
          <w:noProof/>
          <w:szCs w:val="24"/>
        </w:rPr>
        <w:tab/>
        <w:t xml:space="preserve">Li H, Yan S, Li D, Gong Y, Lu Z, Yin X. Trends and patterns of outpatient and inpatient antibiotic use in China’s hospitals: data from the Center for Antibacterial Surveillance, 2012–16. J Antimicrob Chemother. 2019 Jun 1;74(6):1731–40. </w:t>
      </w:r>
    </w:p>
    <w:p w14:paraId="58DE428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244. </w:t>
      </w:r>
      <w:r w:rsidRPr="00F5474B">
        <w:rPr>
          <w:rFonts w:ascii="Calibri" w:hAnsi="Calibri" w:cs="Calibri"/>
          <w:noProof/>
          <w:szCs w:val="24"/>
        </w:rPr>
        <w:tab/>
        <w:t xml:space="preserve">Lin D, Eke C, Cai C, Thrift AP, Shukla R. Decreasing Overall and Inappropriate Proton Pump Inhibitor Use: Perspective From a Large Safety-Net Healthcare System. Clin Gastroenterol Hepatol. 2020;18(4):763-766.e2. </w:t>
      </w:r>
    </w:p>
    <w:p w14:paraId="61AB843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245. </w:t>
      </w:r>
      <w:r w:rsidRPr="00F5474B">
        <w:rPr>
          <w:rFonts w:ascii="Calibri" w:hAnsi="Calibri" w:cs="Calibri"/>
          <w:noProof/>
          <w:szCs w:val="24"/>
        </w:rPr>
        <w:tab/>
        <w:t xml:space="preserve">Lin K, Zahlanie Y, Ortwine JK, Mang NS, Wei W, Brown LS, et al. Decreased Outpatient Fluoroquinolone Prescribing Using a Multimodal Antimicrobial Stewardship Initiative. Open Forum Infect Dis. 2020 Jun 1;7(6):ofaa182. </w:t>
      </w:r>
    </w:p>
    <w:p w14:paraId="0BFC3B41"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246. </w:t>
      </w:r>
      <w:r w:rsidRPr="00F5474B">
        <w:rPr>
          <w:rFonts w:ascii="Calibri" w:hAnsi="Calibri" w:cs="Calibri"/>
          <w:noProof/>
          <w:szCs w:val="24"/>
        </w:rPr>
        <w:tab/>
        <w:t xml:space="preserve">Low CE, Sanchez Pellecer DE, Santivasi WL, Thompson VH, Elwood T, Davidson AJ, et al. Deprescribing in Hospice Patients: Discontinuing Aspirin, Multivitamins, and Statins. Mayo Clin Proc Innov Qual Outcomes. 2021 Aug 1;5(4):721–6. </w:t>
      </w:r>
    </w:p>
    <w:p w14:paraId="6679D71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247. </w:t>
      </w:r>
      <w:r w:rsidRPr="00F5474B">
        <w:rPr>
          <w:rFonts w:ascii="Calibri" w:hAnsi="Calibri" w:cs="Calibri"/>
          <w:noProof/>
          <w:szCs w:val="24"/>
        </w:rPr>
        <w:tab/>
        <w:t xml:space="preserve">Luo H, Fan Q, Xiao S, Chen K. Changes in proton pump inhibitor prescribing trend over the past decade and pharmacists’ effect on prescribing practice at a tertiary hospital. BMC Health Serv Res. 2018;18(1):537. </w:t>
      </w:r>
    </w:p>
    <w:p w14:paraId="6B3DB38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248. </w:t>
      </w:r>
      <w:r w:rsidRPr="00F5474B">
        <w:rPr>
          <w:rFonts w:ascii="Calibri" w:hAnsi="Calibri" w:cs="Calibri"/>
          <w:noProof/>
          <w:szCs w:val="24"/>
        </w:rPr>
        <w:tab/>
        <w:t xml:space="preserve">Mafi JN, Godoy-Travieso P, Wei E, Anders M, Amaya R, Carrillo CA, et al. Evaluation of an Intervention to Reduce Low-Value Preoperative Care for Patients Undergoing Cataract Surgery at a Safety-Net Health System. JAMA Intern Med. 2019 May 1;179(5):648–57. </w:t>
      </w:r>
    </w:p>
    <w:p w14:paraId="391DD70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249. </w:t>
      </w:r>
      <w:r w:rsidRPr="00F5474B">
        <w:rPr>
          <w:rFonts w:ascii="Calibri" w:hAnsi="Calibri" w:cs="Calibri"/>
          <w:noProof/>
          <w:szCs w:val="24"/>
        </w:rPr>
        <w:tab/>
        <w:t xml:space="preserve">Markogiannakis A, Korantanis K, Gamaletsou MN, Samarkos M, Psichogiou M, Daikos G, et al. Impact of a non-compulsory antifungal stewardship </w:t>
      </w:r>
      <w:r w:rsidRPr="00F5474B">
        <w:rPr>
          <w:rFonts w:ascii="Calibri" w:hAnsi="Calibri" w:cs="Calibri"/>
          <w:noProof/>
          <w:szCs w:val="24"/>
        </w:rPr>
        <w:lastRenderedPageBreak/>
        <w:t xml:space="preserve">program on overuse and misuse of antifungal agents in a tertiary care hospital. Int J Antimicrob Agents. 2021 Jan 1;57(1):106255. </w:t>
      </w:r>
    </w:p>
    <w:p w14:paraId="48CFFBC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250. </w:t>
      </w:r>
      <w:r w:rsidRPr="00F5474B">
        <w:rPr>
          <w:rFonts w:ascii="Calibri" w:hAnsi="Calibri" w:cs="Calibri"/>
          <w:noProof/>
          <w:szCs w:val="24"/>
        </w:rPr>
        <w:tab/>
        <w:t xml:space="preserve">Martin P, Tamblyn R, Benedetti A, Ahmed S, Tannenbaum C. Effect of a Pharmacist-Led Educational Intervention on Inappropriate Medication Prescriptions in Older Adults: The D-PRESCRIBE Randomized Clinical Trial. JAMA. 2018 Nov 13;320(18):1889–98. </w:t>
      </w:r>
    </w:p>
    <w:p w14:paraId="6DFB6E1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251. </w:t>
      </w:r>
      <w:r w:rsidRPr="00F5474B">
        <w:rPr>
          <w:rFonts w:ascii="Calibri" w:hAnsi="Calibri" w:cs="Calibri"/>
          <w:noProof/>
          <w:szCs w:val="24"/>
        </w:rPr>
        <w:tab/>
        <w:t xml:space="preserve">Masood U, Sharma A, Bhatti Z, Carroll J, Bhardwaj A, Sivalingam D, et al. A Successful Pharmacist-Based Quality Initiative to Reduce Inappropriate Stress Ulcer Prophylaxis Use in an Academic Medical Intensive Care Unit. Inq. 2018;55:1–5. </w:t>
      </w:r>
    </w:p>
    <w:p w14:paraId="61BA5B6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252. </w:t>
      </w:r>
      <w:r w:rsidRPr="00F5474B">
        <w:rPr>
          <w:rFonts w:ascii="Calibri" w:hAnsi="Calibri" w:cs="Calibri"/>
          <w:noProof/>
          <w:szCs w:val="24"/>
        </w:rPr>
        <w:tab/>
        <w:t xml:space="preserve">May A, Hester A, Quairoli K, Wong JR, Kandiah S. Impact of Clinical Decision Support on Azithromycin Prescribing in Primary Care Clinics. J Gen Intern Med. 2021;36(8):2267–73. </w:t>
      </w:r>
    </w:p>
    <w:p w14:paraId="4551D83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253. </w:t>
      </w:r>
      <w:r w:rsidRPr="00F5474B">
        <w:rPr>
          <w:rFonts w:ascii="Calibri" w:hAnsi="Calibri" w:cs="Calibri"/>
          <w:noProof/>
          <w:szCs w:val="24"/>
        </w:rPr>
        <w:tab/>
        <w:t xml:space="preserve">McDonald EG, Wu PE, Rashidi B, Forster AJ, Huang A, Pilote L, et al. The MedSafer Study: A Controlled Trial of an Electronic Decision Support Tool for Deprescribing in Acute Care. J Am Geriatr Soc. 2019 Sep 1;67(9):1843–50. </w:t>
      </w:r>
    </w:p>
    <w:p w14:paraId="6FE150C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254. </w:t>
      </w:r>
      <w:r w:rsidRPr="00F5474B">
        <w:rPr>
          <w:rFonts w:ascii="Calibri" w:hAnsi="Calibri" w:cs="Calibri"/>
          <w:noProof/>
          <w:szCs w:val="24"/>
        </w:rPr>
        <w:tab/>
        <w:t xml:space="preserve">Mecca MC, Thomas JM, Niehoff KM, Hyson A, Jeffery SM, Sellinger J, et al. Assessing an Interprofessional Polypharmacy and Deprescribing Educational Intervention for Primary Care Post-graduate Trainees: a Quantitative and Qualitative Evaluation. J Gen Intern Med. 2019;34(7):1220–7. </w:t>
      </w:r>
    </w:p>
    <w:p w14:paraId="31E40FF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255. </w:t>
      </w:r>
      <w:r w:rsidRPr="00F5474B">
        <w:rPr>
          <w:rFonts w:ascii="Calibri" w:hAnsi="Calibri" w:cs="Calibri"/>
          <w:noProof/>
          <w:szCs w:val="24"/>
        </w:rPr>
        <w:tab/>
        <w:t xml:space="preserve">Mitchell DA, Panchisin T, Seckel MA. Reducing Use of Restraints in Intensive Care Units: A Quality Improvement Project. Crit Care Nurse. 2018;38(4):e8–16. </w:t>
      </w:r>
    </w:p>
    <w:p w14:paraId="15449F4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256. </w:t>
      </w:r>
      <w:r w:rsidRPr="00F5474B">
        <w:rPr>
          <w:rFonts w:ascii="Calibri" w:hAnsi="Calibri" w:cs="Calibri"/>
          <w:noProof/>
          <w:szCs w:val="24"/>
        </w:rPr>
        <w:tab/>
        <w:t xml:space="preserve">Morgan T, Wu J, Ovchinikova L, Lindner R, Blogg S, Moorin R. A national intervention to reduce imaging for low back pain by general practitioners: a retrospective economic program evaluation using Medicare Benefits Schedule data. BMC Health Serv Res. 2019;19(1):983. </w:t>
      </w:r>
    </w:p>
    <w:p w14:paraId="049FB4B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257. </w:t>
      </w:r>
      <w:r w:rsidRPr="00F5474B">
        <w:rPr>
          <w:rFonts w:ascii="Calibri" w:hAnsi="Calibri" w:cs="Calibri"/>
          <w:noProof/>
          <w:szCs w:val="24"/>
        </w:rPr>
        <w:tab/>
        <w:t xml:space="preserve">Mozafarihashjin M, Leis JA, Mieusement LMD, McCreight L, Poutanen S, Shrivastava A, et al. Safety, effectiveness and sustainability of a laboratory intervention to de-adopt culture of midstream urine samples among hospitalized patients. Infect Control Hosp Epidemiol. 2021;42(1):43–50. </w:t>
      </w:r>
    </w:p>
    <w:p w14:paraId="7DE3F03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258. </w:t>
      </w:r>
      <w:r w:rsidRPr="00F5474B">
        <w:rPr>
          <w:rFonts w:ascii="Calibri" w:hAnsi="Calibri" w:cs="Calibri"/>
          <w:noProof/>
          <w:szCs w:val="24"/>
        </w:rPr>
        <w:tab/>
        <w:t xml:space="preserve">Musuuza JS, Fong E, Lata P, Willenborg K, Knobloch MJ, Hoernke MJ, et al. Feasibility of a pharmacy-led intervention to de-implement non-guideline-concordant proton pump inhibitor use. Implement Sci Commun. 2021;2(1):59. </w:t>
      </w:r>
    </w:p>
    <w:p w14:paraId="2C829EB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259. </w:t>
      </w:r>
      <w:r w:rsidRPr="00F5474B">
        <w:rPr>
          <w:rFonts w:ascii="Calibri" w:hAnsi="Calibri" w:cs="Calibri"/>
          <w:noProof/>
          <w:szCs w:val="24"/>
        </w:rPr>
        <w:tab/>
        <w:t xml:space="preserve">Naimer MS, Munro J, Singh S, Permaul JA. Improving Family Medicine Residents’ Opioid Prescribing: A Nurse Practitioner-Led Model. J nurse Pract. 2019;15(9):661–5. </w:t>
      </w:r>
    </w:p>
    <w:p w14:paraId="2A0F590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260. </w:t>
      </w:r>
      <w:r w:rsidRPr="00F5474B">
        <w:rPr>
          <w:rFonts w:ascii="Calibri" w:hAnsi="Calibri" w:cs="Calibri"/>
          <w:noProof/>
          <w:szCs w:val="24"/>
        </w:rPr>
        <w:tab/>
        <w:t xml:space="preserve">Narayanan P, Knoph K, Chen NX, McCoy CP, Devalapalli AP, Schoonover K, et al. Decreasing treatment of asymptomatic bacteriuria: An interprofessional approach to antibiotic stewardship. J Clin Outcomes Manag. 2019;26(4):169–74. </w:t>
      </w:r>
    </w:p>
    <w:p w14:paraId="29D6274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261. </w:t>
      </w:r>
      <w:r w:rsidRPr="00F5474B">
        <w:rPr>
          <w:rFonts w:ascii="Calibri" w:hAnsi="Calibri" w:cs="Calibri"/>
          <w:noProof/>
          <w:szCs w:val="24"/>
        </w:rPr>
        <w:tab/>
        <w:t xml:space="preserve">Navy HJ, Weffald L, Delate T, Patel RJ, Dugan JP. Clinical pharmacist intervention to engage older adults in reducing use of alprazolam. Consult Pharm. 2018;33(12):711–22. </w:t>
      </w:r>
    </w:p>
    <w:p w14:paraId="17AD6CD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262. </w:t>
      </w:r>
      <w:r w:rsidRPr="00F5474B">
        <w:rPr>
          <w:rFonts w:ascii="Calibri" w:hAnsi="Calibri" w:cs="Calibri"/>
          <w:noProof/>
          <w:szCs w:val="24"/>
        </w:rPr>
        <w:tab/>
        <w:t xml:space="preserve">Orji CC, Brown CM, Hoverman JR, Richards KM, Garey J, He B. Impact of a G-CSF Policy to Reduce Low-Value Care on Guideline Adherence and </w:t>
      </w:r>
      <w:r w:rsidRPr="00F5474B">
        <w:rPr>
          <w:rFonts w:ascii="Calibri" w:hAnsi="Calibri" w:cs="Calibri"/>
          <w:noProof/>
          <w:szCs w:val="24"/>
        </w:rPr>
        <w:lastRenderedPageBreak/>
        <w:t xml:space="preserve">Mortality. JCO Oncol Pract. 2021 Apr 14;17(11):e1830–6. </w:t>
      </w:r>
    </w:p>
    <w:p w14:paraId="733547B9"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263. </w:t>
      </w:r>
      <w:r w:rsidRPr="00F5474B">
        <w:rPr>
          <w:rFonts w:ascii="Calibri" w:hAnsi="Calibri" w:cs="Calibri"/>
          <w:noProof/>
          <w:szCs w:val="24"/>
        </w:rPr>
        <w:tab/>
        <w:t xml:space="preserve">Peñalva G, Fernández-Urrusuno R, Turmo JM, Hernández-Soto R, Pajares I, Carrión L, et al. Long-term impact of an educational antimicrobial stewardship programme in primary care on infections caused by extended-spectrum β-lactamase-producing Escherichia coli in the community: an interrupted time-series analysis. Lancet Infect Dis. 2020;20(2):199–207. </w:t>
      </w:r>
    </w:p>
    <w:p w14:paraId="5E0D795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264. </w:t>
      </w:r>
      <w:r w:rsidRPr="00F5474B">
        <w:rPr>
          <w:rFonts w:ascii="Calibri" w:hAnsi="Calibri" w:cs="Calibri"/>
          <w:noProof/>
          <w:szCs w:val="24"/>
        </w:rPr>
        <w:tab/>
        <w:t xml:space="preserve">Pugel S, Stallworth JL, Pugh LB, Terrell C, Bailey Z, Gramling T, et al. Choosing Wisely in Georgia: A Quality Improvement Initiative in 25 Adult Ambulatory Medicine Offices. Jt Comm J Qual Patient Saf. 2018 Dec 1;44(12):699–707. </w:t>
      </w:r>
    </w:p>
    <w:p w14:paraId="45F4150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265. </w:t>
      </w:r>
      <w:r w:rsidRPr="00F5474B">
        <w:rPr>
          <w:rFonts w:ascii="Calibri" w:hAnsi="Calibri" w:cs="Calibri"/>
          <w:noProof/>
          <w:szCs w:val="24"/>
        </w:rPr>
        <w:tab/>
        <w:t xml:space="preserve">Raina A, Ardagh M, Loring B. What influences clinicians to choose wisely? N Z Med J. 2019;132(1502):16–24. </w:t>
      </w:r>
    </w:p>
    <w:p w14:paraId="3FD7B05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266. </w:t>
      </w:r>
      <w:r w:rsidRPr="00F5474B">
        <w:rPr>
          <w:rFonts w:ascii="Calibri" w:hAnsi="Calibri" w:cs="Calibri"/>
          <w:noProof/>
          <w:szCs w:val="24"/>
        </w:rPr>
        <w:tab/>
        <w:t xml:space="preserve">Rautemaa-Richardson R, Rautemaa V, Al-Wathiqi F, Moore CB, Craig L, Felton TW, et al. Impact of a diagnostics-driven antifungal stewardship programme in a UK tertiary referral teaching hospital. J Antimicrob Chemother. 2018 Dec 1;73(12):3488–95. </w:t>
      </w:r>
    </w:p>
    <w:p w14:paraId="5095E58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267. </w:t>
      </w:r>
      <w:r w:rsidRPr="00F5474B">
        <w:rPr>
          <w:rFonts w:ascii="Calibri" w:hAnsi="Calibri" w:cs="Calibri"/>
          <w:noProof/>
          <w:szCs w:val="24"/>
        </w:rPr>
        <w:tab/>
        <w:t xml:space="preserve">Rezaii PG, Fredericks N, Lincoln CM, Hom J, Willis M, Burleson J, et al. Assessment of the Radiology Support, Communication and Alignment Network to Reduce Medical Imaging Overutilization: A Multipractice Cohort Study. J Am Coll Radiol. 2020 May 1;17(5):597–605. </w:t>
      </w:r>
    </w:p>
    <w:p w14:paraId="2193750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268. </w:t>
      </w:r>
      <w:r w:rsidRPr="00F5474B">
        <w:rPr>
          <w:rFonts w:ascii="Calibri" w:hAnsi="Calibri" w:cs="Calibri"/>
          <w:noProof/>
          <w:szCs w:val="24"/>
        </w:rPr>
        <w:tab/>
        <w:t xml:space="preserve">Ruiz-Millo O, Climente-Martí M, Navarro-Sanz JR. Improvement on prescribing appropriateness after implementing an interdisciplinary pharmacotherapy quality programme in a long-term care hospital. Eur J Hosp Pharm. 2018;25(5):267–73. </w:t>
      </w:r>
    </w:p>
    <w:p w14:paraId="30FCCF6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269. </w:t>
      </w:r>
      <w:r w:rsidRPr="00F5474B">
        <w:rPr>
          <w:rFonts w:ascii="Calibri" w:hAnsi="Calibri" w:cs="Calibri"/>
          <w:noProof/>
          <w:szCs w:val="24"/>
        </w:rPr>
        <w:tab/>
        <w:t xml:space="preserve">Sacarny A, Barnett ML, Le J, Tetkoski F, Yokum D, Agrawal S. Effect of Peer Comparison Letters for High-Volume Primary Care Prescribers of Quetiapine in Older and Disabled Adults: A Randomized Clinical Trial. JAMA Psychiatry. 2018 Oct 1;75(10):1003–11. </w:t>
      </w:r>
    </w:p>
    <w:p w14:paraId="6DAE728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270. </w:t>
      </w:r>
      <w:r w:rsidRPr="00F5474B">
        <w:rPr>
          <w:rFonts w:ascii="Calibri" w:hAnsi="Calibri" w:cs="Calibri"/>
          <w:noProof/>
          <w:szCs w:val="24"/>
        </w:rPr>
        <w:tab/>
        <w:t xml:space="preserve">San-José A, Pérez-Bocanegra C, Agustí A, Laorden H, Gost J, Vidal X, et al. Integrated health intervention on polypharmacy and inappropriate prescribing in elderly people with multimorbidity: Results at the end of the intervention and at 6 months after the intervention. Med Clin (Barc). 2021 Mar 26;156(6):263–9. </w:t>
      </w:r>
    </w:p>
    <w:p w14:paraId="586D388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271. </w:t>
      </w:r>
      <w:r w:rsidRPr="00F5474B">
        <w:rPr>
          <w:rFonts w:ascii="Calibri" w:hAnsi="Calibri" w:cs="Calibri"/>
          <w:noProof/>
          <w:szCs w:val="24"/>
        </w:rPr>
        <w:tab/>
        <w:t xml:space="preserve">Sanyal C, Turner JP, Martin P, Tannenbaum C. Cost-Effectiveness of Pharmacist-Led Deprescribing of NSAIDs in Community-Dwelling Older Adults. J Am Geriatr Soc. 2020 May 1;68(5):1090–7. </w:t>
      </w:r>
    </w:p>
    <w:p w14:paraId="711F756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272. </w:t>
      </w:r>
      <w:r w:rsidRPr="00F5474B">
        <w:rPr>
          <w:rFonts w:ascii="Calibri" w:hAnsi="Calibri" w:cs="Calibri"/>
          <w:noProof/>
          <w:szCs w:val="24"/>
        </w:rPr>
        <w:tab/>
        <w:t xml:space="preserve">Sanz-Tamargo G, García-Cases S, Navarro A, Lumbreras B. Adaptation of a deprescription intervention to the medication management of older people living in long-term care facilities. Expert Opin Drug Saf. 2019 Nov 2;18(11):1091–8. </w:t>
      </w:r>
    </w:p>
    <w:p w14:paraId="5EE6E34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273. </w:t>
      </w:r>
      <w:r w:rsidRPr="00F5474B">
        <w:rPr>
          <w:rFonts w:ascii="Calibri" w:hAnsi="Calibri" w:cs="Calibri"/>
          <w:noProof/>
          <w:szCs w:val="24"/>
        </w:rPr>
        <w:tab/>
        <w:t xml:space="preserve">Schaffer AL, Buckley NA, Cairns R, Pearson S. Comparison of Prescribing Patterns Before and After Implementation of a National Policy to Reduce Inappropriate Alprazolam Prescribing in Australia. JAMA Netw Open. 2019 Sep 18;2(9):e1911590–e1911590. </w:t>
      </w:r>
    </w:p>
    <w:p w14:paraId="5AA9065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274. </w:t>
      </w:r>
      <w:r w:rsidRPr="00F5474B">
        <w:rPr>
          <w:rFonts w:ascii="Calibri" w:hAnsi="Calibri" w:cs="Calibri"/>
          <w:noProof/>
          <w:szCs w:val="24"/>
        </w:rPr>
        <w:tab/>
        <w:t xml:space="preserve">Schapira M, Calabró P, Montero-Odasso M, Osman A, Guajardo ME, Martínez B, et al. A multifactorial intervention to lower potentially inappropriate medication use in older adults in Argentina. Aging Clin Exp Res. 2021;33(12):3313–20. </w:t>
      </w:r>
    </w:p>
    <w:p w14:paraId="2165D7C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lastRenderedPageBreak/>
        <w:t xml:space="preserve">275. </w:t>
      </w:r>
      <w:r w:rsidRPr="00F5474B">
        <w:rPr>
          <w:rFonts w:ascii="Calibri" w:hAnsi="Calibri" w:cs="Calibri"/>
          <w:noProof/>
          <w:szCs w:val="24"/>
        </w:rPr>
        <w:tab/>
        <w:t xml:space="preserve">Schäfer I, Kaduszkiewicz H, Mellert C, Löffler C, Mortsiefer A, Ernst A, et al. Narrative medicine-based intervention in primary care to reduce polypharmacy: results from the cluster-randomised controlled trial MultiCare AGENDA. BMJ Open. 2018;8(1):e017653–e017653. </w:t>
      </w:r>
    </w:p>
    <w:p w14:paraId="5B13DDC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276. </w:t>
      </w:r>
      <w:r w:rsidRPr="00F5474B">
        <w:rPr>
          <w:rFonts w:ascii="Calibri" w:hAnsi="Calibri" w:cs="Calibri"/>
          <w:noProof/>
          <w:szCs w:val="24"/>
        </w:rPr>
        <w:tab/>
        <w:t xml:space="preserve">Shilpa HSS, Kumar NN, Maheswari E, Virupaksha HS, Subeesh V, Saraswathy GR, et al. Deprescribing of benzodiazepines and Z-drugs amongst the psychiatric patients of a tertiary care Hospital. Asian J Psychiatr. 2019;44:189–94. </w:t>
      </w:r>
    </w:p>
    <w:p w14:paraId="242F4DF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277. </w:t>
      </w:r>
      <w:r w:rsidRPr="00F5474B">
        <w:rPr>
          <w:rFonts w:ascii="Calibri" w:hAnsi="Calibri" w:cs="Calibri"/>
          <w:noProof/>
          <w:szCs w:val="24"/>
        </w:rPr>
        <w:tab/>
        <w:t xml:space="preserve">Soerensen AL, Lisby M, Nielsen LP, Poulsen BK, Mainz J. Improving Medication Safety in Psychiatry – A Controlled Intervention Study of Nurse Involvement in Avoidance of Potentially Inappropriate Prescriptions. Basic Clin Pharmacol Toxicol. 2018 Aug 1;123(2):174–81. </w:t>
      </w:r>
    </w:p>
    <w:p w14:paraId="45CEEB8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278. </w:t>
      </w:r>
      <w:r w:rsidRPr="00F5474B">
        <w:rPr>
          <w:rFonts w:ascii="Calibri" w:hAnsi="Calibri" w:cs="Calibri"/>
          <w:noProof/>
          <w:szCs w:val="24"/>
        </w:rPr>
        <w:tab/>
        <w:t xml:space="preserve">Soon J, Traeger AC, Elshaug AG, Cvejic E, Maher CG, Doust JA, et al. Effect of two behavioural ‘nudging’ interventions on management decisions for low back pain: a randomised vignette-based study in general practitioners. BMJ Qual &amp;amp;amp; Saf. 2019 Jul 1;28(7):547. </w:t>
      </w:r>
    </w:p>
    <w:p w14:paraId="2E2F4C8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279. </w:t>
      </w:r>
      <w:r w:rsidRPr="00F5474B">
        <w:rPr>
          <w:rFonts w:ascii="Calibri" w:hAnsi="Calibri" w:cs="Calibri"/>
          <w:noProof/>
          <w:szCs w:val="24"/>
        </w:rPr>
        <w:tab/>
        <w:t xml:space="preserve">Taher J, Beriault DR, Yip D, Tahir S, Hicks LK, Gilmour JA. Reducing free thyroid hormone testing through multiple Plan-Do-Study-Act cycles. Clin Biochem. 2020 Jul 1;81:41–6. </w:t>
      </w:r>
    </w:p>
    <w:p w14:paraId="6796A0E4"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280. </w:t>
      </w:r>
      <w:r w:rsidRPr="00F5474B">
        <w:rPr>
          <w:rFonts w:ascii="Calibri" w:hAnsi="Calibri" w:cs="Calibri"/>
          <w:noProof/>
          <w:szCs w:val="24"/>
        </w:rPr>
        <w:tab/>
        <w:t xml:space="preserve">Tang Y, Liu C, Zhang Z, Zhang X. Effects of prescription restrictive interventions on antibiotic procurement in primary care settings: a controlled interrupted time series study in China. Cost Eff Resour Alloc. 2018;16(1):1. </w:t>
      </w:r>
    </w:p>
    <w:p w14:paraId="18A7353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281. </w:t>
      </w:r>
      <w:r w:rsidRPr="00F5474B">
        <w:rPr>
          <w:rFonts w:ascii="Calibri" w:hAnsi="Calibri" w:cs="Calibri"/>
          <w:noProof/>
          <w:szCs w:val="24"/>
        </w:rPr>
        <w:tab/>
        <w:t xml:space="preserve">Tejedor-Sojo J, Chan KN, Bailey M, Williams A, Killgore M, Gillard L, et al. Improving Bronchiolitis Care in Outpatient Settings Across a Health Care System. Pediatr Emerg Care. 2019;35(11). </w:t>
      </w:r>
    </w:p>
    <w:p w14:paraId="61B1C93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282. </w:t>
      </w:r>
      <w:r w:rsidRPr="00F5474B">
        <w:rPr>
          <w:rFonts w:ascii="Calibri" w:hAnsi="Calibri" w:cs="Calibri"/>
          <w:noProof/>
          <w:szCs w:val="24"/>
        </w:rPr>
        <w:tab/>
        <w:t xml:space="preserve">Thompson MP, Graetz I, McKillop CN, Grubb PH, Waters TM. Evaluation of a Tennessee statewide initiative to reduce early elective deliveries using quasi-experimental methods. BMC Health Serv Res. 2019;19(1):208. </w:t>
      </w:r>
    </w:p>
    <w:p w14:paraId="7C80FFF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283. </w:t>
      </w:r>
      <w:r w:rsidRPr="00F5474B">
        <w:rPr>
          <w:rFonts w:ascii="Calibri" w:hAnsi="Calibri" w:cs="Calibri"/>
          <w:noProof/>
          <w:szCs w:val="24"/>
        </w:rPr>
        <w:tab/>
        <w:t xml:space="preserve">Turner JP, Richard C, Lussier M-T, Lavoie M-E, Farrell B, Roberge D, et al. Deprescribing conversations: a closer look at prescriber–patient communication. Ther Adv drug Saf. 2018;9(12):687–98. </w:t>
      </w:r>
    </w:p>
    <w:p w14:paraId="7BE8C7B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284. </w:t>
      </w:r>
      <w:r w:rsidRPr="00F5474B">
        <w:rPr>
          <w:rFonts w:ascii="Calibri" w:hAnsi="Calibri" w:cs="Calibri"/>
          <w:noProof/>
          <w:szCs w:val="24"/>
        </w:rPr>
        <w:tab/>
        <w:t xml:space="preserve">Van der Linden L, Hias J, Dreessen L, Milisen K, Flamaing J, Spriet I, et al. Medication review versus usual care to improve drug therapies in older inpatients not admitted to geriatric wards: a quasi-experimental study (RASP-IGCT). BMC Geriatr. 2018;18(1):155. </w:t>
      </w:r>
    </w:p>
    <w:p w14:paraId="2C43F7E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285. </w:t>
      </w:r>
      <w:r w:rsidRPr="00F5474B">
        <w:rPr>
          <w:rFonts w:ascii="Calibri" w:hAnsi="Calibri" w:cs="Calibri"/>
          <w:noProof/>
          <w:szCs w:val="24"/>
        </w:rPr>
        <w:tab/>
        <w:t xml:space="preserve">Van Der Spek K, Koopmans RT, Smalbrugge M, Nelissen-Vrancken MH, Wetzels RB, Smeets CH, et al. The effect of biannual medication reviews on the appropriateness of psychotropic drug use for neuropsychiatric symptoms in patients with dementia: A randomised controlled trial. Age Ageing. 2018;47(3):430–7. </w:t>
      </w:r>
    </w:p>
    <w:p w14:paraId="468B1D9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286. </w:t>
      </w:r>
      <w:r w:rsidRPr="00F5474B">
        <w:rPr>
          <w:rFonts w:ascii="Calibri" w:hAnsi="Calibri" w:cs="Calibri"/>
          <w:noProof/>
          <w:szCs w:val="24"/>
        </w:rPr>
        <w:tab/>
        <w:t xml:space="preserve">van Uden RCAE, van den Broek MPH, Houtenbos I, Jaspers TCC, Harmsze AM, Kingma HJ, et al. Unintentional guideline deviations in hospitalized patients with two or more antithrombotic agents: an intervention study. Eur J Clin Pharmacol. 2021;77(12):1919–26. </w:t>
      </w:r>
    </w:p>
    <w:p w14:paraId="61FAB8D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287. </w:t>
      </w:r>
      <w:r w:rsidRPr="00F5474B">
        <w:rPr>
          <w:rFonts w:ascii="Calibri" w:hAnsi="Calibri" w:cs="Calibri"/>
          <w:noProof/>
          <w:szCs w:val="24"/>
        </w:rPr>
        <w:tab/>
        <w:t>Vugt S, Schep</w:t>
      </w:r>
      <w:r w:rsidRPr="00F5474B">
        <w:rPr>
          <w:rFonts w:ascii="Calibri" w:hAnsi="Calibri" w:cs="Calibri"/>
          <w:noProof/>
          <w:szCs w:val="24"/>
        </w:rPr>
        <w:lastRenderedPageBreak/>
        <w:t xml:space="preserve">per E, Delft S, Zuithoff N, Wit N, Bindels P. Reducing vitamin test ordering in primary care; the effectiveness of professional and patient oriented strategies in a Cluster randomized Intervention Study. BJGP Open. 2021 Aug 18;5:BJGPO.2021.0113. </w:t>
      </w:r>
    </w:p>
    <w:p w14:paraId="6A91F68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288. </w:t>
      </w:r>
      <w:r w:rsidRPr="00F5474B">
        <w:rPr>
          <w:rFonts w:ascii="Calibri" w:hAnsi="Calibri" w:cs="Calibri"/>
          <w:noProof/>
          <w:szCs w:val="24"/>
        </w:rPr>
        <w:tab/>
        <w:t xml:space="preserve">Vandenberg AE, Echt K V, Kemp L, McGwin G, Perkins MM, Mirk AK. Academic Detailing with Provider Audit and Feedback Improve Prescribing Quality for Older Veterans. J Am Geriatr Soc. 2018;66(3):621–7. </w:t>
      </w:r>
    </w:p>
    <w:p w14:paraId="7CABA4DB"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289. </w:t>
      </w:r>
      <w:r w:rsidRPr="00F5474B">
        <w:rPr>
          <w:rFonts w:ascii="Calibri" w:hAnsi="Calibri" w:cs="Calibri"/>
          <w:noProof/>
          <w:szCs w:val="24"/>
        </w:rPr>
        <w:tab/>
        <w:t xml:space="preserve">Vrijkorte E, de Vries J, Schaafsma R, Wymenga M, Oude Munnink T. Optimising pharmacotherapy in older cancer patients with polypharmacy. Eur J Cancer Care (Engl). 2020 Jan 1;29(1):e13185. </w:t>
      </w:r>
    </w:p>
    <w:p w14:paraId="5FE06383"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290. </w:t>
      </w:r>
      <w:r w:rsidRPr="00F5474B">
        <w:rPr>
          <w:rFonts w:ascii="Calibri" w:hAnsi="Calibri" w:cs="Calibri"/>
          <w:noProof/>
          <w:szCs w:val="24"/>
        </w:rPr>
        <w:tab/>
        <w:t xml:space="preserve">Vu TX, Huong QBT. The effect of the pharmacist’s intervention on potentially inappropriate medication prescription in older adults in a Vietnamese hospital. Pharm Sci Asia. 2019;46(1):54–61. </w:t>
      </w:r>
    </w:p>
    <w:p w14:paraId="3E567F7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291. </w:t>
      </w:r>
      <w:r w:rsidRPr="00F5474B">
        <w:rPr>
          <w:rFonts w:ascii="Calibri" w:hAnsi="Calibri" w:cs="Calibri"/>
          <w:noProof/>
          <w:szCs w:val="24"/>
        </w:rPr>
        <w:tab/>
        <w:t xml:space="preserve">Walker AJ, Curtis HJ, Goldacre B. Impact of Chief Medical Officer activity on prescribing of antibiotics in England: an interrupted time series analysis. J Antimicrob Chemother. 2019;74(4):1133–6. </w:t>
      </w:r>
    </w:p>
    <w:p w14:paraId="1764E12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292. </w:t>
      </w:r>
      <w:r w:rsidRPr="00F5474B">
        <w:rPr>
          <w:rFonts w:ascii="Calibri" w:hAnsi="Calibri" w:cs="Calibri"/>
          <w:noProof/>
          <w:szCs w:val="24"/>
        </w:rPr>
        <w:tab/>
        <w:t xml:space="preserve">Wang KY, Yen CJ, Chen M, Variyam D, Acosta TU, Reed B, et al. Reducing Inappropriate Lumbar Spine MRI for Low Back Pain: Radiology Support, Communication and Alignment Network. J Am Coll Radiol. 2018;15(1):116–22. </w:t>
      </w:r>
    </w:p>
    <w:p w14:paraId="141D943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293. </w:t>
      </w:r>
      <w:r w:rsidRPr="00F5474B">
        <w:rPr>
          <w:rFonts w:ascii="Calibri" w:hAnsi="Calibri" w:cs="Calibri"/>
          <w:noProof/>
          <w:szCs w:val="24"/>
        </w:rPr>
        <w:tab/>
        <w:t xml:space="preserve">Watnick CS, Arnold DH, Latuska R, O’Connor M, Johnson DP. Successful Chest Radiograph Reduction by Using Quality Improvement Methodology for Children With Asthma. Pediatrics. 2018 Aug 1;142(2):e20174003. </w:t>
      </w:r>
    </w:p>
    <w:p w14:paraId="4DCBEB0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294. </w:t>
      </w:r>
      <w:r w:rsidRPr="00F5474B">
        <w:rPr>
          <w:rFonts w:ascii="Calibri" w:hAnsi="Calibri" w:cs="Calibri"/>
          <w:noProof/>
          <w:szCs w:val="24"/>
        </w:rPr>
        <w:tab/>
        <w:t xml:space="preserve">Wauters M, Elseviers M, Vander Stichele R, Dilles T, Thienpont G, Christiaens T. Efficacy, feasibility and acceptability of the OptiMEDs tool for multidisciplinary medication review in nursing homes. Arch Gerontol Geriatr. 2021;95. </w:t>
      </w:r>
    </w:p>
    <w:p w14:paraId="23045EB6"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295. </w:t>
      </w:r>
      <w:r w:rsidRPr="00F5474B">
        <w:rPr>
          <w:rFonts w:ascii="Calibri" w:hAnsi="Calibri" w:cs="Calibri"/>
          <w:noProof/>
          <w:szCs w:val="24"/>
        </w:rPr>
        <w:tab/>
        <w:t xml:space="preserve">Weeks WB, Mishra MK, Curto D, Petersen CL, Cano P, Hswen Y, et al. Comparing Three Methods for Reducing Psychotropic Use in Older Demented Spanish Care Home Residents. J Am Geriatr Soc. 2019 Jul 1;67(7):1444–53. </w:t>
      </w:r>
    </w:p>
    <w:p w14:paraId="79B2268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296. </w:t>
      </w:r>
      <w:r w:rsidRPr="00F5474B">
        <w:rPr>
          <w:rFonts w:ascii="Calibri" w:hAnsi="Calibri" w:cs="Calibri"/>
          <w:noProof/>
          <w:szCs w:val="24"/>
        </w:rPr>
        <w:tab/>
        <w:t xml:space="preserve">Westaway K, Frank O, Shute R, Pall D, Moffat A, LeBlanc V, et al. Gathering tips from carers to support people with dementia: an adaptation of the TOP 5 program for community use. Int J Evid Based Healthc. 2018;16(2):128–35. </w:t>
      </w:r>
    </w:p>
    <w:p w14:paraId="427E2FDD"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297. </w:t>
      </w:r>
      <w:r w:rsidRPr="00F5474B">
        <w:rPr>
          <w:rFonts w:ascii="Calibri" w:hAnsi="Calibri" w:cs="Calibri"/>
          <w:noProof/>
          <w:szCs w:val="24"/>
        </w:rPr>
        <w:tab/>
        <w:t xml:space="preserve">Whitman A, DeGregory K, Morris A, Mohile S, Ramsdale E. Pharmacist-led medication assessment and deprescribing intervention for older adults with cancer and polypharmacy: a pilot study. Support Care Cancer. 2018;26(12):4105–13. </w:t>
      </w:r>
    </w:p>
    <w:p w14:paraId="7DFF0B1F"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298. </w:t>
      </w:r>
      <w:r w:rsidRPr="00F5474B">
        <w:rPr>
          <w:rFonts w:ascii="Calibri" w:hAnsi="Calibri" w:cs="Calibri"/>
          <w:noProof/>
          <w:szCs w:val="24"/>
        </w:rPr>
        <w:tab/>
        <w:t xml:space="preserve">Whitty R, Porter S, Battu K, Bhatt P, Koo E, Kalocsai C, et al. A pilot study of a Medication Rationalization (MERA) intervention. C open. 2AD;6(1):E87–94. </w:t>
      </w:r>
    </w:p>
    <w:p w14:paraId="3C5A9C4C"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299. </w:t>
      </w:r>
      <w:r w:rsidRPr="00F5474B">
        <w:rPr>
          <w:rFonts w:ascii="Calibri" w:hAnsi="Calibri" w:cs="Calibri"/>
          <w:noProof/>
          <w:szCs w:val="24"/>
        </w:rPr>
        <w:tab/>
        <w:t xml:space="preserve">Wilchesky M, Mueller G, Morin M, Marcotte M, Voyer P, Aubin M, et al. The OptimaMed intervention to reduce inappropriate medications in nursing home residents with severe dementia: results from a quasi-experimental feasibility pilot study. BMC Geriatr. 2018 Sep 4;18(1):204. </w:t>
      </w:r>
    </w:p>
    <w:p w14:paraId="7B2AE925"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300</w:t>
      </w:r>
      <w:r w:rsidRPr="00F5474B">
        <w:rPr>
          <w:rFonts w:ascii="Calibri" w:hAnsi="Calibri" w:cs="Calibri"/>
          <w:noProof/>
          <w:szCs w:val="24"/>
        </w:rPr>
        <w:lastRenderedPageBreak/>
        <w:t xml:space="preserve">. </w:t>
      </w:r>
      <w:r w:rsidRPr="00F5474B">
        <w:rPr>
          <w:rFonts w:ascii="Calibri" w:hAnsi="Calibri" w:cs="Calibri"/>
          <w:noProof/>
          <w:szCs w:val="24"/>
        </w:rPr>
        <w:tab/>
        <w:t xml:space="preserve">Wilson A, Kelly M, Henderson E, Mcbain L, Jayathissa S, Loring B. Reducing inappropriate urine testing at Hutt Valley District Health Board using Choosing Wisely principles. N Z Med J. 2019 Jan 18;132:11–20. </w:t>
      </w:r>
    </w:p>
    <w:p w14:paraId="383F32F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301. </w:t>
      </w:r>
      <w:r w:rsidRPr="00F5474B">
        <w:rPr>
          <w:rFonts w:ascii="Calibri" w:hAnsi="Calibri" w:cs="Calibri"/>
          <w:noProof/>
          <w:szCs w:val="24"/>
        </w:rPr>
        <w:tab/>
        <w:t xml:space="preserve">Wilson MG, Lee TC, Hass A, Tannenbaum C, McDonald EG. EMPOWERing Hospitalized Older Adults to Deprescribe Sedative Hypnotics: A Pilot Study. J Am Geriatr Soc. 2018;66(6):1186–9. </w:t>
      </w:r>
    </w:p>
    <w:p w14:paraId="6B9317C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302. </w:t>
      </w:r>
      <w:r w:rsidRPr="00F5474B">
        <w:rPr>
          <w:rFonts w:ascii="Calibri" w:hAnsi="Calibri" w:cs="Calibri"/>
          <w:noProof/>
          <w:szCs w:val="24"/>
        </w:rPr>
        <w:tab/>
        <w:t xml:space="preserve">Wintemute K, Greiver M, McIsaac W, Del Giudice ME, Sullivan F, Aliarzadeh B, et al. Choosing Wisely Canada campaign associated with less overuse of thyroid testing: Retrospective parallel cohort study. Can Fam Physician. 2019 Nov;65(11):e487–96. </w:t>
      </w:r>
    </w:p>
    <w:p w14:paraId="050321C8"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303. </w:t>
      </w:r>
      <w:r w:rsidRPr="00F5474B">
        <w:rPr>
          <w:rFonts w:ascii="Calibri" w:hAnsi="Calibri" w:cs="Calibri"/>
          <w:noProof/>
          <w:szCs w:val="24"/>
        </w:rPr>
        <w:tab/>
        <w:t xml:space="preserve">Wright SM, Hedin SC, McConnell M, Burke B V, Watts SA, Leslie DM, et al. Using Shared Decision-Making to Address Possible Overtreatment in Patients at High Risk for Hypoglycemia: The Veterans Health Administration’s Choosing Wisely Hypoglycemia Safety Initiative. Clin diabetes. 2018;36(2):120–7. </w:t>
      </w:r>
    </w:p>
    <w:p w14:paraId="6433A10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304. </w:t>
      </w:r>
      <w:r w:rsidRPr="00F5474B">
        <w:rPr>
          <w:rFonts w:ascii="Calibri" w:hAnsi="Calibri" w:cs="Calibri"/>
          <w:noProof/>
          <w:szCs w:val="24"/>
        </w:rPr>
        <w:tab/>
        <w:t xml:space="preserve">Wu J, Taylor D, Ovchinikova L, Heaney A, Morgan T, Dartnell J, et al. Relationship between antimicrobial-resistance programs and antibiotic dispensing for upper respiratory tract infection: An analysis of Australian data between 2004 and 2015. J Int Med Res. 2018;46(4):1326–38. </w:t>
      </w:r>
    </w:p>
    <w:p w14:paraId="2BB5DCF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305. </w:t>
      </w:r>
      <w:r w:rsidRPr="00F5474B">
        <w:rPr>
          <w:rFonts w:ascii="Calibri" w:hAnsi="Calibri" w:cs="Calibri"/>
          <w:noProof/>
          <w:szCs w:val="24"/>
        </w:rPr>
        <w:tab/>
        <w:t xml:space="preserve">Wu J, Dickinson S, Elgebaly Z, Blogg S, Heaney A, Soo Y, et al. Impact of NPS MedicineWise general practitioner education programs and Choosing Wisely Australia recommendations on prescribing of proton pump inhibitors in Australia. BMC Fam Pract. 2020 May 9;21(1):85. </w:t>
      </w:r>
    </w:p>
    <w:p w14:paraId="7AEBC660"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306. </w:t>
      </w:r>
      <w:r w:rsidRPr="00F5474B">
        <w:rPr>
          <w:rFonts w:ascii="Calibri" w:hAnsi="Calibri" w:cs="Calibri"/>
          <w:noProof/>
          <w:szCs w:val="24"/>
        </w:rPr>
        <w:tab/>
        <w:t xml:space="preserve">Lin M, Xin C, Li G-H, Dong Z. The impact of pharmaceutical interventions on the rational use of proton pump inhibitors in a Chinese hospital. Patient Prefer Adherence. 2020;21. </w:t>
      </w:r>
    </w:p>
    <w:p w14:paraId="4226435E"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307. </w:t>
      </w:r>
      <w:r w:rsidRPr="00F5474B">
        <w:rPr>
          <w:rFonts w:ascii="Calibri" w:hAnsi="Calibri" w:cs="Calibri"/>
          <w:noProof/>
          <w:szCs w:val="24"/>
        </w:rPr>
        <w:tab/>
        <w:t xml:space="preserve">Yadav K, Meeker D, Mistry RD, Doctor JN, Fleming-Dutra KE, Fleischman RJ, et al. A Multifaceted Intervention Improves Prescribing for Acute Respiratory Infection for Adults and Children in Emergency Department and Urgent Care Settings. Acad Emerg Med. 2019 Jul 1;26(7):719–31. </w:t>
      </w:r>
    </w:p>
    <w:p w14:paraId="50F3359A"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308. </w:t>
      </w:r>
      <w:r w:rsidRPr="00F5474B">
        <w:rPr>
          <w:rFonts w:ascii="Calibri" w:hAnsi="Calibri" w:cs="Calibri"/>
          <w:noProof/>
          <w:szCs w:val="24"/>
        </w:rPr>
        <w:tab/>
        <w:t xml:space="preserve">Zhang Y, Yang H, Kong J, Liu L, Ran L, Zhang X, et al. Impact of interventions targeting the inappropriate use of proton-pump inhibitors by clinical pharmacists in a hepatobiliary surgery department. J Clin Pharm Ther. 2021 Feb 1;46(1):149–57. </w:t>
      </w:r>
    </w:p>
    <w:p w14:paraId="1D5C4797"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szCs w:val="24"/>
        </w:rPr>
      </w:pPr>
      <w:r w:rsidRPr="00F5474B">
        <w:rPr>
          <w:rFonts w:ascii="Calibri" w:hAnsi="Calibri" w:cs="Calibri"/>
          <w:noProof/>
          <w:szCs w:val="24"/>
        </w:rPr>
        <w:t xml:space="preserve">309. </w:t>
      </w:r>
      <w:r w:rsidRPr="00F5474B">
        <w:rPr>
          <w:rFonts w:ascii="Calibri" w:hAnsi="Calibri" w:cs="Calibri"/>
          <w:noProof/>
          <w:szCs w:val="24"/>
        </w:rPr>
        <w:tab/>
        <w:t xml:space="preserve">Zhen L, Jin C, Xu HN. The impact of prescriptions audit and feedback for antibiotic use in rural clinics: Interrupted time series with segmented regression analysis 11 Medical and Health Sciences 1117 Public Health and Health Services. BMC Health Serv Res. 2018 Oct 16;18(1). </w:t>
      </w:r>
    </w:p>
    <w:p w14:paraId="78331BE2" w14:textId="77777777" w:rsidR="00F5474B" w:rsidRPr="00F5474B" w:rsidRDefault="00F5474B" w:rsidP="00F5474B">
      <w:pPr>
        <w:widowControl w:val="0"/>
        <w:autoSpaceDE w:val="0"/>
        <w:autoSpaceDN w:val="0"/>
        <w:adjustRightInd w:val="0"/>
        <w:spacing w:line="240" w:lineRule="auto"/>
        <w:ind w:left="640" w:hanging="640"/>
        <w:rPr>
          <w:rFonts w:ascii="Calibri" w:hAnsi="Calibri" w:cs="Calibri"/>
          <w:noProof/>
        </w:rPr>
      </w:pPr>
      <w:r w:rsidRPr="00F5474B">
        <w:rPr>
          <w:rFonts w:ascii="Calibri" w:hAnsi="Calibri" w:cs="Calibri"/>
          <w:noProof/>
          <w:szCs w:val="24"/>
        </w:rPr>
        <w:t xml:space="preserve">310. </w:t>
      </w:r>
      <w:r w:rsidRPr="00F5474B">
        <w:rPr>
          <w:rFonts w:ascii="Calibri" w:hAnsi="Calibri" w:cs="Calibri"/>
          <w:noProof/>
          <w:szCs w:val="24"/>
        </w:rPr>
        <w:tab/>
        <w:t xml:space="preserve">Trumbo SP, Iams WT, Limper HM, Goggins K, Gibson J, Oliver L, et al. Deimplementation of Routine Chest X-rays in Adult Intensive Care Units. J Hosp Med. 2019 Feb 1;14(2):83–9. </w:t>
      </w:r>
    </w:p>
    <w:p w14:paraId="30A167B6" w14:textId="7C374652" w:rsidR="006D21DE" w:rsidRPr="00EC3E91" w:rsidRDefault="006D21DE">
      <w:pPr>
        <w:rPr>
          <w:lang w:val="en-US"/>
        </w:rPr>
      </w:pPr>
      <w:r w:rsidRPr="00EC3E91">
        <w:rPr>
          <w:lang w:val="en-US"/>
        </w:rPr>
        <w:fldChar w:fldCharType="end"/>
      </w:r>
    </w:p>
    <w:sectPr w:rsidR="006D21DE" w:rsidRPr="00EC3E91" w:rsidSect="00CE3AD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AD5"/>
    <w:rsid w:val="000012E9"/>
    <w:rsid w:val="00004081"/>
    <w:rsid w:val="000243E3"/>
    <w:rsid w:val="00044AF7"/>
    <w:rsid w:val="000524C8"/>
    <w:rsid w:val="00052EAE"/>
    <w:rsid w:val="000534E1"/>
    <w:rsid w:val="00056579"/>
    <w:rsid w:val="0005751D"/>
    <w:rsid w:val="000600E1"/>
    <w:rsid w:val="00060412"/>
    <w:rsid w:val="000613E5"/>
    <w:rsid w:val="00061939"/>
    <w:rsid w:val="0006502D"/>
    <w:rsid w:val="0006503A"/>
    <w:rsid w:val="000714AF"/>
    <w:rsid w:val="00080DE4"/>
    <w:rsid w:val="00081E06"/>
    <w:rsid w:val="000A5526"/>
    <w:rsid w:val="000B7505"/>
    <w:rsid w:val="000C1902"/>
    <w:rsid w:val="000C197D"/>
    <w:rsid w:val="000C4DD7"/>
    <w:rsid w:val="000C52D1"/>
    <w:rsid w:val="000C5E24"/>
    <w:rsid w:val="000D073D"/>
    <w:rsid w:val="000D2886"/>
    <w:rsid w:val="000D6473"/>
    <w:rsid w:val="000E59FA"/>
    <w:rsid w:val="0010028E"/>
    <w:rsid w:val="00101ECD"/>
    <w:rsid w:val="001026C6"/>
    <w:rsid w:val="001200D6"/>
    <w:rsid w:val="00125506"/>
    <w:rsid w:val="001355F1"/>
    <w:rsid w:val="00143791"/>
    <w:rsid w:val="001439CE"/>
    <w:rsid w:val="0015127B"/>
    <w:rsid w:val="00151B99"/>
    <w:rsid w:val="001523C5"/>
    <w:rsid w:val="00157E8C"/>
    <w:rsid w:val="001636A5"/>
    <w:rsid w:val="001644A0"/>
    <w:rsid w:val="00164C5A"/>
    <w:rsid w:val="001654C1"/>
    <w:rsid w:val="001659A6"/>
    <w:rsid w:val="00170B84"/>
    <w:rsid w:val="0017111B"/>
    <w:rsid w:val="001722D3"/>
    <w:rsid w:val="00180496"/>
    <w:rsid w:val="001903AA"/>
    <w:rsid w:val="0019466F"/>
    <w:rsid w:val="00195DCE"/>
    <w:rsid w:val="00197F01"/>
    <w:rsid w:val="001A0064"/>
    <w:rsid w:val="001A673F"/>
    <w:rsid w:val="001A6A11"/>
    <w:rsid w:val="001B4AA4"/>
    <w:rsid w:val="001C2B9E"/>
    <w:rsid w:val="001D0AF6"/>
    <w:rsid w:val="001D2A8D"/>
    <w:rsid w:val="001D6BAE"/>
    <w:rsid w:val="001D7327"/>
    <w:rsid w:val="001E0346"/>
    <w:rsid w:val="001E4C5B"/>
    <w:rsid w:val="001E589C"/>
    <w:rsid w:val="00206C4F"/>
    <w:rsid w:val="00207042"/>
    <w:rsid w:val="00216B08"/>
    <w:rsid w:val="00217E76"/>
    <w:rsid w:val="0022019B"/>
    <w:rsid w:val="00220295"/>
    <w:rsid w:val="0022134C"/>
    <w:rsid w:val="00226199"/>
    <w:rsid w:val="00227CD7"/>
    <w:rsid w:val="002455B0"/>
    <w:rsid w:val="00246E13"/>
    <w:rsid w:val="00251E9B"/>
    <w:rsid w:val="00255BB8"/>
    <w:rsid w:val="00256DFA"/>
    <w:rsid w:val="0026108D"/>
    <w:rsid w:val="00274C96"/>
    <w:rsid w:val="002858BD"/>
    <w:rsid w:val="00285FC0"/>
    <w:rsid w:val="00290229"/>
    <w:rsid w:val="00291E63"/>
    <w:rsid w:val="00294D80"/>
    <w:rsid w:val="002A2486"/>
    <w:rsid w:val="002B16E4"/>
    <w:rsid w:val="002C7EAF"/>
    <w:rsid w:val="002D2113"/>
    <w:rsid w:val="002D3EAA"/>
    <w:rsid w:val="002E13D5"/>
    <w:rsid w:val="002E3B2C"/>
    <w:rsid w:val="002E4955"/>
    <w:rsid w:val="002F2A7E"/>
    <w:rsid w:val="002F53A1"/>
    <w:rsid w:val="002F6489"/>
    <w:rsid w:val="002F6878"/>
    <w:rsid w:val="00301C39"/>
    <w:rsid w:val="00313A9C"/>
    <w:rsid w:val="00316214"/>
    <w:rsid w:val="0032148D"/>
    <w:rsid w:val="00334A48"/>
    <w:rsid w:val="003363AA"/>
    <w:rsid w:val="00336CD6"/>
    <w:rsid w:val="00336D50"/>
    <w:rsid w:val="0036237E"/>
    <w:rsid w:val="00363934"/>
    <w:rsid w:val="003650E5"/>
    <w:rsid w:val="0036595A"/>
    <w:rsid w:val="003741D8"/>
    <w:rsid w:val="00381BF2"/>
    <w:rsid w:val="003845C3"/>
    <w:rsid w:val="00392607"/>
    <w:rsid w:val="00392B4D"/>
    <w:rsid w:val="003A253E"/>
    <w:rsid w:val="003A716E"/>
    <w:rsid w:val="003B17F0"/>
    <w:rsid w:val="003B190B"/>
    <w:rsid w:val="003B71A4"/>
    <w:rsid w:val="003B798B"/>
    <w:rsid w:val="003D1271"/>
    <w:rsid w:val="003D1D88"/>
    <w:rsid w:val="003D4635"/>
    <w:rsid w:val="003D760C"/>
    <w:rsid w:val="003E4F10"/>
    <w:rsid w:val="003E560B"/>
    <w:rsid w:val="003F1775"/>
    <w:rsid w:val="003F1E1E"/>
    <w:rsid w:val="0040278D"/>
    <w:rsid w:val="00404E3F"/>
    <w:rsid w:val="00412952"/>
    <w:rsid w:val="004251AA"/>
    <w:rsid w:val="00425ACA"/>
    <w:rsid w:val="00426C85"/>
    <w:rsid w:val="00433994"/>
    <w:rsid w:val="0043529A"/>
    <w:rsid w:val="004361B2"/>
    <w:rsid w:val="004361C6"/>
    <w:rsid w:val="00451628"/>
    <w:rsid w:val="004566C4"/>
    <w:rsid w:val="00462DD1"/>
    <w:rsid w:val="00467EF7"/>
    <w:rsid w:val="0047126E"/>
    <w:rsid w:val="00473152"/>
    <w:rsid w:val="00481638"/>
    <w:rsid w:val="00496DA2"/>
    <w:rsid w:val="004A1C09"/>
    <w:rsid w:val="004A2529"/>
    <w:rsid w:val="004A46D1"/>
    <w:rsid w:val="004C10C2"/>
    <w:rsid w:val="004C3202"/>
    <w:rsid w:val="004C72A4"/>
    <w:rsid w:val="004D0F6E"/>
    <w:rsid w:val="004D202D"/>
    <w:rsid w:val="004D63CA"/>
    <w:rsid w:val="004F493E"/>
    <w:rsid w:val="004F6CF6"/>
    <w:rsid w:val="004F7639"/>
    <w:rsid w:val="0050039F"/>
    <w:rsid w:val="00506AC8"/>
    <w:rsid w:val="005152A0"/>
    <w:rsid w:val="00520515"/>
    <w:rsid w:val="005227DB"/>
    <w:rsid w:val="0052521B"/>
    <w:rsid w:val="00526F7C"/>
    <w:rsid w:val="005303D5"/>
    <w:rsid w:val="00531962"/>
    <w:rsid w:val="00534BC0"/>
    <w:rsid w:val="005352F6"/>
    <w:rsid w:val="0054414B"/>
    <w:rsid w:val="0054678A"/>
    <w:rsid w:val="0055547A"/>
    <w:rsid w:val="00560B0A"/>
    <w:rsid w:val="005676F8"/>
    <w:rsid w:val="00574C81"/>
    <w:rsid w:val="005765A3"/>
    <w:rsid w:val="0058579F"/>
    <w:rsid w:val="00590678"/>
    <w:rsid w:val="00592532"/>
    <w:rsid w:val="0059289B"/>
    <w:rsid w:val="00594F8A"/>
    <w:rsid w:val="005958C7"/>
    <w:rsid w:val="005A256D"/>
    <w:rsid w:val="005A296F"/>
    <w:rsid w:val="005A62DA"/>
    <w:rsid w:val="005A7558"/>
    <w:rsid w:val="005B1C58"/>
    <w:rsid w:val="005B4949"/>
    <w:rsid w:val="005B6DBC"/>
    <w:rsid w:val="005B718B"/>
    <w:rsid w:val="005C12DA"/>
    <w:rsid w:val="005C29D9"/>
    <w:rsid w:val="005C2B26"/>
    <w:rsid w:val="005C5EEC"/>
    <w:rsid w:val="005C7905"/>
    <w:rsid w:val="005D038C"/>
    <w:rsid w:val="005D0599"/>
    <w:rsid w:val="005D2552"/>
    <w:rsid w:val="005D2E24"/>
    <w:rsid w:val="005D39DD"/>
    <w:rsid w:val="005D4B7B"/>
    <w:rsid w:val="005D7C0F"/>
    <w:rsid w:val="005E2DCA"/>
    <w:rsid w:val="005E4FA0"/>
    <w:rsid w:val="005E67E1"/>
    <w:rsid w:val="005E681F"/>
    <w:rsid w:val="005E7DDA"/>
    <w:rsid w:val="005F26BE"/>
    <w:rsid w:val="005F4FE9"/>
    <w:rsid w:val="005F6A11"/>
    <w:rsid w:val="00600638"/>
    <w:rsid w:val="00601BBD"/>
    <w:rsid w:val="00601E8C"/>
    <w:rsid w:val="006030B1"/>
    <w:rsid w:val="00603A89"/>
    <w:rsid w:val="006075CE"/>
    <w:rsid w:val="00607D2F"/>
    <w:rsid w:val="00611DD1"/>
    <w:rsid w:val="0061541B"/>
    <w:rsid w:val="00635E91"/>
    <w:rsid w:val="00636627"/>
    <w:rsid w:val="006370FA"/>
    <w:rsid w:val="0064320C"/>
    <w:rsid w:val="006457DA"/>
    <w:rsid w:val="00646FE8"/>
    <w:rsid w:val="00656F48"/>
    <w:rsid w:val="00662EC9"/>
    <w:rsid w:val="00673162"/>
    <w:rsid w:val="00674C56"/>
    <w:rsid w:val="00675E77"/>
    <w:rsid w:val="00681045"/>
    <w:rsid w:val="00684E7D"/>
    <w:rsid w:val="006947AA"/>
    <w:rsid w:val="00695823"/>
    <w:rsid w:val="006A62A1"/>
    <w:rsid w:val="006A65D2"/>
    <w:rsid w:val="006B01F9"/>
    <w:rsid w:val="006C0F74"/>
    <w:rsid w:val="006C1198"/>
    <w:rsid w:val="006D21DE"/>
    <w:rsid w:val="006D21E0"/>
    <w:rsid w:val="006D6F40"/>
    <w:rsid w:val="006D7F09"/>
    <w:rsid w:val="006E08A6"/>
    <w:rsid w:val="006E1793"/>
    <w:rsid w:val="006E23EC"/>
    <w:rsid w:val="006E317B"/>
    <w:rsid w:val="006F40A0"/>
    <w:rsid w:val="006F41AC"/>
    <w:rsid w:val="007070F6"/>
    <w:rsid w:val="007178F1"/>
    <w:rsid w:val="00723418"/>
    <w:rsid w:val="0072711C"/>
    <w:rsid w:val="00740A75"/>
    <w:rsid w:val="00743AA1"/>
    <w:rsid w:val="007452BB"/>
    <w:rsid w:val="00746D40"/>
    <w:rsid w:val="00754F43"/>
    <w:rsid w:val="00760D8D"/>
    <w:rsid w:val="00761C16"/>
    <w:rsid w:val="00765F44"/>
    <w:rsid w:val="00774DE9"/>
    <w:rsid w:val="00782C8D"/>
    <w:rsid w:val="00783B08"/>
    <w:rsid w:val="00796746"/>
    <w:rsid w:val="00797F3C"/>
    <w:rsid w:val="007B3644"/>
    <w:rsid w:val="007B3A1C"/>
    <w:rsid w:val="007B4819"/>
    <w:rsid w:val="007B56E9"/>
    <w:rsid w:val="007B5B65"/>
    <w:rsid w:val="007C072D"/>
    <w:rsid w:val="007C0D68"/>
    <w:rsid w:val="007C1FBB"/>
    <w:rsid w:val="007C48FF"/>
    <w:rsid w:val="007C70B5"/>
    <w:rsid w:val="007D588C"/>
    <w:rsid w:val="007E7296"/>
    <w:rsid w:val="007F0C7D"/>
    <w:rsid w:val="007F39A6"/>
    <w:rsid w:val="007F42C7"/>
    <w:rsid w:val="00800551"/>
    <w:rsid w:val="00800E96"/>
    <w:rsid w:val="00804306"/>
    <w:rsid w:val="00804DE9"/>
    <w:rsid w:val="0083047C"/>
    <w:rsid w:val="00835940"/>
    <w:rsid w:val="008406C5"/>
    <w:rsid w:val="00841187"/>
    <w:rsid w:val="00847326"/>
    <w:rsid w:val="0085718F"/>
    <w:rsid w:val="00865564"/>
    <w:rsid w:val="00865778"/>
    <w:rsid w:val="00867EB0"/>
    <w:rsid w:val="00876EFD"/>
    <w:rsid w:val="008776D7"/>
    <w:rsid w:val="00883A80"/>
    <w:rsid w:val="0088570F"/>
    <w:rsid w:val="008908FF"/>
    <w:rsid w:val="00892AF8"/>
    <w:rsid w:val="008934E9"/>
    <w:rsid w:val="008A0558"/>
    <w:rsid w:val="008A31F2"/>
    <w:rsid w:val="008A45E4"/>
    <w:rsid w:val="008B3709"/>
    <w:rsid w:val="008B3D34"/>
    <w:rsid w:val="008B5775"/>
    <w:rsid w:val="008B67A9"/>
    <w:rsid w:val="008C5C14"/>
    <w:rsid w:val="008D1558"/>
    <w:rsid w:val="008D6014"/>
    <w:rsid w:val="008D6DFD"/>
    <w:rsid w:val="008D78F3"/>
    <w:rsid w:val="008E3BEF"/>
    <w:rsid w:val="008F233E"/>
    <w:rsid w:val="008F7755"/>
    <w:rsid w:val="00905EC7"/>
    <w:rsid w:val="00913392"/>
    <w:rsid w:val="00913A6A"/>
    <w:rsid w:val="009175E5"/>
    <w:rsid w:val="009302F9"/>
    <w:rsid w:val="009307F3"/>
    <w:rsid w:val="009353A9"/>
    <w:rsid w:val="00936C5D"/>
    <w:rsid w:val="009424A0"/>
    <w:rsid w:val="00945A23"/>
    <w:rsid w:val="009549DD"/>
    <w:rsid w:val="00956A05"/>
    <w:rsid w:val="009616C4"/>
    <w:rsid w:val="009660BF"/>
    <w:rsid w:val="00970C71"/>
    <w:rsid w:val="009713B5"/>
    <w:rsid w:val="0097473A"/>
    <w:rsid w:val="009760FA"/>
    <w:rsid w:val="00980919"/>
    <w:rsid w:val="009815DE"/>
    <w:rsid w:val="00984D1B"/>
    <w:rsid w:val="00987205"/>
    <w:rsid w:val="00991609"/>
    <w:rsid w:val="0099251A"/>
    <w:rsid w:val="009948F1"/>
    <w:rsid w:val="009A5C1C"/>
    <w:rsid w:val="009B0E2F"/>
    <w:rsid w:val="009C224D"/>
    <w:rsid w:val="009C25DC"/>
    <w:rsid w:val="009C67EF"/>
    <w:rsid w:val="009C6C1F"/>
    <w:rsid w:val="009D0067"/>
    <w:rsid w:val="009D4610"/>
    <w:rsid w:val="009E113E"/>
    <w:rsid w:val="009E13CB"/>
    <w:rsid w:val="009E1523"/>
    <w:rsid w:val="009E5135"/>
    <w:rsid w:val="009E59A6"/>
    <w:rsid w:val="009F4850"/>
    <w:rsid w:val="00A03DD7"/>
    <w:rsid w:val="00A04590"/>
    <w:rsid w:val="00A15C86"/>
    <w:rsid w:val="00A15E65"/>
    <w:rsid w:val="00A17656"/>
    <w:rsid w:val="00A20E98"/>
    <w:rsid w:val="00A228D7"/>
    <w:rsid w:val="00A2450F"/>
    <w:rsid w:val="00A252C6"/>
    <w:rsid w:val="00A441CB"/>
    <w:rsid w:val="00A532B7"/>
    <w:rsid w:val="00A54070"/>
    <w:rsid w:val="00A550B6"/>
    <w:rsid w:val="00A60524"/>
    <w:rsid w:val="00A653B2"/>
    <w:rsid w:val="00A67096"/>
    <w:rsid w:val="00A716C0"/>
    <w:rsid w:val="00A81C36"/>
    <w:rsid w:val="00A8539C"/>
    <w:rsid w:val="00A918E8"/>
    <w:rsid w:val="00AA0CE6"/>
    <w:rsid w:val="00AA581D"/>
    <w:rsid w:val="00AB0F62"/>
    <w:rsid w:val="00AB2402"/>
    <w:rsid w:val="00AB4F00"/>
    <w:rsid w:val="00AC11A1"/>
    <w:rsid w:val="00AC5831"/>
    <w:rsid w:val="00AD4ED3"/>
    <w:rsid w:val="00AD5187"/>
    <w:rsid w:val="00AE1E5B"/>
    <w:rsid w:val="00AE3BD1"/>
    <w:rsid w:val="00AE6E88"/>
    <w:rsid w:val="00AF0622"/>
    <w:rsid w:val="00AF1DE5"/>
    <w:rsid w:val="00AF54E3"/>
    <w:rsid w:val="00B02E93"/>
    <w:rsid w:val="00B10A00"/>
    <w:rsid w:val="00B1594A"/>
    <w:rsid w:val="00B162F3"/>
    <w:rsid w:val="00B17DB3"/>
    <w:rsid w:val="00B205C1"/>
    <w:rsid w:val="00B27601"/>
    <w:rsid w:val="00B32B6F"/>
    <w:rsid w:val="00B34A35"/>
    <w:rsid w:val="00B403D0"/>
    <w:rsid w:val="00B41291"/>
    <w:rsid w:val="00B431DB"/>
    <w:rsid w:val="00B47D17"/>
    <w:rsid w:val="00B538B8"/>
    <w:rsid w:val="00B53EFC"/>
    <w:rsid w:val="00B5421F"/>
    <w:rsid w:val="00B646EA"/>
    <w:rsid w:val="00B752DB"/>
    <w:rsid w:val="00B75DD7"/>
    <w:rsid w:val="00B75E2F"/>
    <w:rsid w:val="00B864EA"/>
    <w:rsid w:val="00B90418"/>
    <w:rsid w:val="00B93F75"/>
    <w:rsid w:val="00BA3743"/>
    <w:rsid w:val="00BA44B7"/>
    <w:rsid w:val="00BA518E"/>
    <w:rsid w:val="00BC09D0"/>
    <w:rsid w:val="00BE1506"/>
    <w:rsid w:val="00BF540D"/>
    <w:rsid w:val="00C15A17"/>
    <w:rsid w:val="00C166E7"/>
    <w:rsid w:val="00C262BC"/>
    <w:rsid w:val="00C33E6E"/>
    <w:rsid w:val="00C40FA1"/>
    <w:rsid w:val="00C41AFC"/>
    <w:rsid w:val="00C47C05"/>
    <w:rsid w:val="00C529C4"/>
    <w:rsid w:val="00C6568F"/>
    <w:rsid w:val="00C660C2"/>
    <w:rsid w:val="00C74D1E"/>
    <w:rsid w:val="00C82CA9"/>
    <w:rsid w:val="00C84216"/>
    <w:rsid w:val="00C84D23"/>
    <w:rsid w:val="00C858A3"/>
    <w:rsid w:val="00C86472"/>
    <w:rsid w:val="00C9100D"/>
    <w:rsid w:val="00C91A58"/>
    <w:rsid w:val="00C97F92"/>
    <w:rsid w:val="00CA4DDF"/>
    <w:rsid w:val="00CA72AD"/>
    <w:rsid w:val="00CA76DB"/>
    <w:rsid w:val="00CB0919"/>
    <w:rsid w:val="00CB60D8"/>
    <w:rsid w:val="00CB623E"/>
    <w:rsid w:val="00CC4687"/>
    <w:rsid w:val="00CD09C6"/>
    <w:rsid w:val="00CD1A69"/>
    <w:rsid w:val="00CD26F6"/>
    <w:rsid w:val="00CE2AB1"/>
    <w:rsid w:val="00CE3AD5"/>
    <w:rsid w:val="00CE590A"/>
    <w:rsid w:val="00CE5AEF"/>
    <w:rsid w:val="00CE5D0C"/>
    <w:rsid w:val="00CF52C1"/>
    <w:rsid w:val="00CF707F"/>
    <w:rsid w:val="00D070C5"/>
    <w:rsid w:val="00D105DE"/>
    <w:rsid w:val="00D11821"/>
    <w:rsid w:val="00D14908"/>
    <w:rsid w:val="00D15AE9"/>
    <w:rsid w:val="00D16E87"/>
    <w:rsid w:val="00D20489"/>
    <w:rsid w:val="00D22649"/>
    <w:rsid w:val="00D24F5C"/>
    <w:rsid w:val="00D26B72"/>
    <w:rsid w:val="00D27286"/>
    <w:rsid w:val="00D31D2A"/>
    <w:rsid w:val="00D33760"/>
    <w:rsid w:val="00D536C0"/>
    <w:rsid w:val="00D5437C"/>
    <w:rsid w:val="00D544E0"/>
    <w:rsid w:val="00D55A11"/>
    <w:rsid w:val="00D56C0C"/>
    <w:rsid w:val="00D60211"/>
    <w:rsid w:val="00D65799"/>
    <w:rsid w:val="00D76D84"/>
    <w:rsid w:val="00D779B4"/>
    <w:rsid w:val="00D8060A"/>
    <w:rsid w:val="00D85293"/>
    <w:rsid w:val="00D85F95"/>
    <w:rsid w:val="00D90E7C"/>
    <w:rsid w:val="00DA102B"/>
    <w:rsid w:val="00DA2522"/>
    <w:rsid w:val="00DA5097"/>
    <w:rsid w:val="00DA54B9"/>
    <w:rsid w:val="00DB0A38"/>
    <w:rsid w:val="00DB5C97"/>
    <w:rsid w:val="00DC03FA"/>
    <w:rsid w:val="00DC480C"/>
    <w:rsid w:val="00DD024D"/>
    <w:rsid w:val="00DE25C0"/>
    <w:rsid w:val="00DF3699"/>
    <w:rsid w:val="00E119DD"/>
    <w:rsid w:val="00E12182"/>
    <w:rsid w:val="00E12E20"/>
    <w:rsid w:val="00E217DC"/>
    <w:rsid w:val="00E308A4"/>
    <w:rsid w:val="00E31087"/>
    <w:rsid w:val="00E40C4E"/>
    <w:rsid w:val="00E45AA3"/>
    <w:rsid w:val="00E71793"/>
    <w:rsid w:val="00E737BF"/>
    <w:rsid w:val="00E73CDF"/>
    <w:rsid w:val="00E86665"/>
    <w:rsid w:val="00E92DEC"/>
    <w:rsid w:val="00E95E47"/>
    <w:rsid w:val="00EA00C1"/>
    <w:rsid w:val="00EA5A61"/>
    <w:rsid w:val="00EA6F95"/>
    <w:rsid w:val="00EC1E35"/>
    <w:rsid w:val="00EC3E91"/>
    <w:rsid w:val="00ED11AB"/>
    <w:rsid w:val="00ED58A1"/>
    <w:rsid w:val="00EE1FBA"/>
    <w:rsid w:val="00EE3E09"/>
    <w:rsid w:val="00EE6F19"/>
    <w:rsid w:val="00EE7EEE"/>
    <w:rsid w:val="00F02293"/>
    <w:rsid w:val="00F04BEA"/>
    <w:rsid w:val="00F123C9"/>
    <w:rsid w:val="00F24FF2"/>
    <w:rsid w:val="00F26101"/>
    <w:rsid w:val="00F36A7B"/>
    <w:rsid w:val="00F36DAB"/>
    <w:rsid w:val="00F36EF4"/>
    <w:rsid w:val="00F422E5"/>
    <w:rsid w:val="00F4627B"/>
    <w:rsid w:val="00F5474B"/>
    <w:rsid w:val="00F560E2"/>
    <w:rsid w:val="00F61A08"/>
    <w:rsid w:val="00F7430F"/>
    <w:rsid w:val="00F82DCC"/>
    <w:rsid w:val="00F85337"/>
    <w:rsid w:val="00F90A4D"/>
    <w:rsid w:val="00F9216C"/>
    <w:rsid w:val="00F92943"/>
    <w:rsid w:val="00F936E9"/>
    <w:rsid w:val="00F9590A"/>
    <w:rsid w:val="00FA2205"/>
    <w:rsid w:val="00FA3C21"/>
    <w:rsid w:val="00FA4FC7"/>
    <w:rsid w:val="00FB7DE2"/>
    <w:rsid w:val="00FD49DC"/>
    <w:rsid w:val="00FD68A3"/>
    <w:rsid w:val="00FD6F11"/>
    <w:rsid w:val="00FE3AF6"/>
    <w:rsid w:val="00FE6FCC"/>
    <w:rsid w:val="00FE7770"/>
    <w:rsid w:val="00FF4BD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83A8B"/>
  <w15:chartTrackingRefBased/>
  <w15:docId w15:val="{69A1C16B-679A-4F2C-88C4-D852635DF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3A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3A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6E08A6"/>
    <w:pPr>
      <w:spacing w:line="240" w:lineRule="auto"/>
    </w:pPr>
    <w:rPr>
      <w:sz w:val="20"/>
      <w:szCs w:val="20"/>
    </w:rPr>
  </w:style>
  <w:style w:type="character" w:customStyle="1" w:styleId="CommentTextChar">
    <w:name w:val="Comment Text Char"/>
    <w:basedOn w:val="DefaultParagraphFont"/>
    <w:link w:val="CommentText"/>
    <w:uiPriority w:val="99"/>
    <w:rsid w:val="006E08A6"/>
    <w:rPr>
      <w:sz w:val="20"/>
      <w:szCs w:val="20"/>
    </w:rPr>
  </w:style>
  <w:style w:type="character" w:styleId="CommentReference">
    <w:name w:val="annotation reference"/>
    <w:basedOn w:val="DefaultParagraphFont"/>
    <w:uiPriority w:val="99"/>
    <w:semiHidden/>
    <w:unhideWhenUsed/>
    <w:rsid w:val="00611DD1"/>
    <w:rPr>
      <w:sz w:val="16"/>
      <w:szCs w:val="16"/>
    </w:rPr>
  </w:style>
  <w:style w:type="paragraph" w:styleId="CommentSubject">
    <w:name w:val="annotation subject"/>
    <w:basedOn w:val="CommentText"/>
    <w:next w:val="CommentText"/>
    <w:link w:val="CommentSubjectChar"/>
    <w:uiPriority w:val="99"/>
    <w:semiHidden/>
    <w:unhideWhenUsed/>
    <w:rsid w:val="00611DD1"/>
    <w:rPr>
      <w:b/>
      <w:bCs/>
    </w:rPr>
  </w:style>
  <w:style w:type="character" w:customStyle="1" w:styleId="CommentSubjectChar">
    <w:name w:val="Comment Subject Char"/>
    <w:basedOn w:val="CommentTextChar"/>
    <w:link w:val="CommentSubject"/>
    <w:uiPriority w:val="99"/>
    <w:semiHidden/>
    <w:rsid w:val="00611DD1"/>
    <w:rPr>
      <w:b/>
      <w:bCs/>
      <w:sz w:val="20"/>
      <w:szCs w:val="20"/>
    </w:rPr>
  </w:style>
  <w:style w:type="character" w:styleId="Hyperlink">
    <w:name w:val="Hyperlink"/>
    <w:basedOn w:val="DefaultParagraphFont"/>
    <w:uiPriority w:val="99"/>
    <w:semiHidden/>
    <w:unhideWhenUsed/>
    <w:rsid w:val="001A0064"/>
    <w:rPr>
      <w:color w:val="0563C1"/>
      <w:u w:val="single"/>
    </w:rPr>
  </w:style>
  <w:style w:type="character" w:styleId="FollowedHyperlink">
    <w:name w:val="FollowedHyperlink"/>
    <w:basedOn w:val="DefaultParagraphFont"/>
    <w:uiPriority w:val="99"/>
    <w:semiHidden/>
    <w:unhideWhenUsed/>
    <w:rsid w:val="001A0064"/>
    <w:rPr>
      <w:color w:val="954F72"/>
      <w:u w:val="single"/>
    </w:rPr>
  </w:style>
  <w:style w:type="paragraph" w:customStyle="1" w:styleId="msonormal0">
    <w:name w:val="msonormal"/>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Header">
    <w:name w:val="header"/>
    <w:basedOn w:val="Normal"/>
    <w:link w:val="HeaderChar"/>
    <w:uiPriority w:val="99"/>
    <w:semiHidden/>
    <w:unhideWhenUsed/>
    <w:rsid w:val="001A006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1A0064"/>
  </w:style>
  <w:style w:type="paragraph" w:styleId="Footer">
    <w:name w:val="footer"/>
    <w:basedOn w:val="Normal"/>
    <w:link w:val="FooterChar"/>
    <w:uiPriority w:val="99"/>
    <w:semiHidden/>
    <w:unhideWhenUsed/>
    <w:rsid w:val="001A0064"/>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1A0064"/>
  </w:style>
  <w:style w:type="paragraph" w:styleId="Revision">
    <w:name w:val="Revision"/>
    <w:uiPriority w:val="99"/>
    <w:semiHidden/>
    <w:rsid w:val="001A0064"/>
    <w:pPr>
      <w:spacing w:after="0" w:line="240" w:lineRule="auto"/>
    </w:pPr>
  </w:style>
  <w:style w:type="paragraph" w:customStyle="1" w:styleId="font5">
    <w:name w:val="font5"/>
    <w:basedOn w:val="Normal"/>
    <w:rsid w:val="001A0064"/>
    <w:pPr>
      <w:spacing w:before="100" w:beforeAutospacing="1" w:after="100" w:afterAutospacing="1" w:line="240" w:lineRule="auto"/>
    </w:pPr>
    <w:rPr>
      <w:rFonts w:ascii="Tahoma" w:eastAsia="Times New Roman" w:hAnsi="Tahoma" w:cs="Tahoma"/>
      <w:b/>
      <w:bCs/>
      <w:color w:val="000000"/>
      <w:sz w:val="18"/>
      <w:szCs w:val="18"/>
      <w:lang w:eastAsia="sv-SE"/>
    </w:rPr>
  </w:style>
  <w:style w:type="paragraph" w:customStyle="1" w:styleId="font6">
    <w:name w:val="font6"/>
    <w:basedOn w:val="Normal"/>
    <w:rsid w:val="001A0064"/>
    <w:pPr>
      <w:spacing w:before="100" w:beforeAutospacing="1" w:after="100" w:afterAutospacing="1" w:line="240" w:lineRule="auto"/>
    </w:pPr>
    <w:rPr>
      <w:rFonts w:ascii="Tahoma" w:eastAsia="Times New Roman" w:hAnsi="Tahoma" w:cs="Tahoma"/>
      <w:color w:val="000000"/>
      <w:sz w:val="18"/>
      <w:szCs w:val="18"/>
      <w:lang w:eastAsia="sv-SE"/>
    </w:rPr>
  </w:style>
  <w:style w:type="paragraph" w:customStyle="1" w:styleId="font7">
    <w:name w:val="font7"/>
    <w:basedOn w:val="Normal"/>
    <w:rsid w:val="001A0064"/>
    <w:pPr>
      <w:spacing w:before="100" w:beforeAutospacing="1" w:after="100" w:afterAutospacing="1" w:line="240" w:lineRule="auto"/>
    </w:pPr>
    <w:rPr>
      <w:rFonts w:ascii="Calibri" w:eastAsia="Times New Roman" w:hAnsi="Calibri" w:cs="Calibri"/>
      <w:lang w:eastAsia="sv-SE"/>
    </w:rPr>
  </w:style>
  <w:style w:type="paragraph" w:customStyle="1" w:styleId="font8">
    <w:name w:val="font8"/>
    <w:basedOn w:val="Normal"/>
    <w:rsid w:val="001A0064"/>
    <w:pPr>
      <w:spacing w:before="100" w:beforeAutospacing="1" w:after="100" w:afterAutospacing="1" w:line="240" w:lineRule="auto"/>
    </w:pPr>
    <w:rPr>
      <w:rFonts w:ascii="Calibri" w:eastAsia="Times New Roman" w:hAnsi="Calibri" w:cs="Calibri"/>
      <w:b/>
      <w:bCs/>
      <w:lang w:eastAsia="sv-SE"/>
    </w:rPr>
  </w:style>
  <w:style w:type="paragraph" w:customStyle="1" w:styleId="xl65">
    <w:name w:val="xl65"/>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66">
    <w:name w:val="xl66"/>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67">
    <w:name w:val="xl67"/>
    <w:basedOn w:val="Normal"/>
    <w:rsid w:val="001A0064"/>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68">
    <w:name w:val="xl68"/>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69">
    <w:name w:val="xl69"/>
    <w:basedOn w:val="Normal"/>
    <w:rsid w:val="001A006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0">
    <w:name w:val="xl70"/>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1">
    <w:name w:val="xl71"/>
    <w:basedOn w:val="Normal"/>
    <w:rsid w:val="001A0064"/>
    <w:pPr>
      <w:shd w:val="clear" w:color="auto" w:fill="FFF2CC"/>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2">
    <w:name w:val="xl72"/>
    <w:basedOn w:val="Normal"/>
    <w:rsid w:val="001A0064"/>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3">
    <w:name w:val="xl73"/>
    <w:basedOn w:val="Normal"/>
    <w:rsid w:val="001A0064"/>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4">
    <w:name w:val="xl74"/>
    <w:basedOn w:val="Normal"/>
    <w:rsid w:val="001A0064"/>
    <w:pPr>
      <w:pBdr>
        <w:top w:val="single" w:sz="4" w:space="0" w:color="9BC2E6"/>
        <w:left w:val="single" w:sz="4" w:space="0" w:color="auto"/>
        <w:bottom w:val="single" w:sz="4" w:space="0" w:color="9BC2E6"/>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sv-SE"/>
    </w:rPr>
  </w:style>
  <w:style w:type="paragraph" w:customStyle="1" w:styleId="xl75">
    <w:name w:val="xl75"/>
    <w:basedOn w:val="Normal"/>
    <w:rsid w:val="001A0064"/>
    <w:pPr>
      <w:pBdr>
        <w:top w:val="single" w:sz="4" w:space="0" w:color="9BC2E6"/>
        <w:left w:val="single" w:sz="4" w:space="0" w:color="auto"/>
        <w:bottom w:val="single" w:sz="4" w:space="0" w:color="9BC2E6"/>
        <w:right w:val="single" w:sz="4" w:space="0" w:color="auto"/>
      </w:pBdr>
      <w:shd w:val="clear" w:color="auto" w:fill="D0CECE"/>
      <w:spacing w:before="100" w:beforeAutospacing="1" w:after="100" w:afterAutospacing="1" w:line="240" w:lineRule="auto"/>
    </w:pPr>
    <w:rPr>
      <w:rFonts w:ascii="Times New Roman" w:eastAsia="Times New Roman" w:hAnsi="Times New Roman" w:cs="Times New Roman"/>
      <w:b/>
      <w:bCs/>
      <w:sz w:val="24"/>
      <w:szCs w:val="24"/>
      <w:lang w:eastAsia="sv-SE"/>
    </w:rPr>
  </w:style>
  <w:style w:type="paragraph" w:customStyle="1" w:styleId="xl76">
    <w:name w:val="xl76"/>
    <w:basedOn w:val="Normal"/>
    <w:rsid w:val="001A0064"/>
    <w:pPr>
      <w:shd w:val="clear" w:color="auto" w:fill="D0CECE"/>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7">
    <w:name w:val="xl77"/>
    <w:basedOn w:val="Normal"/>
    <w:rsid w:val="001A0064"/>
    <w:pPr>
      <w:shd w:val="clear" w:color="auto" w:fill="D0CECE"/>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8">
    <w:name w:val="xl78"/>
    <w:basedOn w:val="Normal"/>
    <w:rsid w:val="001A0064"/>
    <w:pPr>
      <w:shd w:val="clear" w:color="auto" w:fill="D0CECE"/>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79">
    <w:name w:val="xl79"/>
    <w:basedOn w:val="Normal"/>
    <w:rsid w:val="001A0064"/>
    <w:pPr>
      <w:shd w:val="clear" w:color="auto" w:fill="D0CECE"/>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80">
    <w:name w:val="xl80"/>
    <w:basedOn w:val="Normal"/>
    <w:rsid w:val="001A0064"/>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xl81">
    <w:name w:val="xl81"/>
    <w:basedOn w:val="Normal"/>
    <w:rsid w:val="001A0064"/>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1A0064"/>
    <w:rPr>
      <w:color w:val="808080"/>
    </w:rPr>
  </w:style>
  <w:style w:type="table" w:customStyle="1" w:styleId="TableGrid1">
    <w:name w:val="Table Grid1"/>
    <w:basedOn w:val="TableNormal"/>
    <w:uiPriority w:val="39"/>
    <w:rsid w:val="001A006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F422E5"/>
  </w:style>
  <w:style w:type="table" w:customStyle="1" w:styleId="TableGrid2">
    <w:name w:val="Table Grid2"/>
    <w:basedOn w:val="TableNormal"/>
    <w:next w:val="TableGrid"/>
    <w:uiPriority w:val="39"/>
    <w:rsid w:val="00F422E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sid w:val="00F422E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43878">
      <w:bodyDiv w:val="1"/>
      <w:marLeft w:val="0"/>
      <w:marRight w:val="0"/>
      <w:marTop w:val="0"/>
      <w:marBottom w:val="0"/>
      <w:divBdr>
        <w:top w:val="none" w:sz="0" w:space="0" w:color="auto"/>
        <w:left w:val="none" w:sz="0" w:space="0" w:color="auto"/>
        <w:bottom w:val="none" w:sz="0" w:space="0" w:color="auto"/>
        <w:right w:val="none" w:sz="0" w:space="0" w:color="auto"/>
      </w:divBdr>
    </w:div>
    <w:div w:id="144905774">
      <w:bodyDiv w:val="1"/>
      <w:marLeft w:val="0"/>
      <w:marRight w:val="0"/>
      <w:marTop w:val="0"/>
      <w:marBottom w:val="0"/>
      <w:divBdr>
        <w:top w:val="none" w:sz="0" w:space="0" w:color="auto"/>
        <w:left w:val="none" w:sz="0" w:space="0" w:color="auto"/>
        <w:bottom w:val="none" w:sz="0" w:space="0" w:color="auto"/>
        <w:right w:val="none" w:sz="0" w:space="0" w:color="auto"/>
      </w:divBdr>
    </w:div>
    <w:div w:id="427233372">
      <w:bodyDiv w:val="1"/>
      <w:marLeft w:val="0"/>
      <w:marRight w:val="0"/>
      <w:marTop w:val="0"/>
      <w:marBottom w:val="0"/>
      <w:divBdr>
        <w:top w:val="none" w:sz="0" w:space="0" w:color="auto"/>
        <w:left w:val="none" w:sz="0" w:space="0" w:color="auto"/>
        <w:bottom w:val="none" w:sz="0" w:space="0" w:color="auto"/>
        <w:right w:val="none" w:sz="0" w:space="0" w:color="auto"/>
      </w:divBdr>
    </w:div>
    <w:div w:id="590627271">
      <w:bodyDiv w:val="1"/>
      <w:marLeft w:val="0"/>
      <w:marRight w:val="0"/>
      <w:marTop w:val="0"/>
      <w:marBottom w:val="0"/>
      <w:divBdr>
        <w:top w:val="none" w:sz="0" w:space="0" w:color="auto"/>
        <w:left w:val="none" w:sz="0" w:space="0" w:color="auto"/>
        <w:bottom w:val="none" w:sz="0" w:space="0" w:color="auto"/>
        <w:right w:val="none" w:sz="0" w:space="0" w:color="auto"/>
      </w:divBdr>
    </w:div>
    <w:div w:id="737940077">
      <w:bodyDiv w:val="1"/>
      <w:marLeft w:val="0"/>
      <w:marRight w:val="0"/>
      <w:marTop w:val="0"/>
      <w:marBottom w:val="0"/>
      <w:divBdr>
        <w:top w:val="none" w:sz="0" w:space="0" w:color="auto"/>
        <w:left w:val="none" w:sz="0" w:space="0" w:color="auto"/>
        <w:bottom w:val="none" w:sz="0" w:space="0" w:color="auto"/>
        <w:right w:val="none" w:sz="0" w:space="0" w:color="auto"/>
      </w:divBdr>
    </w:div>
    <w:div w:id="836455026">
      <w:bodyDiv w:val="1"/>
      <w:marLeft w:val="0"/>
      <w:marRight w:val="0"/>
      <w:marTop w:val="0"/>
      <w:marBottom w:val="0"/>
      <w:divBdr>
        <w:top w:val="none" w:sz="0" w:space="0" w:color="auto"/>
        <w:left w:val="none" w:sz="0" w:space="0" w:color="auto"/>
        <w:bottom w:val="none" w:sz="0" w:space="0" w:color="auto"/>
        <w:right w:val="none" w:sz="0" w:space="0" w:color="auto"/>
      </w:divBdr>
    </w:div>
    <w:div w:id="874931726">
      <w:bodyDiv w:val="1"/>
      <w:marLeft w:val="0"/>
      <w:marRight w:val="0"/>
      <w:marTop w:val="0"/>
      <w:marBottom w:val="0"/>
      <w:divBdr>
        <w:top w:val="none" w:sz="0" w:space="0" w:color="auto"/>
        <w:left w:val="none" w:sz="0" w:space="0" w:color="auto"/>
        <w:bottom w:val="none" w:sz="0" w:space="0" w:color="auto"/>
        <w:right w:val="none" w:sz="0" w:space="0" w:color="auto"/>
      </w:divBdr>
    </w:div>
    <w:div w:id="1023483964">
      <w:bodyDiv w:val="1"/>
      <w:marLeft w:val="0"/>
      <w:marRight w:val="0"/>
      <w:marTop w:val="0"/>
      <w:marBottom w:val="0"/>
      <w:divBdr>
        <w:top w:val="none" w:sz="0" w:space="0" w:color="auto"/>
        <w:left w:val="none" w:sz="0" w:space="0" w:color="auto"/>
        <w:bottom w:val="none" w:sz="0" w:space="0" w:color="auto"/>
        <w:right w:val="none" w:sz="0" w:space="0" w:color="auto"/>
      </w:divBdr>
    </w:div>
    <w:div w:id="1112625603">
      <w:bodyDiv w:val="1"/>
      <w:marLeft w:val="0"/>
      <w:marRight w:val="0"/>
      <w:marTop w:val="0"/>
      <w:marBottom w:val="0"/>
      <w:divBdr>
        <w:top w:val="none" w:sz="0" w:space="0" w:color="auto"/>
        <w:left w:val="none" w:sz="0" w:space="0" w:color="auto"/>
        <w:bottom w:val="none" w:sz="0" w:space="0" w:color="auto"/>
        <w:right w:val="none" w:sz="0" w:space="0" w:color="auto"/>
      </w:divBdr>
    </w:div>
    <w:div w:id="1149202687">
      <w:bodyDiv w:val="1"/>
      <w:marLeft w:val="0"/>
      <w:marRight w:val="0"/>
      <w:marTop w:val="0"/>
      <w:marBottom w:val="0"/>
      <w:divBdr>
        <w:top w:val="none" w:sz="0" w:space="0" w:color="auto"/>
        <w:left w:val="none" w:sz="0" w:space="0" w:color="auto"/>
        <w:bottom w:val="none" w:sz="0" w:space="0" w:color="auto"/>
        <w:right w:val="none" w:sz="0" w:space="0" w:color="auto"/>
      </w:divBdr>
    </w:div>
    <w:div w:id="1207720915">
      <w:bodyDiv w:val="1"/>
      <w:marLeft w:val="0"/>
      <w:marRight w:val="0"/>
      <w:marTop w:val="0"/>
      <w:marBottom w:val="0"/>
      <w:divBdr>
        <w:top w:val="none" w:sz="0" w:space="0" w:color="auto"/>
        <w:left w:val="none" w:sz="0" w:space="0" w:color="auto"/>
        <w:bottom w:val="none" w:sz="0" w:space="0" w:color="auto"/>
        <w:right w:val="none" w:sz="0" w:space="0" w:color="auto"/>
      </w:divBdr>
    </w:div>
    <w:div w:id="1231648965">
      <w:bodyDiv w:val="1"/>
      <w:marLeft w:val="0"/>
      <w:marRight w:val="0"/>
      <w:marTop w:val="0"/>
      <w:marBottom w:val="0"/>
      <w:divBdr>
        <w:top w:val="none" w:sz="0" w:space="0" w:color="auto"/>
        <w:left w:val="none" w:sz="0" w:space="0" w:color="auto"/>
        <w:bottom w:val="none" w:sz="0" w:space="0" w:color="auto"/>
        <w:right w:val="none" w:sz="0" w:space="0" w:color="auto"/>
      </w:divBdr>
    </w:div>
    <w:div w:id="1482042536">
      <w:bodyDiv w:val="1"/>
      <w:marLeft w:val="0"/>
      <w:marRight w:val="0"/>
      <w:marTop w:val="0"/>
      <w:marBottom w:val="0"/>
      <w:divBdr>
        <w:top w:val="none" w:sz="0" w:space="0" w:color="auto"/>
        <w:left w:val="none" w:sz="0" w:space="0" w:color="auto"/>
        <w:bottom w:val="none" w:sz="0" w:space="0" w:color="auto"/>
        <w:right w:val="none" w:sz="0" w:space="0" w:color="auto"/>
      </w:divBdr>
    </w:div>
    <w:div w:id="1747916115">
      <w:bodyDiv w:val="1"/>
      <w:marLeft w:val="0"/>
      <w:marRight w:val="0"/>
      <w:marTop w:val="0"/>
      <w:marBottom w:val="0"/>
      <w:divBdr>
        <w:top w:val="none" w:sz="0" w:space="0" w:color="auto"/>
        <w:left w:val="none" w:sz="0" w:space="0" w:color="auto"/>
        <w:bottom w:val="none" w:sz="0" w:space="0" w:color="auto"/>
        <w:right w:val="none" w:sz="0" w:space="0" w:color="auto"/>
      </w:divBdr>
    </w:div>
    <w:div w:id="1778938898">
      <w:bodyDiv w:val="1"/>
      <w:marLeft w:val="0"/>
      <w:marRight w:val="0"/>
      <w:marTop w:val="0"/>
      <w:marBottom w:val="0"/>
      <w:divBdr>
        <w:top w:val="none" w:sz="0" w:space="0" w:color="auto"/>
        <w:left w:val="none" w:sz="0" w:space="0" w:color="auto"/>
        <w:bottom w:val="none" w:sz="0" w:space="0" w:color="auto"/>
        <w:right w:val="none" w:sz="0" w:space="0" w:color="auto"/>
      </w:divBdr>
    </w:div>
    <w:div w:id="1923952472">
      <w:bodyDiv w:val="1"/>
      <w:marLeft w:val="0"/>
      <w:marRight w:val="0"/>
      <w:marTop w:val="0"/>
      <w:marBottom w:val="0"/>
      <w:divBdr>
        <w:top w:val="none" w:sz="0" w:space="0" w:color="auto"/>
        <w:left w:val="none" w:sz="0" w:space="0" w:color="auto"/>
        <w:bottom w:val="none" w:sz="0" w:space="0" w:color="auto"/>
        <w:right w:val="none" w:sz="0" w:space="0" w:color="auto"/>
      </w:divBdr>
    </w:div>
    <w:div w:id="1933396507">
      <w:bodyDiv w:val="1"/>
      <w:marLeft w:val="0"/>
      <w:marRight w:val="0"/>
      <w:marTop w:val="0"/>
      <w:marBottom w:val="0"/>
      <w:divBdr>
        <w:top w:val="none" w:sz="0" w:space="0" w:color="auto"/>
        <w:left w:val="none" w:sz="0" w:space="0" w:color="auto"/>
        <w:bottom w:val="none" w:sz="0" w:space="0" w:color="auto"/>
        <w:right w:val="none" w:sz="0" w:space="0" w:color="auto"/>
      </w:divBdr>
    </w:div>
    <w:div w:id="2072384223">
      <w:bodyDiv w:val="1"/>
      <w:marLeft w:val="0"/>
      <w:marRight w:val="0"/>
      <w:marTop w:val="0"/>
      <w:marBottom w:val="0"/>
      <w:divBdr>
        <w:top w:val="none" w:sz="0" w:space="0" w:color="auto"/>
        <w:left w:val="none" w:sz="0" w:space="0" w:color="auto"/>
        <w:bottom w:val="none" w:sz="0" w:space="0" w:color="auto"/>
        <w:right w:val="none" w:sz="0" w:space="0" w:color="auto"/>
      </w:divBdr>
    </w:div>
    <w:div w:id="2093312229">
      <w:bodyDiv w:val="1"/>
      <w:marLeft w:val="0"/>
      <w:marRight w:val="0"/>
      <w:marTop w:val="0"/>
      <w:marBottom w:val="0"/>
      <w:divBdr>
        <w:top w:val="none" w:sz="0" w:space="0" w:color="auto"/>
        <w:left w:val="none" w:sz="0" w:space="0" w:color="auto"/>
        <w:bottom w:val="none" w:sz="0" w:space="0" w:color="auto"/>
        <w:right w:val="none" w:sz="0" w:space="0" w:color="auto"/>
      </w:divBdr>
    </w:div>
    <w:div w:id="209881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IEEE2006OfficeOnline.xsl" StyleName="IEEE" Version="2006"/>
</file>

<file path=customXml/item4.xml><?xml version="1.0" encoding="utf-8"?>
<ct:contentTypeSchema xmlns:ct="http://schemas.microsoft.com/office/2006/metadata/contentType" xmlns:ma="http://schemas.microsoft.com/office/2006/metadata/properties/metaAttributes" ct:_="" ma:_="" ma:contentTypeName="dokument" ma:contentTypeID="0x0101001D66E0424B572C418B2FDFB745A8ACDC" ma:contentTypeVersion="9" ma:contentTypeDescription="Skapa ett nytt dokument." ma:contentTypeScope="" ma:versionID="93f6706c35a32088aee3812b7f481b66">
  <xsd:schema xmlns:xsd="http://www.w3.org/2001/XMLSchema" xmlns:xs="http://www.w3.org/2001/XMLSchema" xmlns:p="http://schemas.microsoft.com/office/2006/metadata/properties" xmlns:ns2="90ae34c3-1ae7-443f-ac1f-7166ef8f4a47" targetNamespace="http://schemas.microsoft.com/office/2006/metadata/properties" ma:root="true" ma:fieldsID="8fd7bd5f0e02a82f4682acdfe8d76857" ns2:_="">
    <xsd:import namespace="90ae34c3-1ae7-443f-ac1f-7166ef8f4a4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ae34c3-1ae7-443f-ac1f-7166ef8f4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0ADF35-3AA2-4AD0-A14E-345B0EA98F4C}">
  <ds:schemaRefs>
    <ds:schemaRef ds:uri="http://schemas.microsoft.com/sharepoint/v3/contenttype/forms"/>
  </ds:schemaRefs>
</ds:datastoreItem>
</file>

<file path=customXml/itemProps2.xml><?xml version="1.0" encoding="utf-8"?>
<ds:datastoreItem xmlns:ds="http://schemas.openxmlformats.org/officeDocument/2006/customXml" ds:itemID="{300F3C0B-C279-4861-B580-9B3CFD0925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EFB861B-033B-4483-ADFC-EE55695B6BB0}">
  <ds:schemaRefs>
    <ds:schemaRef ds:uri="http://schemas.openxmlformats.org/officeDocument/2006/bibliography"/>
  </ds:schemaRefs>
</ds:datastoreItem>
</file>

<file path=customXml/itemProps4.xml><?xml version="1.0" encoding="utf-8"?>
<ds:datastoreItem xmlns:ds="http://schemas.openxmlformats.org/officeDocument/2006/customXml" ds:itemID="{EB64BBC9-6DB5-4F4B-952B-DE9920BEE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ae34c3-1ae7-443f-ac1f-7166ef8f4a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1265</TotalTime>
  <Pages>102</Pages>
  <Words>192277</Words>
  <Characters>1019069</Characters>
  <Application>Microsoft Office Word</Application>
  <DocSecurity>0</DocSecurity>
  <Lines>8492</Lines>
  <Paragraphs>2417</Paragraphs>
  <ScaleCrop>false</ScaleCrop>
  <HeadingPairs>
    <vt:vector size="2" baseType="variant">
      <vt:variant>
        <vt:lpstr>Title</vt:lpstr>
      </vt:variant>
      <vt:variant>
        <vt:i4>1</vt:i4>
      </vt:variant>
    </vt:vector>
  </HeadingPairs>
  <TitlesOfParts>
    <vt:vector size="1" baseType="lpstr">
      <vt:lpstr/>
    </vt:vector>
  </TitlesOfParts>
  <Company>Karolinska Institutet, LIME</Company>
  <LinksUpToDate>false</LinksUpToDate>
  <CharactersWithSpaces>1208929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Ingvarsson</dc:creator>
  <cp:keywords/>
  <dc:description/>
  <cp:lastModifiedBy>Sara Ingvarsson</cp:lastModifiedBy>
  <cp:revision>116</cp:revision>
  <dcterms:created xsi:type="dcterms:W3CDTF">2022-06-22T15:12:00Z</dcterms:created>
  <dcterms:modified xsi:type="dcterms:W3CDTF">2022-07-06T11:49:00Z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0x0101001D66E0424B572C418B2FDFB745A8ACDC</vt:lpwstr>
  </property>
  <property fmtid="{D5CDD505-2E9C-101B-9397-08002B2CF9AE}" pid="3" name="Mendeley Document_1">
    <vt:lpwstr>True</vt:lpwstr>
  </property>
  <property fmtid="{D5CDD505-2E9C-101B-9397-08002B2CF9AE}" pid="4" name="Mendeley Unique User Id_1">
    <vt:lpwstr>98ae909f-3a56-37ff-87ad-707cab9e3290</vt:lpwstr>
  </property>
  <property fmtid="{D5CDD505-2E9C-101B-9397-08002B2CF9AE}" pid="5" name="Mendeley Citation Style_1">
    <vt:lpwstr>http://www.zotero.org/styles/vancouver</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11th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9th edition</vt:lpwstr>
  </property>
  <property fmtid="{D5CDD505-2E9C-101B-9397-08002B2CF9AE}" pid="24" name="Mendeley Recent Style Id 9_1">
    <vt:lpwstr>http://www.zotero.org/styles/vancouver</vt:lpwstr>
  </property>
  <property fmtid="{D5CDD505-2E9C-101B-9397-08002B2CF9AE}" pid="25" name="Mendeley Recent Style Name 9_1">
    <vt:lpwstr>Vancouver</vt:lpwstr>
  </property>
</Properties>
</file>