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imes New Roman" w:hAnsi="Times New Roman" w:eastAsia="微软雅黑" w:cs="Times New Roman"/>
          <w:b/>
          <w:bCs/>
          <w:iCs/>
          <w:sz w:val="24"/>
        </w:rPr>
      </w:pPr>
      <w:bookmarkStart w:id="0" w:name="_GoBack"/>
      <w:bookmarkEnd w:id="0"/>
      <w:r>
        <w:rPr>
          <w:rFonts w:hint="eastAsia" w:ascii="Times New Roman" w:hAnsi="Times New Roman" w:eastAsia="微软雅黑" w:cs="Times New Roman"/>
          <w:b/>
          <w:bCs/>
          <w:iCs/>
          <w:sz w:val="24"/>
        </w:rPr>
        <w:t>SUPPLEMENTARY MATERIALS</w:t>
      </w:r>
    </w:p>
    <w:p>
      <w:pPr>
        <w:widowControl/>
        <w:spacing w:line="360" w:lineRule="auto"/>
        <w:jc w:val="center"/>
        <w:rPr>
          <w:rFonts w:ascii="Times New Roman" w:hAnsi="Times New Roman" w:eastAsia="CIDFont" w:cs="Times New Roman"/>
          <w:b/>
          <w:bCs/>
          <w:color w:val="000000"/>
          <w:kern w:val="0"/>
          <w:sz w:val="32"/>
          <w:szCs w:val="32"/>
          <w:lang w:bidi="ar"/>
        </w:rPr>
      </w:pPr>
      <w:r>
        <w:rPr>
          <w:rFonts w:ascii="Times New Roman" w:hAnsi="Times New Roman" w:eastAsia="微软雅黑" w:cs="Times New Roman"/>
          <w:b/>
          <w:bCs/>
          <w:iCs/>
          <w:sz w:val="24"/>
        </w:rPr>
        <w:t>Antihypertensive treatment reduces the intra-aneurysmal blood flow in hypertensive patients with intracranial aneurysms</w:t>
      </w:r>
    </w:p>
    <w:p>
      <w:pPr>
        <w:widowControl/>
        <w:spacing w:line="360" w:lineRule="auto"/>
        <w:jc w:val="center"/>
        <w:rPr>
          <w:rFonts w:ascii="Times New Roman" w:hAnsi="Times New Roman" w:eastAsia="CIDFont" w:cs="Times New Roman"/>
          <w:b/>
          <w:bCs/>
          <w:color w:val="000000"/>
          <w:kern w:val="0"/>
          <w:sz w:val="32"/>
          <w:szCs w:val="32"/>
          <w:lang w:bidi="ar"/>
        </w:rPr>
        <w:sectPr>
          <w:footerReference r:id="rId3" w:type="default"/>
          <w:footerReference r:id="rId4" w:type="even"/>
          <w:pgSz w:w="11906" w:h="16838"/>
          <w:pgMar w:top="1440" w:right="1803" w:bottom="1440" w:left="1803" w:header="851" w:footer="992" w:gutter="0"/>
          <w:cols w:space="0" w:num="1"/>
          <w:docGrid w:type="lines" w:linePitch="319" w:charSpace="0"/>
        </w:sectPr>
      </w:pPr>
    </w:p>
    <w:p>
      <w:pPr>
        <w:widowControl/>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Supplemental Methods</w:t>
      </w:r>
    </w:p>
    <w:p>
      <w:pPr>
        <w:widowControl/>
        <w:spacing w:line="480" w:lineRule="auto"/>
        <w:rPr>
          <w:rFonts w:ascii="Times New Roman" w:hAnsi="Times New Roman" w:cs="Times New Roman"/>
          <w:sz w:val="24"/>
        </w:rPr>
      </w:pPr>
      <w:r>
        <w:rPr>
          <w:rFonts w:hint="eastAsia" w:ascii="Times New Roman" w:hAnsi="Times New Roman" w:cs="Times New Roman"/>
          <w:b/>
          <w:bCs/>
          <w:sz w:val="24"/>
        </w:rPr>
        <w:t>Patients and IAs selection</w:t>
      </w:r>
    </w:p>
    <w:p>
      <w:pPr>
        <w:widowControl/>
        <w:spacing w:line="480" w:lineRule="auto"/>
        <w:rPr>
          <w:rFonts w:ascii="Times New Roman" w:hAnsi="Times New Roman" w:cs="Times New Roman"/>
          <w:b/>
          <w:bCs/>
          <w:sz w:val="24"/>
        </w:rPr>
      </w:pPr>
      <w:r>
        <w:rPr>
          <w:rFonts w:ascii="Times New Roman" w:hAnsi="Times New Roman" w:cs="Times New Roman"/>
          <w:sz w:val="24"/>
        </w:rPr>
        <w:t xml:space="preserve">Exclusion criteria were age &lt;18 years; presence of systolic blood pressure </w:t>
      </w:r>
      <w:r>
        <w:rPr>
          <w:rFonts w:hint="eastAsia" w:ascii="Times New Roman" w:hAnsi="Times New Roman" w:cs="Times New Roman"/>
          <w:sz w:val="24"/>
        </w:rPr>
        <w:t>(</w:t>
      </w:r>
      <w:r>
        <w:rPr>
          <w:rFonts w:ascii="Times New Roman" w:hAnsi="Times New Roman" w:cs="Times New Roman"/>
          <w:sz w:val="24"/>
        </w:rPr>
        <w:t>SBP</w:t>
      </w:r>
      <w:r>
        <w:rPr>
          <w:rFonts w:hint="eastAsia" w:ascii="Times New Roman" w:hAnsi="Times New Roman" w:cs="Times New Roman"/>
          <w:sz w:val="24"/>
        </w:rPr>
        <w:t>)</w:t>
      </w:r>
      <w:r>
        <w:rPr>
          <w:rFonts w:ascii="Times New Roman" w:hAnsi="Times New Roman" w:cs="Times New Roman"/>
          <w:sz w:val="24"/>
        </w:rPr>
        <w:t xml:space="preserve"> &lt;130 mmHg</w:t>
      </w:r>
      <w:r>
        <w:rPr>
          <w:rFonts w:hint="eastAsia" w:ascii="Times New Roman" w:hAnsi="Times New Roman" w:cs="Times New Roman"/>
          <w:sz w:val="24"/>
        </w:rPr>
        <w:t xml:space="preserve"> without </w:t>
      </w:r>
      <w:r>
        <w:rPr>
          <w:rFonts w:ascii="Times New Roman" w:hAnsi="Times New Roman" w:cs="Times New Roman"/>
          <w:sz w:val="24"/>
        </w:rPr>
        <w:t>anti-hypertensive treatment; history of nifedipine</w:t>
      </w:r>
      <w:r>
        <w:rPr>
          <w:rFonts w:hint="eastAsia" w:ascii="Times New Roman" w:hAnsi="Times New Roman" w:cs="Times New Roman"/>
          <w:sz w:val="24"/>
        </w:rPr>
        <w:t>-insensitive</w:t>
      </w:r>
      <w:r>
        <w:rPr>
          <w:rFonts w:ascii="Times New Roman" w:hAnsi="Times New Roman" w:cs="Times New Roman"/>
          <w:sz w:val="24"/>
        </w:rPr>
        <w:t>; history of surgical clipping or endovascular treatment;</w:t>
      </w:r>
      <w:r>
        <w:rPr>
          <w:rFonts w:hint="eastAsia" w:ascii="Times New Roman" w:hAnsi="Times New Roman" w:cs="Times New Roman"/>
          <w:sz w:val="24"/>
        </w:rPr>
        <w:t xml:space="preserve"> </w:t>
      </w:r>
      <w:r>
        <w:rPr>
          <w:rFonts w:ascii="Times New Roman" w:hAnsi="Times New Roman" w:cs="Times New Roman"/>
          <w:sz w:val="24"/>
        </w:rPr>
        <w:t>presence of dissecting, fusiform, traumatic,</w:t>
      </w:r>
      <w:r>
        <w:rPr>
          <w:rFonts w:hint="eastAsia" w:ascii="Times New Roman" w:hAnsi="Times New Roman" w:cs="Times New Roman"/>
          <w:sz w:val="24"/>
        </w:rPr>
        <w:t xml:space="preserve"> giant thrombosed, </w:t>
      </w:r>
      <w:r>
        <w:rPr>
          <w:rFonts w:ascii="Times New Roman" w:hAnsi="Times New Roman" w:cs="Times New Roman"/>
          <w:sz w:val="24"/>
        </w:rPr>
        <w:t>or blood blister-like aneurysms or aneurysm associated with arteriovenous malformations, dural arteriovenous fistulas, Moyamoya disease, or extensive cerebral vascular stenosis; and/or invalid anti-hypertensive treatment, and/or poor MRI image quality for hemodynamic analysis. Extensive cerebral stenosis was defined as the presence of major cerebral artery occlusion at multiple sites.</w:t>
      </w:r>
    </w:p>
    <w:p>
      <w:pPr>
        <w:widowControl/>
        <w:spacing w:line="360" w:lineRule="auto"/>
        <w:rPr>
          <w:rFonts w:ascii="Times New Roman" w:hAnsi="Times New Roman" w:cs="Times New Roman"/>
          <w:b/>
          <w:bCs/>
          <w:sz w:val="24"/>
        </w:rPr>
      </w:pPr>
      <w:r>
        <w:rPr>
          <w:rFonts w:ascii="Times New Roman" w:hAnsi="Times New Roman" w:cs="Times New Roman"/>
          <w:b/>
          <w:bCs/>
          <w:sz w:val="24"/>
        </w:rPr>
        <w:t>Magnetic resonance experiments</w:t>
      </w:r>
    </w:p>
    <w:p>
      <w:pPr>
        <w:widowControl/>
        <w:spacing w:line="480" w:lineRule="auto"/>
        <w:rPr>
          <w:rFonts w:ascii="Times New Roman" w:hAnsi="Times New Roman" w:cs="Times New Roman"/>
          <w:b/>
          <w:bCs/>
          <w:sz w:val="24"/>
        </w:rPr>
      </w:pPr>
      <w:r>
        <w:rPr>
          <w:rFonts w:ascii="Times New Roman" w:hAnsi="Times New Roman" w:cs="Times New Roman"/>
          <w:sz w:val="24"/>
        </w:rPr>
        <w:t>All MRI scans were performed using a 3.0T MRI scanner (Philips Achieva, Best, Netherlands) with a 32-channel head coil. We performed 3D time-of-flight magnetic resonance angiography (3D TOF-MRA) and used the findings for evaluation of aneurysmal morphology. The imaging parameters for 3D TOF-MRA were repetition time/echo time = 25/3.5 ms, field of view = 160×160×60 mm</w:t>
      </w:r>
      <w:r>
        <w:rPr>
          <w:rFonts w:ascii="Times New Roman" w:hAnsi="Times New Roman" w:cs="Times New Roman"/>
          <w:sz w:val="24"/>
          <w:vertAlign w:val="superscript"/>
        </w:rPr>
        <w:t>3</w:t>
      </w:r>
      <w:r>
        <w:rPr>
          <w:rFonts w:ascii="Times New Roman" w:hAnsi="Times New Roman" w:cs="Times New Roman"/>
          <w:sz w:val="24"/>
        </w:rPr>
        <w:t>, voxel size = 0.8×0.8×0.8 mm</w:t>
      </w:r>
      <w:r>
        <w:rPr>
          <w:rFonts w:ascii="Times New Roman" w:hAnsi="Times New Roman" w:cs="Times New Roman"/>
          <w:sz w:val="24"/>
          <w:vertAlign w:val="superscript"/>
        </w:rPr>
        <w:t>3</w:t>
      </w:r>
      <w:r>
        <w:rPr>
          <w:rFonts w:ascii="Times New Roman" w:hAnsi="Times New Roman" w:cs="Times New Roman"/>
          <w:sz w:val="24"/>
        </w:rPr>
        <w:t>, and flip angle = 20°. We used 4D-flow MRI for hemodynamic evaluation; images were acquired using a free-breathing, peripheral pulse-gated, multi-shot turbo filed echo sequence. The scan parameters for 4D-flow MRI were repetition time/echo time = 8.0/3.6 ms, field of view = 160×160×30 mm</w:t>
      </w:r>
      <w:r>
        <w:rPr>
          <w:rFonts w:ascii="Times New Roman" w:hAnsi="Times New Roman" w:cs="Times New Roman"/>
          <w:sz w:val="24"/>
          <w:vertAlign w:val="superscript"/>
        </w:rPr>
        <w:t>3</w:t>
      </w:r>
      <w:r>
        <w:rPr>
          <w:rFonts w:ascii="Times New Roman" w:hAnsi="Times New Roman" w:cs="Times New Roman"/>
          <w:sz w:val="24"/>
        </w:rPr>
        <w:t>, voxel size = 1×1×1 mm</w:t>
      </w:r>
      <w:r>
        <w:rPr>
          <w:rFonts w:ascii="Times New Roman" w:hAnsi="Times New Roman" w:cs="Times New Roman"/>
          <w:sz w:val="24"/>
          <w:vertAlign w:val="superscript"/>
        </w:rPr>
        <w:t>3</w:t>
      </w:r>
      <w:r>
        <w:rPr>
          <w:rFonts w:ascii="Times New Roman" w:hAnsi="Times New Roman" w:cs="Times New Roman"/>
          <w:sz w:val="24"/>
        </w:rPr>
        <w:t>, flip angle = 20°, and velocity encoding = 120 cm/s for all three directions.</w:t>
      </w:r>
    </w:p>
    <w:p>
      <w:pPr>
        <w:widowControl/>
        <w:spacing w:line="360" w:lineRule="auto"/>
        <w:rPr>
          <w:rFonts w:ascii="Times New Roman" w:hAnsi="Times New Roman" w:cs="Times New Roman"/>
          <w:b/>
          <w:bCs/>
          <w:sz w:val="24"/>
        </w:rPr>
      </w:pPr>
      <w:r>
        <w:rPr>
          <w:rFonts w:hint="eastAsia" w:ascii="Times New Roman" w:hAnsi="Times New Roman" w:cs="Times New Roman"/>
          <w:b/>
          <w:bCs/>
          <w:sz w:val="24"/>
        </w:rPr>
        <w:t>Hemodynamics analysis</w:t>
      </w:r>
    </w:p>
    <w:p>
      <w:pPr>
        <w:spacing w:line="480" w:lineRule="auto"/>
        <w:rPr>
          <w:rFonts w:ascii="Times New Roman" w:hAnsi="Times New Roman" w:eastAsia="微软雅黑" w:cs="Times New Roman"/>
        </w:rPr>
      </w:pPr>
      <w:r>
        <w:rPr>
          <w:rFonts w:hint="eastAsia" w:ascii="Times New Roman" w:hAnsi="Times New Roman" w:cs="Times New Roman"/>
          <w:sz w:val="24"/>
        </w:rPr>
        <w:t>One experienced reader (20 years of experience in neuroradiology) who were blinded to patients</w:t>
      </w:r>
      <w:r>
        <w:rPr>
          <w:rFonts w:ascii="Times New Roman" w:hAnsi="Times New Roman" w:cs="Times New Roman"/>
          <w:sz w:val="24"/>
        </w:rPr>
        <w:t>’</w:t>
      </w:r>
      <w:r>
        <w:rPr>
          <w:rFonts w:hint="eastAsia" w:ascii="Times New Roman" w:hAnsi="Times New Roman" w:cs="Times New Roman"/>
          <w:sz w:val="24"/>
        </w:rPr>
        <w:t xml:space="preserve"> clinical information other than IAs location measured the changes in hemodynamics before and after nifedipine treatment. All of the measurements were performed two times and the mean value of each set of two measurements was recorded.</w:t>
      </w:r>
    </w:p>
    <w:p>
      <w:pPr>
        <w:widowControl/>
        <w:spacing w:line="480" w:lineRule="auto"/>
        <w:rPr>
          <w:rFonts w:ascii="Times New Roman" w:hAnsi="Times New Roman" w:cs="Times New Roman"/>
          <w:sz w:val="24"/>
        </w:rPr>
      </w:pPr>
      <w:r>
        <w:rPr>
          <w:rFonts w:ascii="Times New Roman" w:hAnsi="Times New Roman" w:cs="Times New Roman"/>
          <w:sz w:val="24"/>
        </w:rPr>
        <w:t xml:space="preserve">Preprocessing steps (e.g., eddy current correction, velocity mask application) were performed before data visualization and quantification. </w:t>
      </w:r>
      <w:r>
        <w:rPr>
          <w:rFonts w:ascii="Times New Roman" w:hAnsi="Times New Roman" w:eastAsia="Times-Roman" w:cs="Times New Roman"/>
          <w:color w:val="000000" w:themeColor="text1"/>
          <w:kern w:val="0"/>
          <w:sz w:val="24"/>
          <w14:textFill>
            <w14:solidFill>
              <w14:schemeClr w14:val="tx1"/>
            </w14:solidFill>
          </w14:textFill>
        </w:rPr>
        <w:t xml:space="preserve">3D </w:t>
      </w:r>
      <w:r>
        <w:rPr>
          <w:rFonts w:hint="eastAsia" w:ascii="Times New Roman" w:hAnsi="Times New Roman" w:eastAsia="Times-Roman" w:cs="Times New Roman"/>
          <w:color w:val="000000" w:themeColor="text1"/>
          <w:kern w:val="0"/>
          <w:sz w:val="24"/>
          <w14:textFill>
            <w14:solidFill>
              <w14:schemeClr w14:val="tx1"/>
            </w14:solidFill>
          </w14:textFill>
        </w:rPr>
        <w:t>time-of-flight (</w:t>
      </w:r>
      <w:r>
        <w:rPr>
          <w:rFonts w:ascii="Times New Roman" w:hAnsi="Times New Roman" w:eastAsia="Times-Roman" w:cs="Times New Roman"/>
          <w:color w:val="000000" w:themeColor="text1"/>
          <w:kern w:val="0"/>
          <w:sz w:val="24"/>
          <w14:textFill>
            <w14:solidFill>
              <w14:schemeClr w14:val="tx1"/>
            </w14:solidFill>
          </w14:textFill>
        </w:rPr>
        <w:t>TOF</w:t>
      </w:r>
      <w:r>
        <w:rPr>
          <w:rFonts w:hint="eastAsia" w:ascii="Times New Roman" w:hAnsi="Times New Roman" w:eastAsia="Times-Roman" w:cs="Times New Roman"/>
          <w:color w:val="000000" w:themeColor="text1"/>
          <w:kern w:val="0"/>
          <w:sz w:val="24"/>
          <w14:textFill>
            <w14:solidFill>
              <w14:schemeClr w14:val="tx1"/>
            </w14:solidFill>
          </w14:textFill>
        </w:rPr>
        <w:t>)</w:t>
      </w:r>
      <w:r>
        <w:rPr>
          <w:rFonts w:ascii="Times New Roman" w:hAnsi="Times New Roman" w:eastAsia="Times-Roman" w:cs="Times New Roman"/>
          <w:color w:val="000000" w:themeColor="text1"/>
          <w:kern w:val="0"/>
          <w:sz w:val="24"/>
          <w14:textFill>
            <w14:solidFill>
              <w14:schemeClr w14:val="tx1"/>
            </w14:solidFill>
          </w14:textFill>
        </w:rPr>
        <w:t>-MRA</w:t>
      </w:r>
      <w:r>
        <w:rPr>
          <w:rFonts w:ascii="Times New Roman" w:hAnsi="Times New Roman" w:cs="Times New Roman"/>
          <w:sz w:val="24"/>
        </w:rPr>
        <w:t xml:space="preserve"> images registered to 4D-flow MRI were adopted to segment the aneurysm; streamlines were provided for visualization and quantification of blood flow. The mean velocity (V</w:t>
      </w:r>
      <w:r>
        <w:rPr>
          <w:rFonts w:ascii="Times New Roman" w:hAnsi="Times New Roman" w:cs="Times New Roman"/>
          <w:sz w:val="24"/>
          <w:vertAlign w:val="subscript"/>
        </w:rPr>
        <w:t>IA</w:t>
      </w:r>
      <w:r>
        <w:rPr>
          <w:rFonts w:ascii="Times New Roman" w:hAnsi="Times New Roman" w:cs="Times New Roman"/>
          <w:sz w:val="24"/>
        </w:rPr>
        <w:t xml:space="preserve">, cm/s) of the volume of interest (VOI), which is the whole aneurysm, was measured through a VOI-selecting box with its one-side located at the neck plane of </w:t>
      </w:r>
      <w:r>
        <w:rPr>
          <w:rFonts w:hint="eastAsia" w:ascii="Times New Roman" w:hAnsi="Times New Roman" w:cs="Times New Roman"/>
          <w:sz w:val="24"/>
        </w:rPr>
        <w:t xml:space="preserve">the </w:t>
      </w:r>
      <w:r>
        <w:rPr>
          <w:rFonts w:ascii="Times New Roman" w:hAnsi="Times New Roman" w:cs="Times New Roman"/>
          <w:sz w:val="24"/>
        </w:rPr>
        <w:t>aneurysm (</w:t>
      </w:r>
      <w:r>
        <w:rPr>
          <w:rFonts w:hint="eastAsia" w:ascii="Times New Roman" w:hAnsi="Times New Roman" w:eastAsia="Times-Roman" w:cs="Times New Roman"/>
          <w:b/>
          <w:color w:val="231F20"/>
          <w:kern w:val="0"/>
          <w:sz w:val="24"/>
          <w:lang w:bidi="ar"/>
        </w:rPr>
        <w:t>Figure</w:t>
      </w:r>
      <w:r>
        <w:rPr>
          <w:rFonts w:ascii="Times New Roman" w:hAnsi="Times New Roman" w:eastAsia="Times-Roman" w:cs="Times New Roman"/>
          <w:b/>
          <w:color w:val="231F20"/>
          <w:kern w:val="0"/>
          <w:sz w:val="24"/>
          <w:lang w:bidi="ar"/>
        </w:rPr>
        <w:t xml:space="preserve"> </w:t>
      </w:r>
      <w:r>
        <w:rPr>
          <w:rFonts w:hint="eastAsia" w:ascii="Times New Roman" w:hAnsi="Times New Roman" w:eastAsia="Times-Roman" w:cs="Times New Roman"/>
          <w:b/>
          <w:color w:val="231F20"/>
          <w:kern w:val="0"/>
          <w:sz w:val="24"/>
          <w:lang w:bidi="ar"/>
        </w:rPr>
        <w:t>S1A</w:t>
      </w:r>
      <w:r>
        <w:rPr>
          <w:rFonts w:ascii="Times New Roman" w:hAnsi="Times New Roman" w:cs="Times New Roman"/>
          <w:sz w:val="24"/>
        </w:rPr>
        <w:t>). The entering blood flow volume (Flow</w:t>
      </w:r>
      <w:r>
        <w:rPr>
          <w:rFonts w:ascii="Times New Roman" w:hAnsi="Times New Roman" w:cs="Times New Roman"/>
          <w:sz w:val="24"/>
          <w:vertAlign w:val="subscript"/>
        </w:rPr>
        <w:t>IA</w:t>
      </w:r>
      <w:r>
        <w:rPr>
          <w:rFonts w:ascii="Times New Roman" w:hAnsi="Times New Roman" w:cs="Times New Roman"/>
          <w:sz w:val="24"/>
        </w:rPr>
        <w:t xml:space="preserve">, ml/s) of each IA was measured at the locating neck plane of the aneurysm in the meantime. After nifedipine treatment, </w:t>
      </w:r>
      <w:r>
        <w:rPr>
          <w:rFonts w:hint="eastAsia" w:ascii="Times New Roman" w:hAnsi="Times New Roman" w:cs="Times New Roman"/>
          <w:sz w:val="24"/>
        </w:rPr>
        <w:t xml:space="preserve">the </w:t>
      </w:r>
      <w:r>
        <w:rPr>
          <w:rFonts w:ascii="Times New Roman" w:hAnsi="Times New Roman" w:cs="Times New Roman"/>
          <w:sz w:val="24"/>
        </w:rPr>
        <w:t>same</w:t>
      </w:r>
      <w:r>
        <w:rPr>
          <w:sz w:val="24"/>
        </w:rPr>
        <w:t xml:space="preserve"> </w:t>
      </w:r>
      <w:r>
        <w:rPr>
          <w:rFonts w:ascii="Times New Roman" w:hAnsi="Times New Roman" w:cs="Times New Roman"/>
          <w:sz w:val="24"/>
        </w:rPr>
        <w:t xml:space="preserve">VOI-selecting box was placed by comparison with the original manipulation </w:t>
      </w:r>
      <w:r>
        <w:rPr>
          <w:rFonts w:hint="eastAsia" w:ascii="Times New Roman" w:hAnsi="Times New Roman" w:cs="Times New Roman"/>
          <w:sz w:val="24"/>
        </w:rPr>
        <w:t>on</w:t>
      </w:r>
      <w:r>
        <w:rPr>
          <w:rFonts w:ascii="Times New Roman" w:hAnsi="Times New Roman" w:cs="Times New Roman"/>
          <w:sz w:val="24"/>
        </w:rPr>
        <w:t xml:space="preserve"> baseline images.</w:t>
      </w:r>
    </w:p>
    <w:p>
      <w:pPr>
        <w:spacing w:line="480" w:lineRule="auto"/>
        <w:rPr>
          <w:rFonts w:ascii="Times New Roman" w:hAnsi="Times New Roman" w:cs="Times New Roman"/>
          <w:sz w:val="24"/>
        </w:rPr>
      </w:pPr>
      <w:r>
        <w:rPr>
          <w:rFonts w:ascii="Times New Roman" w:hAnsi="Times New Roman" w:cs="Times New Roman"/>
          <w:sz w:val="24"/>
        </w:rPr>
        <w:t xml:space="preserve">WSS </w:t>
      </w:r>
      <w:r>
        <w:rPr>
          <w:rFonts w:hint="eastAsia" w:ascii="Times New Roman" w:hAnsi="Times New Roman" w:cs="Times New Roman"/>
          <w:sz w:val="24"/>
        </w:rPr>
        <w:t xml:space="preserve">in IAs </w:t>
      </w:r>
      <w:r>
        <w:rPr>
          <w:rFonts w:ascii="Times New Roman" w:hAnsi="Times New Roman" w:cs="Times New Roman"/>
          <w:sz w:val="24"/>
        </w:rPr>
        <w:t xml:space="preserve">was </w:t>
      </w:r>
      <w:r>
        <w:rPr>
          <w:rFonts w:hint="eastAsia" w:ascii="Times New Roman" w:hAnsi="Times New Roman" w:cs="Times New Roman"/>
          <w:sz w:val="24"/>
        </w:rPr>
        <w:t>explored</w:t>
      </w:r>
      <w:r>
        <w:rPr>
          <w:rFonts w:ascii="Times New Roman" w:hAnsi="Times New Roman" w:cs="Times New Roman"/>
          <w:sz w:val="24"/>
        </w:rPr>
        <w:t xml:space="preserve"> based on a validated quantitative method at all timepoints during a cardiac cycle.</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{"citationID":"eJEpw1gC","properties":{"formattedCitation":"[1]","plainCitation":"[1]","noteIndex":0},"citationItems":[{"id":857,"uris":["http://zotero.org/users/8338509/items/GU39QXX5"],"itemData":{"id":857,"type":"article-journal","abstract":"Purpose: To investigate the accuracy of wall shear stress (WSS) estimation using MRI. Specifically, to investigate the impact of different parameters and if MRI WSS estimates are monotonically related to actual WSS. Materials and Methods: The accuracy of WSS estimation using methods based on phase-contrast (PC) MRI velocity mapping, Fourier velocity encoding (FVE) and intravoxel velocity standard deviation mapping were studied using numerical simulations. The influence of spatial resolution, velocity encoding, wall segmentation, and voxel location were investigated over a range of WSS values. Results: WSS estimates were found to be sensitive to parameter settings in general and spatial resolution in particular. All methods underestimated WSS, except for the FVE-based method, which instead was extremely sensitive to voxel position relative to the wall. Methods using PC-based WSS estimation with wall segmentation showed to be accurate for low WSS, but were sensitive to segmentation errors. Conclusion: Even in the absence of noise and for relatively simple velocity profiles, MRI WSS estimates cannot always be assumed to be linearly or even monotonically related to actual WSS. High WSS values cannot be resolved and the estimates depend on parameter setting. Nevertheless, distinguishing areas of low and moderate WSS may be feasible. J. Magn. Reson. Imaging 2012;36:128–138. © 2012 Wiley Periodicals, Inc.","container-title":"Journal of Magnetic Resonance Imaging","DOI":"10.1002/jmri.23610","ISSN":"1522-2586","issue":"1","language":"en","note":"_eprint: https://onlinelibrary.wiley.com/doi/pdf/10.1002/jmri.23610","page":"128-138","source":"Wiley Online Library","title":"Assessment of the accuracy of MRI wall shear stress estimation using numerical simulations","volume":"36","author":[{"family":"Petersson","given":"Sven"},{"family":"Dyverfeldt","given":"Petter"},{"family":"Ebbers","given":"Tino"}],"issued":{"date-parts":[["2012"]]}}}],"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kern w:val="0"/>
          <w:sz w:val="24"/>
        </w:rPr>
        <w:t>[1]</w:t>
      </w:r>
      <w:r>
        <w:rPr>
          <w:rFonts w:ascii="Times New Roman" w:hAnsi="Times New Roman" w:cs="Times New Roman"/>
          <w:sz w:val="24"/>
        </w:rPr>
        <w:fldChar w:fldCharType="end"/>
      </w:r>
      <w:r>
        <w:rPr>
          <w:rFonts w:hint="eastAsia" w:ascii="Times New Roman" w:hAnsi="Times New Roman" w:cs="Times New Roman"/>
          <w:sz w:val="24"/>
        </w:rPr>
        <w:t xml:space="preserve"> Hence</w:t>
      </w:r>
      <w:r>
        <w:rPr>
          <w:rFonts w:ascii="Times New Roman" w:hAnsi="Times New Roman" w:cs="Times New Roman"/>
          <w:sz w:val="24"/>
        </w:rPr>
        <w:t>, the time-averaged WSS</w:t>
      </w:r>
      <w:r>
        <w:rPr>
          <w:rFonts w:hint="eastAsia" w:ascii="Times New Roman" w:hAnsi="Times New Roman" w:cs="Times New Roman"/>
          <w:sz w:val="24"/>
        </w:rPr>
        <w:t xml:space="preserve"> (</w:t>
      </w:r>
      <w:r>
        <w:rPr>
          <w:rFonts w:ascii="Times New Roman" w:hAnsi="Times New Roman" w:cs="Times New Roman"/>
          <w:sz w:val="24"/>
        </w:rPr>
        <w:t>aWSS</w:t>
      </w:r>
      <w:r>
        <w:rPr>
          <w:rFonts w:hint="eastAsia" w:ascii="Times New Roman" w:hAnsi="Times New Roman" w:cs="Times New Roman"/>
          <w:sz w:val="24"/>
        </w:rPr>
        <w:t>)</w:t>
      </w:r>
      <w:r>
        <w:rPr>
          <w:rFonts w:ascii="Times New Roman" w:hAnsi="Times New Roman" w:cs="Times New Roman"/>
          <w:sz w:val="24"/>
        </w:rPr>
        <w:t>, was calculated at all time</w:t>
      </w:r>
      <w:r>
        <w:rPr>
          <w:rFonts w:hint="eastAsia" w:ascii="Times New Roman" w:hAnsi="Times New Roman" w:cs="Times New Roman"/>
          <w:sz w:val="24"/>
        </w:rPr>
        <w:t xml:space="preserve"> </w:t>
      </w:r>
      <w:r>
        <w:rPr>
          <w:rFonts w:ascii="Times New Roman" w:hAnsi="Times New Roman" w:cs="Times New Roman"/>
          <w:sz w:val="24"/>
        </w:rPr>
        <w:t>points</w:t>
      </w:r>
      <w:r>
        <w:rPr>
          <w:rFonts w:hint="eastAsia" w:ascii="Times New Roman" w:hAnsi="Times New Roman" w:cs="Times New Roman"/>
          <w:sz w:val="24"/>
        </w:rPr>
        <w:t xml:space="preserve"> based on the </w:t>
      </w:r>
      <w:r>
        <w:rPr>
          <w:rFonts w:ascii="Times New Roman" w:hAnsi="Times New Roman" w:cs="Times New Roman"/>
          <w:sz w:val="24"/>
        </w:rPr>
        <w:t xml:space="preserve">obtained WSS, as </w:t>
      </w:r>
      <w:r>
        <w:rPr>
          <w:rFonts w:hint="eastAsia" w:ascii="Times New Roman" w:hAnsi="Times New Roman" w:cs="Times New Roman"/>
          <w:sz w:val="24"/>
        </w:rPr>
        <w:t xml:space="preserve">the </w:t>
      </w:r>
      <w:r>
        <w:rPr>
          <w:rFonts w:ascii="Times New Roman" w:hAnsi="Times New Roman" w:cs="Times New Roman"/>
          <w:sz w:val="24"/>
        </w:rPr>
        <w:t xml:space="preserve">following </w:t>
      </w:r>
      <w:r>
        <w:rPr>
          <w:rFonts w:hint="eastAsia" w:ascii="Times New Roman" w:hAnsi="Times New Roman" w:cs="Times New Roman"/>
          <w:sz w:val="24"/>
        </w:rPr>
        <w:t>formula</w:t>
      </w:r>
      <w:r>
        <w:rPr>
          <w:rFonts w:ascii="Times New Roman" w:hAnsi="Times New Roman" w:cs="Times New Roman"/>
          <w:sz w:val="24"/>
        </w:rPr>
        <w:t>:</w:t>
      </w:r>
    </w:p>
    <w:p>
      <w:pPr>
        <w:spacing w:line="480" w:lineRule="auto"/>
        <w:rPr>
          <w:rFonts w:ascii="Times New Roman" w:hAnsi="Times New Roman" w:cs="Times New Roman"/>
          <w:sz w:val="24"/>
        </w:rPr>
      </w:pPr>
      <m:oMathPara>
        <m:oMath>
          <m:r>
            <m:rPr>
              <m:sty m:val="p"/>
            </m:rPr>
            <w:rPr>
              <w:rFonts w:ascii="Cambria Math" w:hAnsi="Cambria Math" w:cs="Times New Roman"/>
              <w:sz w:val="24"/>
            </w:rPr>
            <m:t>aWSS=</m:t>
          </m:r>
          <m:f>
            <m:fPr>
              <m:ctrlPr>
                <w:rPr>
                  <w:rFonts w:ascii="Cambria Math" w:hAnsi="Cambria Math" w:cs="Times New Roman"/>
                  <w:sz w:val="24"/>
                </w:rPr>
              </m:ctrlPr>
            </m:fPr>
            <m:num>
              <m:r>
                <m:rPr>
                  <m:sty m:val="p"/>
                </m:rPr>
                <w:rPr>
                  <w:rFonts w:ascii="Cambria Math" w:hAnsi="Cambria Math" w:cs="Times New Roman"/>
                  <w:sz w:val="24"/>
                </w:rPr>
                <m:t>1</m:t>
              </m:r>
              <m:ctrlPr>
                <w:rPr>
                  <w:rFonts w:ascii="Cambria Math" w:hAnsi="Cambria Math" w:cs="Times New Roman"/>
                  <w:sz w:val="24"/>
                </w:rPr>
              </m:ctrlPr>
            </m:num>
            <m:den>
              <m:r>
                <m:rPr>
                  <m:sty m:val="p"/>
                </m:rPr>
                <w:rPr>
                  <w:rFonts w:ascii="Cambria Math" w:hAnsi="Cambria Math" w:cs="Times New Roman"/>
                  <w:sz w:val="24"/>
                </w:rPr>
                <m:t>T</m:t>
              </m:r>
              <m:ctrlPr>
                <w:rPr>
                  <w:rFonts w:ascii="Cambria Math" w:hAnsi="Cambria Math" w:cs="Times New Roman"/>
                  <w:sz w:val="24"/>
                </w:rPr>
              </m:ctrlPr>
            </m:den>
          </m:f>
          <m:nary>
            <m:naryPr>
              <m:limLoc m:val="undOvr"/>
              <m:ctrlPr>
                <w:rPr>
                  <w:rFonts w:ascii="Cambria Math" w:hAnsi="Cambria Math" w:cs="Times New Roman"/>
                  <w:sz w:val="24"/>
                </w:rPr>
              </m:ctrlPr>
            </m:naryPr>
            <m:sub>
              <m:r>
                <m:rPr>
                  <m:sty m:val="p"/>
                </m:rPr>
                <w:rPr>
                  <w:rFonts w:ascii="Cambria Math" w:hAnsi="Cambria Math" w:cs="Times New Roman"/>
                  <w:sz w:val="24"/>
                </w:rPr>
                <m:t>0</m:t>
              </m:r>
              <m:ctrlPr>
                <w:rPr>
                  <w:rFonts w:ascii="Cambria Math" w:hAnsi="Cambria Math" w:cs="Times New Roman"/>
                  <w:sz w:val="24"/>
                </w:rPr>
              </m:ctrlPr>
            </m:sub>
            <m:sup>
              <m:r>
                <m:rPr>
                  <m:sty m:val="p"/>
                </m:rPr>
                <w:rPr>
                  <w:rFonts w:ascii="Cambria Math" w:hAnsi="Cambria Math" w:cs="Times New Roman"/>
                  <w:sz w:val="24"/>
                </w:rPr>
                <m:t>τ</m:t>
              </m:r>
              <m:ctrlPr>
                <w:rPr>
                  <w:rFonts w:ascii="Cambria Math" w:hAnsi="Cambria Math" w:cs="Times New Roman"/>
                  <w:sz w:val="24"/>
                </w:rPr>
              </m:ctrlPr>
            </m:sup>
            <m:e>
              <m:d>
                <m:dPr>
                  <m:begChr m:val="|"/>
                  <m:endChr m:val="|"/>
                  <m:ctrlPr>
                    <w:rPr>
                      <w:rFonts w:ascii="Cambria Math" w:hAnsi="Cambria Math" w:cs="Times New Roman"/>
                      <w:sz w:val="24"/>
                    </w:rPr>
                  </m:ctrlPr>
                </m:dPr>
                <m:e>
                  <m:acc>
                    <m:accPr>
                      <m:chr m:val="⃗"/>
                      <m:ctrlPr>
                        <w:rPr>
                          <w:rFonts w:ascii="Cambria Math" w:hAnsi="Cambria Math" w:cs="Times New Roman"/>
                          <w:sz w:val="24"/>
                        </w:rPr>
                      </m:ctrlPr>
                    </m:accPr>
                    <m:e>
                      <m:sSub>
                        <m:sSubPr>
                          <m:ctrlPr>
                            <w:rPr>
                              <w:rFonts w:ascii="Cambria Math" w:hAnsi="Cambria Math" w:cs="Times New Roman"/>
                              <w:sz w:val="24"/>
                            </w:rPr>
                          </m:ctrlPr>
                        </m:sSubPr>
                        <m:e>
                          <m:r>
                            <m:rPr>
                              <m:sty m:val="p"/>
                            </m:rPr>
                            <w:rPr>
                              <w:rFonts w:ascii="Cambria Math" w:hAnsi="Cambria Math" w:cs="Times New Roman"/>
                              <w:sz w:val="24"/>
                            </w:rPr>
                            <m:t>wss</m:t>
                          </m:r>
                          <m:ctrlPr>
                            <w:rPr>
                              <w:rFonts w:ascii="Cambria Math" w:hAnsi="Cambria Math" w:cs="Times New Roman"/>
                              <w:sz w:val="24"/>
                            </w:rPr>
                          </m:ctrlPr>
                        </m:e>
                        <m:sub>
                          <m:r>
                            <m:rPr>
                              <m:sty m:val="p"/>
                            </m:rPr>
                            <w:rPr>
                              <w:rFonts w:ascii="Cambria Math" w:hAnsi="Cambria Math" w:cs="Times New Roman"/>
                              <w:sz w:val="24"/>
                            </w:rPr>
                            <m:t>i</m:t>
                          </m:r>
                          <m:ctrlPr>
                            <w:rPr>
                              <w:rFonts w:ascii="Cambria Math" w:hAnsi="Cambria Math" w:cs="Times New Roman"/>
                              <w:sz w:val="24"/>
                            </w:rPr>
                          </m:ctrlPr>
                        </m:sub>
                      </m:sSub>
                      <m:ctrlPr>
                        <w:rPr>
                          <w:rFonts w:ascii="Cambria Math" w:hAnsi="Cambria Math" w:cs="Times New Roman"/>
                          <w:sz w:val="24"/>
                        </w:rPr>
                      </m:ctrlPr>
                    </m:e>
                  </m:acc>
                  <m:ctrlPr>
                    <w:rPr>
                      <w:rFonts w:ascii="Cambria Math" w:hAnsi="Cambria Math" w:cs="Times New Roman"/>
                      <w:sz w:val="24"/>
                    </w:rPr>
                  </m:ctrlPr>
                </m:e>
              </m:d>
              <m:r>
                <m:rPr>
                  <m:sty m:val="p"/>
                </m:rPr>
                <w:rPr>
                  <w:rFonts w:ascii="Cambria Math" w:hAnsi="Cambria Math" w:cs="Times New Roman"/>
                  <w:sz w:val="24"/>
                </w:rPr>
                <m:t>dt</m:t>
              </m:r>
              <m:ctrlPr>
                <w:rPr>
                  <w:rFonts w:ascii="Cambria Math" w:hAnsi="Cambria Math" w:cs="Times New Roman"/>
                  <w:sz w:val="24"/>
                </w:rPr>
              </m:ctrlPr>
            </m:e>
          </m:nary>
        </m:oMath>
      </m:oMathPara>
    </w:p>
    <w:p>
      <w:pPr>
        <w:spacing w:line="480" w:lineRule="auto"/>
        <w:rPr>
          <w:rFonts w:ascii="Times New Roman" w:hAnsi="Times New Roman" w:cs="Times New Roman"/>
          <w:b/>
          <w:bCs/>
          <w:sz w:val="24"/>
        </w:rPr>
      </w:pPr>
      <w:r>
        <w:rPr>
          <w:rFonts w:hint="eastAsia" w:ascii="Times New Roman" w:hAnsi="Times New Roman" w:cs="Times New Roman"/>
          <w:sz w:val="24"/>
        </w:rPr>
        <w:t>H</w:t>
      </w:r>
      <w:r>
        <w:rPr>
          <w:rFonts w:ascii="Times New Roman" w:hAnsi="Times New Roman" w:cs="Times New Roman"/>
          <w:sz w:val="24"/>
        </w:rPr>
        <w:t>emodynamic parameters</w:t>
      </w:r>
      <w:r>
        <w:rPr>
          <w:rFonts w:hint="eastAsia" w:ascii="Times New Roman" w:hAnsi="Times New Roman" w:cs="Times New Roman"/>
          <w:sz w:val="24"/>
          <w:vertAlign w:val="subscript"/>
        </w:rPr>
        <w:t xml:space="preserve"> </w:t>
      </w:r>
      <w:r>
        <w:rPr>
          <w:rFonts w:ascii="Times New Roman" w:hAnsi="Times New Roman" w:cs="Times New Roman"/>
          <w:sz w:val="24"/>
        </w:rPr>
        <w:t xml:space="preserve">in the APA </w:t>
      </w:r>
      <w:r>
        <w:rPr>
          <w:rFonts w:hint="eastAsia" w:ascii="Times New Roman" w:hAnsi="Times New Roman" w:cs="Times New Roman"/>
          <w:sz w:val="24"/>
        </w:rPr>
        <w:t>(</w:t>
      </w:r>
      <w:r>
        <w:rPr>
          <w:rFonts w:ascii="Times New Roman" w:hAnsi="Times New Roman" w:cs="Times New Roman"/>
          <w:sz w:val="24"/>
        </w:rPr>
        <w:t>V</w:t>
      </w:r>
      <w:r>
        <w:rPr>
          <w:rFonts w:ascii="Times New Roman" w:hAnsi="Times New Roman" w:cs="Times New Roman"/>
          <w:sz w:val="24"/>
          <w:vertAlign w:val="subscript"/>
        </w:rPr>
        <w:t>APA</w:t>
      </w:r>
      <w:r>
        <w:rPr>
          <w:rFonts w:hint="eastAsia" w:ascii="Times New Roman" w:hAnsi="Times New Roman" w:cs="Times New Roman"/>
          <w:sz w:val="24"/>
        </w:rPr>
        <w:t xml:space="preserve"> and </w:t>
      </w:r>
      <w:r>
        <w:rPr>
          <w:rFonts w:ascii="Times New Roman" w:hAnsi="Times New Roman" w:cs="Times New Roman"/>
          <w:sz w:val="24"/>
        </w:rPr>
        <w:t>Flow</w:t>
      </w:r>
      <w:r>
        <w:rPr>
          <w:rFonts w:ascii="Times New Roman" w:hAnsi="Times New Roman" w:cs="Times New Roman"/>
          <w:sz w:val="24"/>
          <w:vertAlign w:val="subscript"/>
        </w:rPr>
        <w:t>APA</w:t>
      </w:r>
      <w:r>
        <w:rPr>
          <w:rFonts w:hint="eastAsia" w:ascii="Times New Roman" w:hAnsi="Times New Roman" w:cs="Times New Roman"/>
          <w:sz w:val="24"/>
        </w:rPr>
        <w:t xml:space="preserve">) </w:t>
      </w:r>
      <w:r>
        <w:rPr>
          <w:rFonts w:ascii="Times New Roman" w:hAnsi="Times New Roman" w:cs="Times New Roman"/>
          <w:sz w:val="24"/>
        </w:rPr>
        <w:t xml:space="preserve">were also explored at the cross-sectional plane of </w:t>
      </w:r>
      <w:r>
        <w:rPr>
          <w:rFonts w:hint="eastAsia" w:ascii="Times New Roman" w:hAnsi="Times New Roman" w:cs="Times New Roman"/>
          <w:sz w:val="24"/>
        </w:rPr>
        <w:t>each</w:t>
      </w:r>
      <w:r>
        <w:rPr>
          <w:rFonts w:ascii="Times New Roman" w:hAnsi="Times New Roman" w:cs="Times New Roman"/>
          <w:sz w:val="24"/>
        </w:rPr>
        <w:t xml:space="preserve"> artery (e.g., the C2 level of the cross-sectional</w:t>
      </w:r>
      <w:r>
        <w:rPr>
          <w:rFonts w:hint="eastAsia" w:ascii="Times New Roman" w:hAnsi="Times New Roman" w:cs="Times New Roman"/>
          <w:sz w:val="24"/>
        </w:rPr>
        <w:t xml:space="preserve"> </w:t>
      </w:r>
      <w:r>
        <w:rPr>
          <w:rFonts w:ascii="Times New Roman" w:hAnsi="Times New Roman" w:cs="Times New Roman"/>
          <w:sz w:val="24"/>
        </w:rPr>
        <w:t>plane in the internal carotid artery),</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{"citationID":"xVApvYo3","properties":{"formattedCitation":"[2]","plainCitation":"[2]","noteIndex":0},"citationItems":[{"id":751,"uris":["http://zotero.org/users/8338509/items/VP7W826S"],"itemData":{"id":751,"type":"article-journal","abstract":"BACKGROUND \n        The hemodynamic changes that occur after high-flow (extracranial–intracranial) EC-IC bypass surgery with internal carotid artery (ICA) ligation are not well known.\n        OBJECTIVE \n        To assess blood flow changes after high-flow EC-IC bypass with ICA ligation by time-resolved 3-dimensional phase-contrast (4D Flow) magnetic resonance imaging (MRI).\n        METHODS \n        We enrolled 11 patients who underwent high-flow EC-IC bypass. 4D Flow MRI was performed before and after surgery to quantify the blood flow volume (BFV) of the ipsilateral ICA (BFViICA), bypass artery (BFVbypass), contralateral ICA (BFVcICA), and basilar artery (BFVBA). Subsequently, we calculated the total BFV (BFVtotal = BFViICA + BFVcICA + BFVBA [before surgery], BFVcICA + BFVBA + BFVbypass [after surgery]). The BFV changes after bypass was statistically analyzed.\n        RESULTS \n        BFVbypass was slightly lower than BFViICA, but the difference was not statistically significant (3.84 ± 0.94 vs 4.42 ± 1.38 mL/s). The BFVcICA and BFVBA significantly increased after bypass surgery (BFVcICA 5.89 ± 1.44 vs 7.22 ± 1.37 mL/s [P = .0018], BFVBA 3.06 ± 0.41 vs 4.12 ± 0.38 mL/s [P &lt; .001]). The BFVtotal significantly increased after surgery (13.37 ± 2.58 vs 15.18 ± 1.77 mL/s [P = .015]). There was no evidence of hyperperfusion syndrome in any cases.\n        CONCLUSION \n        After high-flow EC-IC bypass with permanent ICA ligation, the bypass artery could partially compensate for the loss of BFV of the sacrificed ICA. The increased flow of the contralateral ICA and BA supply collateral blood flow. Clinically irrelevant hyperperfusion was observed.","container-title":"Neurosurgery","DOI":"10.1093/neuros/nyy192","ISSN":"0148-396X","issue":"1","language":"en-US","page":"58–64","source":"journals.lww.com","title":"Four-Dimensional Flow MRI Analysis of Cerebral Blood Flow Before and After High-Flow Extracranial–Intracranial Bypass Surgery With Internal Carotid Artery Ligation","volume":"85","author":[{"family":"Orita","given":"Erika"},{"family":"Murai","given":"Yasuo"},{"family":"Sekine","given":"Tetsuro"},{"family":"Takagi","given":"Ryo"},{"family":"Amano","given":"Yasuo"},{"family":"Ando","given":"Takahiro"},{"family":"Iwata","given":"Kotomi"},{"family":"Obara","given":"Makoto"},{"family":"Kumita","given":"Shinichiro"}],"issued":{"date-parts":[["2019",7]]}}}],"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kern w:val="0"/>
          <w:sz w:val="24"/>
        </w:rPr>
        <w:t>[2]</w:t>
      </w:r>
      <w:r>
        <w:rPr>
          <w:rFonts w:ascii="Times New Roman" w:hAnsi="Times New Roman" w:cs="Times New Roman"/>
          <w:sz w:val="24"/>
        </w:rPr>
        <w:fldChar w:fldCharType="end"/>
      </w:r>
      <w:r>
        <w:rPr>
          <w:rFonts w:ascii="Times New Roman" w:hAnsi="Times New Roman" w:cs="Times New Roman"/>
          <w:sz w:val="24"/>
        </w:rPr>
        <w:t xml:space="preserve"> which was realized by an squeezing VOI-selecting box with its thickness was 1mm (</w:t>
      </w:r>
      <w:r>
        <w:rPr>
          <w:rFonts w:hint="eastAsia" w:ascii="Times New Roman" w:hAnsi="Times New Roman" w:eastAsia="Times-Roman" w:cs="Times New Roman"/>
          <w:b/>
          <w:color w:val="231F20"/>
          <w:kern w:val="0"/>
          <w:sz w:val="24"/>
          <w:lang w:bidi="ar"/>
        </w:rPr>
        <w:t>Figure</w:t>
      </w:r>
      <w:r>
        <w:rPr>
          <w:rFonts w:ascii="Times New Roman" w:hAnsi="Times New Roman" w:eastAsia="Times-Roman" w:cs="Times New Roman"/>
          <w:b/>
          <w:color w:val="231F20"/>
          <w:kern w:val="0"/>
          <w:sz w:val="24"/>
          <w:lang w:bidi="ar"/>
        </w:rPr>
        <w:t xml:space="preserve"> </w:t>
      </w:r>
      <w:r>
        <w:rPr>
          <w:rFonts w:hint="eastAsia" w:ascii="Times New Roman" w:hAnsi="Times New Roman" w:eastAsia="Times-Roman" w:cs="Times New Roman"/>
          <w:b/>
          <w:color w:val="231F20"/>
          <w:kern w:val="0"/>
          <w:sz w:val="24"/>
          <w:lang w:bidi="ar"/>
        </w:rPr>
        <w:t>S1</w:t>
      </w:r>
      <w:r>
        <w:rPr>
          <w:rFonts w:ascii="Times New Roman" w:hAnsi="Times New Roman" w:eastAsia="Times-Roman" w:cs="Times New Roman"/>
          <w:b/>
          <w:color w:val="231F20"/>
          <w:kern w:val="0"/>
          <w:sz w:val="24"/>
          <w:lang w:bidi="ar"/>
        </w:rPr>
        <w:t>B</w:t>
      </w:r>
      <w:r>
        <w:rPr>
          <w:rFonts w:ascii="Times New Roman" w:hAnsi="Times New Roman" w:cs="Times New Roman"/>
          <w:sz w:val="24"/>
        </w:rPr>
        <w:t xml:space="preserve">). After nifedipine treatment, the same segments were chosen by comparison with the selected segments </w:t>
      </w:r>
      <w:r>
        <w:rPr>
          <w:rFonts w:hint="eastAsia" w:ascii="Times New Roman" w:hAnsi="Times New Roman" w:cs="Times New Roman"/>
          <w:sz w:val="24"/>
        </w:rPr>
        <w:t>on</w:t>
      </w:r>
      <w:r>
        <w:rPr>
          <w:rFonts w:ascii="Times New Roman" w:hAnsi="Times New Roman" w:cs="Times New Roman"/>
          <w:sz w:val="24"/>
        </w:rPr>
        <w:t xml:space="preserve"> baseline images.</w:t>
      </w:r>
    </w:p>
    <w:p>
      <w:pPr>
        <w:pStyle w:val="10"/>
        <w:autoSpaceDE w:val="0"/>
        <w:autoSpaceDN w:val="0"/>
        <w:adjustRightInd w:val="0"/>
        <w:spacing w:line="480" w:lineRule="auto"/>
        <w:ind w:left="0"/>
        <w:rPr>
          <w:rFonts w:ascii="Times New Roman" w:hAnsi="Times New Roman" w:cs="Times New Roman"/>
          <w:b/>
          <w:bCs/>
          <w:sz w:val="24"/>
          <w:szCs w:val="24"/>
        </w:rPr>
      </w:pPr>
      <w:r>
        <w:rPr>
          <w:rFonts w:hint="eastAsia" w:ascii="Times New Roman" w:hAnsi="Times New Roman" w:cs="Times New Roman"/>
          <w:b/>
          <w:bCs/>
          <w:sz w:val="24"/>
          <w:szCs w:val="24"/>
        </w:rPr>
        <w:t>Associations between BP reduction and c</w:t>
      </w:r>
      <w:r>
        <w:rPr>
          <w:rFonts w:ascii="Times New Roman" w:hAnsi="Times New Roman" w:cs="Times New Roman"/>
          <w:b/>
          <w:bCs/>
          <w:sz w:val="24"/>
          <w:szCs w:val="24"/>
        </w:rPr>
        <w:t xml:space="preserve">hanges in </w:t>
      </w:r>
      <w:r>
        <w:rPr>
          <w:rFonts w:hint="eastAsia" w:ascii="Times New Roman" w:hAnsi="Times New Roman" w:cs="Times New Roman"/>
          <w:b/>
          <w:bCs/>
          <w:sz w:val="24"/>
          <w:szCs w:val="24"/>
        </w:rPr>
        <w:t xml:space="preserve">IA </w:t>
      </w:r>
      <w:r>
        <w:rPr>
          <w:rFonts w:ascii="Times New Roman" w:hAnsi="Times New Roman" w:cs="Times New Roman"/>
          <w:b/>
          <w:bCs/>
          <w:sz w:val="24"/>
          <w:szCs w:val="24"/>
        </w:rPr>
        <w:t>hemodynamics</w:t>
      </w:r>
    </w:p>
    <w:p>
      <w:pPr>
        <w:widowControl/>
        <w:spacing w:line="480" w:lineRule="auto"/>
        <w:rPr>
          <w:rFonts w:ascii="Times New Roman" w:hAnsi="Times New Roman" w:cs="Times New Roman"/>
          <w:sz w:val="24"/>
        </w:rPr>
      </w:pPr>
      <w:r>
        <w:rPr>
          <w:rFonts w:hint="eastAsia" w:ascii="Times New Roman" w:hAnsi="Times New Roman" w:cs="Times New Roman"/>
          <w:sz w:val="24"/>
        </w:rPr>
        <w:t xml:space="preserve">To better </w:t>
      </w:r>
      <w:r>
        <w:rPr>
          <w:rFonts w:ascii="Times New Roman" w:hAnsi="Times New Roman" w:cs="Times New Roman"/>
          <w:sz w:val="24"/>
        </w:rPr>
        <w:t xml:space="preserve">delineate </w:t>
      </w:r>
      <w:r>
        <w:rPr>
          <w:rFonts w:hint="eastAsia" w:ascii="Times New Roman" w:hAnsi="Times New Roman" w:cs="Times New Roman"/>
          <w:sz w:val="24"/>
        </w:rPr>
        <w:t xml:space="preserve">inter-patient and individual IAs </w:t>
      </w:r>
      <w:r>
        <w:rPr>
          <w:rFonts w:ascii="Times New Roman" w:hAnsi="Times New Roman" w:cs="Times New Roman"/>
          <w:sz w:val="24"/>
        </w:rPr>
        <w:t>variations, the change in each parameter was defined as the ratio of the changed value to the value before nifedipine treatment:</w:t>
      </w:r>
    </w:p>
    <w:p>
      <w:pPr>
        <w:spacing w:line="480" w:lineRule="auto"/>
        <w:rPr>
          <w:rFonts w:ascii="Times New Roman" w:hAnsi="Times New Roman" w:eastAsia="微软雅黑" w:cs="Times New Roman"/>
          <w:sz w:val="24"/>
        </w:rPr>
      </w:pPr>
      <m:oMathPara>
        <m:oMath>
          <m:r>
            <m:rPr/>
            <w:rPr>
              <w:rFonts w:ascii="Cambria Math" w:hAnsi="Cambria Math" w:eastAsia="微软雅黑" w:cs="Times New Roman"/>
              <w:sz w:val="24"/>
            </w:rPr>
            <m:t>Cℎange</m:t>
          </m:r>
          <m:r>
            <m:rPr>
              <m:sty m:val="p"/>
            </m:rPr>
            <w:rPr>
              <w:rFonts w:ascii="Cambria Math" w:hAnsi="Cambria Math" w:eastAsia="微软雅黑" w:cs="Times New Roman"/>
              <w:sz w:val="24"/>
            </w:rPr>
            <m:t xml:space="preserve">= </m:t>
          </m:r>
          <m:f>
            <m:fPr>
              <m:ctrlPr>
                <w:rPr>
                  <w:rFonts w:ascii="Cambria Math" w:hAnsi="Cambria Math" w:eastAsia="Cambria Math" w:cs="Times New Roman"/>
                  <w:sz w:val="24"/>
                </w:rPr>
              </m:ctrlPr>
            </m:fPr>
            <m:num>
              <m:r>
                <m:rPr/>
                <w:rPr>
                  <w:rFonts w:ascii="Cambria Math" w:hAnsi="Cambria Math" w:eastAsia="微软雅黑" w:cs="Times New Roman"/>
                  <w:sz w:val="24"/>
                </w:rPr>
                <m:t>Post−Pre</m:t>
              </m:r>
              <m:ctrlPr>
                <w:rPr>
                  <w:rFonts w:ascii="Cambria Math" w:hAnsi="Cambria Math" w:eastAsia="Cambria Math" w:cs="Times New Roman"/>
                  <w:sz w:val="24"/>
                </w:rPr>
              </m:ctrlPr>
            </m:num>
            <m:den>
              <m:r>
                <m:rPr/>
                <w:rPr>
                  <w:rFonts w:ascii="Cambria Math" w:hAnsi="Cambria Math" w:eastAsia="微软雅黑" w:cs="Times New Roman"/>
                  <w:sz w:val="24"/>
                </w:rPr>
                <m:t>Pre</m:t>
              </m:r>
              <m:ctrlPr>
                <w:rPr>
                  <w:rFonts w:ascii="Cambria Math" w:hAnsi="Cambria Math" w:eastAsia="Cambria Math" w:cs="Times New Roman"/>
                  <w:sz w:val="24"/>
                </w:rPr>
              </m:ctrlPr>
            </m:den>
          </m:f>
        </m:oMath>
      </m:oMathPara>
    </w:p>
    <w:p>
      <w:pPr>
        <w:widowControl/>
        <w:spacing w:line="480" w:lineRule="auto"/>
        <w:rPr>
          <w:rFonts w:ascii="Times New Roman" w:hAnsi="Times New Roman" w:cs="Times New Roman"/>
          <w:sz w:val="24"/>
        </w:rPr>
      </w:pPr>
      <w:r>
        <w:rPr>
          <w:rFonts w:hint="eastAsia" w:ascii="Times New Roman" w:hAnsi="Times New Roman" w:cs="Times New Roman"/>
          <w:sz w:val="24"/>
        </w:rPr>
        <w:t>T</w:t>
      </w:r>
      <w:r>
        <w:rPr>
          <w:rFonts w:ascii="Times New Roman" w:hAnsi="Times New Roman" w:cs="Times New Roman"/>
          <w:sz w:val="24"/>
        </w:rPr>
        <w:t xml:space="preserve">o investigate whether changes in </w:t>
      </w:r>
      <w:r>
        <w:rPr>
          <w:rFonts w:hint="eastAsia" w:ascii="Times New Roman" w:hAnsi="Times New Roman" w:cs="Times New Roman"/>
          <w:sz w:val="24"/>
        </w:rPr>
        <w:t xml:space="preserve">hemodynamics </w:t>
      </w:r>
      <w:r>
        <w:rPr>
          <w:rFonts w:ascii="Times New Roman" w:hAnsi="Times New Roman" w:cs="Times New Roman"/>
          <w:sz w:val="24"/>
        </w:rPr>
        <w:t>were BP-dependent, Pearson’</w:t>
      </w:r>
      <w:r>
        <w:rPr>
          <w:rFonts w:hint="eastAsia" w:ascii="Times New Roman" w:hAnsi="Times New Roman" w:cs="Times New Roman"/>
          <w:sz w:val="24"/>
        </w:rPr>
        <w:t>s</w:t>
      </w:r>
      <w:r>
        <w:rPr>
          <w:rFonts w:ascii="Times New Roman" w:hAnsi="Times New Roman" w:cs="Times New Roman"/>
          <w:sz w:val="24"/>
        </w:rPr>
        <w:t xml:space="preserve"> correlation coefficient</w:t>
      </w:r>
      <w:r>
        <w:rPr>
          <w:rFonts w:hint="eastAsia" w:ascii="Times New Roman" w:hAnsi="Times New Roman" w:cs="Times New Roman"/>
          <w:sz w:val="24"/>
        </w:rPr>
        <w:t>s</w:t>
      </w:r>
      <w:r>
        <w:rPr>
          <w:rFonts w:ascii="Times New Roman" w:hAnsi="Times New Roman" w:cs="Times New Roman"/>
          <w:sz w:val="24"/>
        </w:rPr>
        <w:t xml:space="preserve"> was used to assess correlations between the magnitude of BP reduction </w:t>
      </w:r>
      <w:r>
        <w:rPr>
          <w:rFonts w:hint="eastAsia" w:ascii="Times New Roman" w:hAnsi="Times New Roman" w:cs="Times New Roman"/>
          <w:sz w:val="24"/>
        </w:rPr>
        <w:t>and</w:t>
      </w:r>
      <w:r>
        <w:rPr>
          <w:rFonts w:ascii="Times New Roman" w:hAnsi="Times New Roman" w:cs="Times New Roman"/>
          <w:sz w:val="24"/>
        </w:rPr>
        <w:t xml:space="preserve"> hemodynamic</w:t>
      </w:r>
      <w:r>
        <w:rPr>
          <w:rFonts w:hint="eastAsia" w:ascii="Times New Roman" w:hAnsi="Times New Roman" w:cs="Times New Roman"/>
          <w:sz w:val="24"/>
        </w:rPr>
        <w:t xml:space="preserve"> </w:t>
      </w:r>
      <w:r>
        <w:rPr>
          <w:rFonts w:ascii="Times New Roman" w:hAnsi="Times New Roman" w:cs="Times New Roman"/>
          <w:sz w:val="24"/>
        </w:rPr>
        <w:t xml:space="preserve">changes </w:t>
      </w:r>
      <w:r>
        <w:rPr>
          <w:rFonts w:hint="eastAsia" w:ascii="Times New Roman" w:hAnsi="Times New Roman" w:cs="Times New Roman"/>
          <w:sz w:val="24"/>
        </w:rPr>
        <w:t>in IAs and APAs</w:t>
      </w:r>
      <w:r>
        <w:rPr>
          <w:rFonts w:ascii="Times New Roman" w:hAnsi="Times New Roman" w:cs="Times New Roman"/>
          <w:sz w:val="24"/>
        </w:rPr>
        <w:t>.</w:t>
      </w:r>
    </w:p>
    <w:p>
      <w:pPr>
        <w:widowControl/>
        <w:spacing w:line="360" w:lineRule="auto"/>
        <w:rPr>
          <w:rFonts w:ascii="Times New Roman" w:hAnsi="Times New Roman" w:eastAsia="CIDFont" w:cs="Times New Roman"/>
          <w:b/>
          <w:bCs/>
          <w:color w:val="000000"/>
          <w:kern w:val="0"/>
          <w:sz w:val="24"/>
          <w:lang w:bidi="ar"/>
        </w:rPr>
      </w:pPr>
      <w:r>
        <w:rPr>
          <w:rFonts w:ascii="Times New Roman" w:hAnsi="Times New Roman" w:cs="Times New Roman"/>
          <w:b/>
          <w:bCs/>
          <w:sz w:val="24"/>
        </w:rPr>
        <w:t>Anti-hypertensive treatment protocol</w:t>
      </w:r>
    </w:p>
    <w:p>
      <w:pPr>
        <w:widowControl/>
        <w:spacing w:line="480" w:lineRule="auto"/>
        <w:rPr>
          <w:rFonts w:ascii="Times New Roman" w:hAnsi="Times New Roman" w:cs="Times New Roman"/>
          <w:b/>
          <w:bCs/>
          <w:sz w:val="24"/>
        </w:rPr>
      </w:pPr>
      <w:r>
        <w:rPr>
          <w:rFonts w:hint="eastAsia" w:ascii="Times New Roman" w:hAnsi="Times New Roman" w:cs="Times New Roman"/>
          <w:sz w:val="24"/>
        </w:rPr>
        <w:t xml:space="preserve">Based on the </w:t>
      </w:r>
      <w:r>
        <w:rPr>
          <w:rFonts w:ascii="Times New Roman" w:hAnsi="Times New Roman" w:cs="Times New Roman"/>
          <w:sz w:val="24"/>
        </w:rPr>
        <w:t>American College of Cardiology/American Heart Association</w:t>
      </w:r>
      <w:r>
        <w:rPr>
          <w:rFonts w:hint="eastAsia" w:ascii="Times New Roman" w:hAnsi="Times New Roman" w:cs="Times New Roman"/>
          <w:sz w:val="24"/>
        </w:rPr>
        <w:t xml:space="preserve"> BP guideline, </w:t>
      </w:r>
      <w:r>
        <w:rPr>
          <w:rFonts w:ascii="Times New Roman" w:hAnsi="Times New Roman" w:cs="Times New Roman"/>
          <w:sz w:val="24"/>
        </w:rPr>
        <w:t>we defined hypertension as 130/80 mmHg or higher in patients not receiving anti-hypertensive medication.</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{"citationID":"qgrvTDgM","properties":{"formattedCitation":"[3]","plainCitation":"[3]","noteIndex":0},"citationItems":[{"id":746,"uris":["http://zotero.org/users/8338509/items/3YJ2NKM8"],"itemData":{"id":746,"type":"article-journal","abstract":"To evaluate the association of blood pressure category &lt; 20 weeks according to the 2017 American College of Cardiology/American Heart Association (ACC/AHA) criteria with adverse perinatal outcomes.\nA retrospective cohort study of singleton deliveries between 1/2014 and 10/2017 was undertaken. Blood pressure category assigned by 2017 ACC/AHA criteria applied to blood pressures prior to 20 weeks gestation: normal (systolic &lt; 120 and diastolic &lt; 80), elevated blood pressure (systolic 1</w:instrText>
      </w:r>
      <w:r>
        <w:rPr>
          <w:rFonts w:hint="eastAsia" w:ascii="Times New Roman" w:hAnsi="Times New Roman" w:cs="Times New Roman"/>
          <w:sz w:val="24"/>
        </w:rPr>
        <w:instrText xml:space="preserve">20–129 and diastolic &lt; 80 mmHg), stage 1 hypertension (systolic 130–139 and/or diastolic 80–89), stage 2 hypertension (prior diagnosis of chronic hypertension or systolic ≥ 140 or diastolic ≥ 90 mmHg).\nThe primary outcome was preeclampsia. Secondary outc</w:instrText>
      </w:r>
      <w:r>
        <w:rPr>
          <w:rFonts w:ascii="Times New Roman" w:hAnsi="Times New Roman" w:cs="Times New Roman"/>
          <w:sz w:val="24"/>
        </w:rPr>
        <w:instrText xml:space="preserve">omes included preterm birth and postpartum readmission. Chi-square, ANOVA and Kruskal-Wallis tests and multivariable Poisson regression were used for analysis.\nOf the 6,067 eligible pregnancies, 3,855 (63.5%) had normotensive blood pressure, 1,224 (20.2%) elevated blood pressure, 624 (10.3%) stage 1 hypertension, and 364 (6.0%) stage 2 hypertension. Compared to 4.6% prevalence of preeclampsia among normotensive pregnancies, higher categories were associated with higher preeclampsia prevalence: elevated blood pressure (10.7%, adjusted relative risk (aRR) 2.2, 95% confidence interval (CI) 1.8–2.6), stage 1 hypertension (15.1%, aRR 2.7, 95% CI 2.2–3.4) and stage 2 hypertension (38.7%, aRR 6.2, 95% CI 5.1–7.4). Non-normal categories were also associated with a higher risk of preterm birth and postpartum readmission.\nPatients with elevated blood pressure and stage 1 and 2 hypertension at &lt; 20 weeks are at increased risk of adverse obstetric perinatal outcomes.\nCardiovascular disease (CVD) is the leading cause of morbidity and mortality in the Americas, and hypertension is the most significant modifiable risk factor. However, hypertension control rates remain low, and CVD mortality is stagnant or rising after decades of continuing reduction. In 2016, the World Health Organization (WHO) launched the HEARTS technical package to improve hypertension control. The Pan American Health Organization (PAHO) designed the HEARTS in the Americas Initiative to improve CVD risk management, emphasizing hypertension control, to date implemented in 21 countries.\nTo advance implementation, an interdisciplinary group of practitioners was engaged to select the key evidence-based drivers of hypertension control and to design a comprehensive scorecard to monitor their implementation at primary care health facilities (PHC). The group studied high-performing health systems that achieve high hypertension control through quality improvement programs focusing on specific process measures, with regular feedback to providers at health facilities.\nThe final selected eight drivers were categorized into five main domains: (1) diagnosis (blood pressure measurement accuracy and CVD risk evaluation); (2) treatment (standardized treatment protocol and treatment intensification); (3) continuity of care and follow-up; (4) delivery system (team-based care, medication refill), and (5) system for performance evaluation. The drivers and recommendations were then translated into process measures, resulting in two interconnected scorecards integrated into the HEARTS in the Americas monitoring and evaluation system.\nFocus on these key hypertension drivers and resulting scorecards, will guide the quality improvement process to achieve population control goals at the participating health centers in HEARTS implementing countries.\nWomen with prior gestational diabetes mellitus (GDM) are at elevated risk of type 2 diabetes mellitus and cardiovascular disease. We compared cardiometabolic risk factors among parous U.S. women ages 20–44 by history of GDM.\nUsing data from the National Health and Nutrition Examination Survey (NHANES) from 2007 to 2018, 3537 parous women were classified by self-reported GDM history. We compared anthropometric measures, glycemia, blood pressure, lipids, lifestyle factors, cardiovascular health, and cardiometabolic disease prevalence by GDM status. NHANES survey design was taken into account. Women without history of GDM were younger and, after adjusting for age, race/ethnicity, and education, had more favorable cardiometabolic risk factor profiles for measures of anthropometry, glycemia, diabetes, many lipids, physical activity, diet, and overall cardiovascular health than women with history of GDM. Many patterns persisted after further adjustment for lifestyle factors. In analyses stratified by race/ethnicity, many patterns persisted, though there were key differences. Hypertension prevalence differed by GDM history only among Hispanic women. In women of other race/ethnicity, there was no difference in healthy eating or body mass index by GDM history. In non-Hispanic Black women, there was no difference in healthy eating by GDM history.\nAmong parous U.S. women ages 20–44, those with history of GDM had less favorable cardiometabolic risk factor profiles than those without history of GDM. This highlights the importance of continued efforts to develop and test multilevel interventions to improve cardiometabolic risk factors among reproductive-age women with a history of GDM.\nRenal denervation has been shown to lower blood pressure in the presence of antihypertensive medications; however, long-term safety and efficacy data from randomised trials of renal denervation are lacking. In this pre-specified analysis of the SPYRAL HTN-ON MED study, we compared changes in blood pressure, antihypertensive drug use, and safety up to 36 months in renal denervation versus a sham control group.\nThis randomised, single-blind, sham-controlled trial enrolled patients from 25 clinical centres in the USA, Germany, Japan, the UK, Australia, Austria, and Greece, with uncontrolled hypertension and office systolic blood pressure between 150 mm Hg and 180 mm Hg and diastolic blood pressure of 90 mm Hg or higher. Eligible patients had to have 24-h ambulatory systolic blood pressure between 140 mm Hg and less than 170 mm Hg, while taking one to three antihypertensive drugs with stable doses for at least 6 weeks. Patients underwent renal angiography and were randomly assigned (1:1) to radiofrequency renal denervation or a sham control procedure. Patients and physicians were unmasked after 12-month follow-up and sham control patients could cross over after 12-month follow-up completion. The primary endpoint was the treatment difference in mean 24-h systolic blood pressure at 6 months between the renal denervation group and the sham control group. Statistical analyses were done on the intention-to-treat population. Long-term efficacy was assessed using ambulatory and office blood pressure measurements up to 36 months. Drug surveillance was used to assess medication use. Safety events were assessed up to 36 months. This trial is registered with ClinicalTrials.gov, NCT02439775; prospectively, an additional 260 patients are currently being randomly assigned as part of the SPYRAL HTN-ON MED Expansion trial.\nBetween July 22, 2015, and June 14, 2017, among 467 enrolled patients, 80 patients fulfilled the qualifying criteria and were randomly assigned to undergo renal denervation (n=38) or a sham control procedure (n=42). Mean ambulatory systolic and diastolic blood pressure were significantly reduced from baseline in the renal denervation group, and were significantly lower than the sham control group at 24 and 36 months, despite a similar treatment intensity of antihypertensive drugs. The medication burden at 36 months was 2·13 medications (SD 1·15) in the renal denervation group and 2·55 medications (2·19) in the sham control group (p=0·26). 24 (77%) of 31 patients in the renal denervation group and 25 (93%) of 27 patients in the sham control group adhered to medication at 36 months. At 36 months, the ambulatory systolic blood pressure reduction was −18·7 mm Hg (SD 12·4) for the renal denervation group (n=30) and −8·6 mm Hg (14·6) for the sham control group (n=32; adjusted treatment difference −10·0 mm Hg, 95% CI −16·6 to −3·3; p=0·0039). Treatment differences between the renal denervation group and sham control group at 36 months were −5·9 mm Hg (95% CI −10·1 to −1·8; p=0·0055) for mean ambulatory diastolic blood pressure, −11·0 mm Hg (−19·8 to −2·1; p=0·016) for morning systolic blood pressure, and −11·8 mm Hg (−19·0 to −4·7; p=0·0017) for night-time systolic blood pressure. There were no short-term or long-term safety issues associated with renal denervation.\nRadiofrequency renal denervation compared with sham control produced a clinically meaningful and lasting blood pressure reduction up to 36 months of follow-up, independent of concomitant antihypertensive medications and without major safety events. Renal denervation could provide an adjunctive treatment modality in the management of patients with hypertension.\nMedtronic.\nStudies have suggested that different administration times may lead to different antihypertensive effects. This systematic review was designed to evaluate the effectiveness of evening versus morning drug administration for hypertension.\nEight databases were searched to identify randomized controlled trials (RCTs) from database inception to August 2021. The RCTs compared the effects of evening and morning dosing on cardiovascular disease events, adverse events and reduction of blood pressure (BP) in hypertensive. Two reviewers independently extracted data and assessed trial quality. Meta-analysis was performed using Stata 12.0 software.\nA total of 36 RCTs were included and analysed. The results showed that, compared with the morning administration, evening administration of hypertensives could decrease cardiovascular disease events (risk ratio=0.39, 95% confidence interval (CI)=0.25 to 0.60), 24 h/48 h mean systolic BP (SBP) (mean differences (MD) =-3.39, 95% CI=-4.57 to -2.22), 24 h/48 h mean diastolic BP (DBP) (MD=-1.12, 95% CI=-1.70 to -0.53), nocturnal mean SBP (MD=-6.70, 95% CI=-8.35 to -5.05) and nocturnal mean DBP (MD=-3.54, 95% CI= -4.46 to -2.63), while diurnal mean SBP (MD=-0.53, 95% CI=-1.72 to 0.65) and diurnal mean DBP (MD=-0.31, 95% CI=-1.04– 0.42) showed no difference between two groups.\nThis meta-analysis indicated that evening administration was superior to morning administration in reducing asleep BP and the risk of cardiovascular disease events, especially for patients with essential hypertension, patients with renal hypertension and the non-dipper hypertensive patients. More evidence is needed to support this conclusion.","container-title":"Journal of the American College of Cardiology","DOI":"10.1016/j.jacc.2017.11.005","ISSN":"0735-1097","issue":"19","journalAbbreviation":"Journal of the American College of Cardiology","language":"en","page":"2199-2269","source":"ScienceDirect","title":"2017 ACC/AHA/AAPA/ABC/ACPM/AGS/APhA/ASH/ASPC/NMA/PCNA Guideline for the Prevention, Detection, Evaluation, and Management of High Blood Pressure in Adults: Executive Summary: A Report of the American College of Cardiology/American Heart Association Task Force on Clinical Practice Guidelines","title-short":"2017 ACC/AHA/AAPA/ABC/ACPM/AGS/APhA/ASH/ASPC/NMA/PCNA Guideline for the Prevention, Detection, Evaluation, and Management of High Blood Pressure in Adults","volume":"71","author":[{"family":"Whelton","given":"Paul K."},{"family":"Carey","given":"Robert M."},{"family":"Aronow","given":"Wilbert S."},{"family":"Casey","given":"Donald E."},{"family":"Collins","given":"Karen J."},{"family":"Dennison Himmelfarb","given":"Cheryl"},{"family":"DePalma","given":"Sondra M."},{"family":"Gidding","given":"Samuel"},{"family":"Jamerson","given":"Kenneth A."},{"family":"Jones","given":"Daniel W."},{"family":"MacLaughlin","given":"Eric J."},{"family":"Muntner","given":"Paul"},{"family":"Ovbiagele","given":"Bruce"},{"family":"Smith","given":"Sidney C."},{"family":"Spencer","given":"Crystal C."},{"family":"Stafford","given":"Randall S."},{"family":"Taler","given":"Sandra J."},{"family":"Thomas","given":"Randal J."},{"family":"Williams","given":"Kim A."},{"family":"Williamson","given":"Jeff D."},{"family":"Wright","given":"Jackson T."}],"issued":{"date-parts":[["2018",5,15]]}}}],"schema":"https://github.com/citation-style-language/schema/raw/master/csl-citation.json"}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sz w:val="24"/>
        </w:rPr>
        <w:t>[3]</w:t>
      </w:r>
      <w:r>
        <w:rPr>
          <w:rFonts w:ascii="Times New Roman" w:hAnsi="Times New Roman" w:cs="Times New Roman"/>
          <w:sz w:val="24"/>
        </w:rPr>
        <w:fldChar w:fldCharType="end"/>
      </w:r>
      <w:r>
        <w:rPr>
          <w:rFonts w:hint="eastAsia" w:ascii="Times New Roman" w:hAnsi="Times New Roman" w:cs="Times New Roman"/>
          <w:sz w:val="24"/>
        </w:rPr>
        <w:t xml:space="preserve"> A</w:t>
      </w:r>
      <w:r>
        <w:rPr>
          <w:rFonts w:ascii="Times New Roman" w:hAnsi="Times New Roman" w:cs="Times New Roman"/>
          <w:sz w:val="24"/>
        </w:rPr>
        <w:t>ll BP measurement</w:t>
      </w:r>
      <w:r>
        <w:rPr>
          <w:rFonts w:hint="eastAsia" w:ascii="Times New Roman" w:hAnsi="Times New Roman" w:cs="Times New Roman"/>
          <w:sz w:val="24"/>
        </w:rPr>
        <w:t>s</w:t>
      </w:r>
      <w:r>
        <w:rPr>
          <w:rFonts w:ascii="Times New Roman" w:hAnsi="Times New Roman" w:cs="Times New Roman"/>
          <w:sz w:val="24"/>
        </w:rPr>
        <w:t xml:space="preserve"> (brachial artery) were performed </w:t>
      </w:r>
      <w:r>
        <w:rPr>
          <w:rFonts w:hint="eastAsia" w:ascii="Times New Roman" w:hAnsi="Times New Roman" w:cs="Times New Roman"/>
          <w:sz w:val="24"/>
        </w:rPr>
        <w:t>three times</w:t>
      </w:r>
      <w:r>
        <w:rPr>
          <w:rFonts w:ascii="Times New Roman" w:hAnsi="Times New Roman" w:cs="Times New Roman"/>
          <w:sz w:val="24"/>
        </w:rPr>
        <w:t xml:space="preserve"> using a random zero sphygmomanometer, with each patient in the same body position and in stable condition; the mean value for each set of three measurements</w:t>
      </w:r>
      <w:r>
        <w:rPr>
          <w:rFonts w:hint="eastAsia" w:ascii="Times New Roman" w:hAnsi="Times New Roman" w:cs="Times New Roman"/>
          <w:sz w:val="24"/>
        </w:rPr>
        <w:t xml:space="preserve"> </w:t>
      </w:r>
      <w:r>
        <w:rPr>
          <w:rFonts w:ascii="Times New Roman" w:hAnsi="Times New Roman" w:cs="Times New Roman"/>
          <w:sz w:val="24"/>
        </w:rPr>
        <w:t xml:space="preserve">was recorded. The </w:t>
      </w:r>
      <w:r>
        <w:rPr>
          <w:rFonts w:hint="eastAsia" w:ascii="Times New Roman" w:hAnsi="Times New Roman" w:cs="Times New Roman"/>
          <w:sz w:val="24"/>
        </w:rPr>
        <w:t>S</w:t>
      </w:r>
      <w:r>
        <w:rPr>
          <w:rFonts w:ascii="Times New Roman" w:hAnsi="Times New Roman" w:cs="Times New Roman"/>
          <w:sz w:val="24"/>
        </w:rPr>
        <w:t xml:space="preserve">BP value after the first MRI scan was recorded as the baseline value. Then, the patient was administered 10 mg nifedipine orally. Twenty minutes later, </w:t>
      </w:r>
      <w:r>
        <w:rPr>
          <w:rFonts w:hint="eastAsia" w:ascii="Times New Roman" w:hAnsi="Times New Roman" w:cs="Times New Roman"/>
          <w:sz w:val="24"/>
        </w:rPr>
        <w:t>the S</w:t>
      </w:r>
      <w:r>
        <w:rPr>
          <w:rFonts w:ascii="Times New Roman" w:hAnsi="Times New Roman" w:cs="Times New Roman"/>
          <w:sz w:val="24"/>
        </w:rPr>
        <w:t xml:space="preserve">BP value was measured at 5-minute intervals until it was 10 mmHg below the </w:t>
      </w:r>
      <w:r>
        <w:rPr>
          <w:rFonts w:hint="eastAsia" w:ascii="Times New Roman" w:hAnsi="Times New Roman" w:cs="Times New Roman"/>
          <w:sz w:val="24"/>
        </w:rPr>
        <w:t>S</w:t>
      </w:r>
      <w:r>
        <w:rPr>
          <w:rFonts w:ascii="Times New Roman" w:hAnsi="Times New Roman" w:cs="Times New Roman"/>
          <w:sz w:val="24"/>
        </w:rPr>
        <w:t xml:space="preserve">BP value after the first MRI scan. Then, measurements were continued at 5-minute intervals until the </w:t>
      </w:r>
      <w:r>
        <w:rPr>
          <w:rFonts w:hint="eastAsia" w:ascii="Times New Roman" w:hAnsi="Times New Roman" w:cs="Times New Roman"/>
          <w:sz w:val="24"/>
        </w:rPr>
        <w:t>S</w:t>
      </w:r>
      <w:r>
        <w:rPr>
          <w:rFonts w:ascii="Times New Roman" w:hAnsi="Times New Roman" w:cs="Times New Roman"/>
          <w:sz w:val="24"/>
        </w:rPr>
        <w:t>BP change was &lt;5 mmHg</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sz w:val="24"/>
        </w:rPr>
        <w:t>The latest SBP value, defined as the SBP value in the last measurement before the second MRI,</w:t>
      </w:r>
      <w:r>
        <w:rPr>
          <w:rFonts w:ascii="Times New Roman" w:hAnsi="Times New Roman" w:cs="Times New Roman"/>
          <w:sz w:val="24"/>
        </w:rPr>
        <w:t xml:space="preserve"> was recorded. Then, the patient underwent </w:t>
      </w:r>
      <w:r>
        <w:rPr>
          <w:rFonts w:hint="eastAsia" w:ascii="Times New Roman" w:hAnsi="Times New Roman" w:cs="Times New Roman"/>
          <w:sz w:val="24"/>
        </w:rPr>
        <w:t>a</w:t>
      </w:r>
      <w:r>
        <w:rPr>
          <w:rFonts w:ascii="Times New Roman" w:hAnsi="Times New Roman" w:cs="Times New Roman"/>
          <w:sz w:val="24"/>
        </w:rPr>
        <w:t xml:space="preserve"> second MRI scan. </w:t>
      </w:r>
      <w:r>
        <w:rPr>
          <w:rFonts w:hint="eastAsia" w:ascii="Times New Roman" w:hAnsi="Times New Roman" w:cs="Times New Roman"/>
          <w:sz w:val="24"/>
        </w:rPr>
        <w:t>A</w:t>
      </w:r>
      <w:r>
        <w:rPr>
          <w:rFonts w:ascii="Times New Roman" w:hAnsi="Times New Roman" w:cs="Times New Roman"/>
          <w:sz w:val="24"/>
        </w:rPr>
        <w:t>n additional BP measurement was performed after the second MRI scan</w:t>
      </w:r>
      <w:r>
        <w:rPr>
          <w:rFonts w:hint="eastAsia" w:ascii="Times New Roman" w:hAnsi="Times New Roman" w:cs="Times New Roman"/>
          <w:sz w:val="24"/>
        </w:rPr>
        <w:t>.</w:t>
      </w:r>
      <w:r>
        <w:rPr>
          <w:rFonts w:ascii="Times New Roman" w:hAnsi="Times New Roman" w:cs="Times New Roman"/>
          <w:sz w:val="24"/>
        </w:rPr>
        <w:t xml:space="preserve"> Invalid anti-hypertensive treatment was </w:t>
      </w:r>
      <w:r>
        <w:rPr>
          <w:rFonts w:hint="eastAsia" w:ascii="Times New Roman" w:hAnsi="Times New Roman" w:cs="Times New Roman"/>
          <w:sz w:val="24"/>
        </w:rPr>
        <w:t>defin</w:t>
      </w:r>
      <w:r>
        <w:rPr>
          <w:rFonts w:ascii="Times New Roman" w:hAnsi="Times New Roman" w:cs="Times New Roman"/>
          <w:sz w:val="24"/>
        </w:rPr>
        <w:t xml:space="preserve">ed </w:t>
      </w:r>
      <w:r>
        <w:rPr>
          <w:rFonts w:hint="eastAsia" w:ascii="Times New Roman" w:hAnsi="Times New Roman" w:cs="Times New Roman"/>
          <w:sz w:val="24"/>
        </w:rPr>
        <w:t>as</w:t>
      </w:r>
      <w:r>
        <w:rPr>
          <w:rFonts w:ascii="Times New Roman" w:hAnsi="Times New Roman" w:cs="Times New Roman"/>
          <w:sz w:val="24"/>
        </w:rPr>
        <w:t xml:space="preserve"> patients with continuous</w:t>
      </w:r>
      <w:r>
        <w:rPr>
          <w:rFonts w:hint="eastAsia" w:ascii="Times New Roman" w:hAnsi="Times New Roman" w:cs="Times New Roman"/>
          <w:sz w:val="24"/>
        </w:rPr>
        <w:t xml:space="preserve"> S</w:t>
      </w:r>
      <w:r>
        <w:rPr>
          <w:rFonts w:ascii="Times New Roman" w:hAnsi="Times New Roman" w:cs="Times New Roman"/>
          <w:sz w:val="24"/>
        </w:rPr>
        <w:t xml:space="preserve">BP </w:t>
      </w:r>
      <w:r>
        <w:rPr>
          <w:rFonts w:hint="eastAsia" w:ascii="Times New Roman" w:hAnsi="Times New Roman" w:cs="Times New Roman"/>
          <w:sz w:val="24"/>
        </w:rPr>
        <w:t>reduction</w:t>
      </w:r>
      <w:r>
        <w:rPr>
          <w:rFonts w:ascii="Times New Roman" w:hAnsi="Times New Roman" w:cs="Times New Roman"/>
          <w:sz w:val="24"/>
        </w:rPr>
        <w:t xml:space="preserve"> of &lt;5 mmHg after nifedipine treatment</w:t>
      </w:r>
      <w:r>
        <w:rPr>
          <w:rFonts w:hint="eastAsia" w:ascii="Times New Roman" w:hAnsi="Times New Roman" w:cs="Times New Roman"/>
          <w:sz w:val="24"/>
        </w:rPr>
        <w:t>, or</w:t>
      </w:r>
      <w:r>
        <w:rPr>
          <w:rFonts w:ascii="Times New Roman" w:hAnsi="Times New Roman" w:cs="Times New Roman"/>
          <w:sz w:val="24"/>
        </w:rPr>
        <w:t xml:space="preserve"> patients whose </w:t>
      </w:r>
      <w:r>
        <w:rPr>
          <w:rFonts w:hint="eastAsia" w:ascii="Times New Roman" w:hAnsi="Times New Roman" w:cs="Times New Roman"/>
          <w:sz w:val="24"/>
        </w:rPr>
        <w:t>S</w:t>
      </w:r>
      <w:r>
        <w:rPr>
          <w:rFonts w:ascii="Times New Roman" w:hAnsi="Times New Roman" w:cs="Times New Roman"/>
          <w:sz w:val="24"/>
        </w:rPr>
        <w:t xml:space="preserve">BP value after the second MRI scan was </w:t>
      </w:r>
      <w:r>
        <w:rPr>
          <w:rFonts w:hint="eastAsia" w:ascii="Times New Roman" w:hAnsi="Times New Roman" w:cs="Times New Roman"/>
          <w:sz w:val="24"/>
        </w:rPr>
        <w:t>more than at baseline</w:t>
      </w:r>
      <w:r>
        <w:rPr>
          <w:rFonts w:ascii="Times New Roman" w:hAnsi="Times New Roman" w:cs="Times New Roman"/>
          <w:sz w:val="24"/>
        </w:rPr>
        <w:t>. Patients with invalid anti-hypertensive treatment were excluded from the analysis.</w:t>
      </w:r>
      <w:r>
        <w:rPr>
          <w:rFonts w:hint="eastAsia" w:ascii="Times New Roman" w:hAnsi="Times New Roman" w:cs="Times New Roman"/>
          <w:sz w:val="24"/>
        </w:rPr>
        <w:t xml:space="preserve"> BP reduction after oral nifedipine was calculated as the SBP value after the first MRI</w:t>
      </w:r>
      <w:r>
        <w:rPr>
          <w:rFonts w:ascii="Times New Roman" w:hAnsi="Times New Roman" w:cs="Times New Roman"/>
          <w:sz w:val="24"/>
        </w:rPr>
        <w:t xml:space="preserve"> minus the </w:t>
      </w:r>
      <w:r>
        <w:rPr>
          <w:rFonts w:hint="eastAsia" w:ascii="Times New Roman" w:hAnsi="Times New Roman" w:cs="Times New Roman"/>
          <w:sz w:val="24"/>
        </w:rPr>
        <w:t xml:space="preserve">SBP </w:t>
      </w:r>
      <w:r>
        <w:rPr>
          <w:rFonts w:ascii="Times New Roman" w:hAnsi="Times New Roman" w:cs="Times New Roman"/>
          <w:sz w:val="24"/>
        </w:rPr>
        <w:t>value</w:t>
      </w:r>
      <w:r>
        <w:rPr>
          <w:rFonts w:hint="eastAsia" w:ascii="Times New Roman" w:hAnsi="Times New Roman" w:cs="Times New Roman"/>
          <w:sz w:val="24"/>
        </w:rPr>
        <w:t xml:space="preserve"> after the second MRI.</w:t>
      </w:r>
    </w:p>
    <w:p>
      <w:pPr>
        <w:widowControl/>
        <w:spacing w:line="480" w:lineRule="auto"/>
        <w:rPr>
          <w:rFonts w:ascii="Times New Roman" w:hAnsi="Times New Roman" w:cs="Times New Roman"/>
          <w:b/>
          <w:bCs/>
          <w:sz w:val="24"/>
        </w:rPr>
      </w:pPr>
      <w:r>
        <w:rPr>
          <w:rFonts w:ascii="Times New Roman" w:hAnsi="Times New Roman" w:cs="Times New Roman"/>
          <w:b/>
          <w:bCs/>
          <w:sz w:val="24"/>
        </w:rPr>
        <w:t>Statistical analysis</w:t>
      </w:r>
    </w:p>
    <w:p>
      <w:pPr>
        <w:spacing w:line="480" w:lineRule="auto"/>
        <w:rPr>
          <w:rFonts w:ascii="Times New Roman" w:hAnsi="Times New Roman" w:eastAsia="微软雅黑" w:cs="Times New Roman"/>
        </w:rPr>
      </w:pPr>
      <w:r>
        <w:rPr>
          <w:rFonts w:ascii="Times New Roman" w:hAnsi="Times New Roman" w:cs="Times New Roman"/>
          <w:sz w:val="24"/>
        </w:rPr>
        <w:t xml:space="preserve">All statistical analyses were conducted using SPSS software </w:t>
      </w:r>
      <w:r>
        <w:rPr>
          <w:rFonts w:hint="eastAsia" w:ascii="Times New Roman" w:hAnsi="Times New Roman" w:cs="Times New Roman"/>
          <w:sz w:val="24"/>
        </w:rPr>
        <w:t xml:space="preserve">23.0 </w:t>
      </w:r>
      <w:r>
        <w:rPr>
          <w:rFonts w:ascii="Times New Roman" w:hAnsi="Times New Roman" w:cs="Times New Roman"/>
          <w:sz w:val="24"/>
        </w:rPr>
        <w:t xml:space="preserve">(IBM, Armonk, NY, USA). Variables are expressed as mean ± standard deviation. </w:t>
      </w:r>
      <w:r>
        <w:rPr>
          <w:rFonts w:ascii="Times New Roman" w:hAnsi="Times New Roman" w:cs="Times New Roman"/>
          <w:color w:val="000000" w:themeColor="text1"/>
          <w:sz w:val="24"/>
          <w14:textFill>
            <w14:solidFill>
              <w14:schemeClr w14:val="tx1"/>
            </w14:solidFill>
          </w14:textFill>
        </w:rPr>
        <w:t>Differences in hemodynamic parameters before and after nifedipine treatment were evaluated by paired sample t-tests.</w:t>
      </w:r>
      <w:r>
        <w:rPr>
          <w:rFonts w:ascii="Times New Roman" w:hAnsi="Times New Roman" w:cs="Times New Roman"/>
          <w:sz w:val="24"/>
        </w:rPr>
        <w:t xml:space="preserve"> </w:t>
      </w:r>
      <w:r>
        <w:rPr>
          <w:rFonts w:hint="eastAsia" w:ascii="Times New Roman" w:hAnsi="Times New Roman" w:cs="Times New Roman"/>
          <w:sz w:val="24"/>
        </w:rPr>
        <w:t xml:space="preserve">The </w:t>
      </w:r>
      <w:r>
        <w:rPr>
          <w:rFonts w:hint="eastAsia" w:ascii="Times New Roman" w:hAnsi="Times New Roman" w:eastAsia="宋体" w:cs="Times New Roman"/>
          <w:color w:val="000000"/>
          <w:sz w:val="24"/>
        </w:rPr>
        <w:t xml:space="preserve">effect size, calculated as </w:t>
      </w:r>
      <w:r>
        <w:rPr>
          <w:rFonts w:ascii="Times New Roman" w:hAnsi="Times New Roman" w:eastAsia="Helvetica" w:cs="Times New Roman"/>
          <w:color w:val="000000"/>
          <w:sz w:val="24"/>
        </w:rPr>
        <w:t>Cohen's d</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fldChar w:fldCharType="begin"/>
      </w:r>
      <w:r>
        <w:rPr>
          <w:rFonts w:ascii="Times New Roman" w:hAnsi="Times New Roman" w:eastAsia="宋体" w:cs="Times New Roman"/>
          <w:color w:val="000000"/>
          <w:sz w:val="24"/>
        </w:rPr>
        <w:instrText xml:space="preserve"> ADDIN ZOTERO_ITEM CSL_CITATION {"citationID":"X7oRrGYF","properties":{"formattedCitation":"[4]","plainCitation":"[4]","noteIndex":0},"citationItems":[{"id":1054,"uris":["http://zotero.org/users/8338509/items/MI5T4TTV"],"itemData":{"id":1054,"type":"book","call-number":"HA29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Pr>
          <w:rFonts w:ascii="Times New Roman" w:hAnsi="Times New Roman" w:eastAsia="宋体" w:cs="Times New Roman"/>
          <w:color w:val="000000"/>
          <w:sz w:val="24"/>
        </w:rPr>
        <w:fldChar w:fldCharType="separate"/>
      </w:r>
      <w:r>
        <w:rPr>
          <w:rFonts w:ascii="Times New Roman" w:hAnsi="Times New Roman" w:eastAsia="宋体" w:cs="Times New Roman"/>
          <w:color w:val="000000"/>
          <w:sz w:val="24"/>
        </w:rPr>
        <w:t>[4]</w:t>
      </w:r>
      <w:r>
        <w:rPr>
          <w:rFonts w:ascii="Times New Roman" w:hAnsi="Times New Roman" w:eastAsia="宋体" w:cs="Times New Roman"/>
          <w:color w:val="000000"/>
          <w:sz w:val="24"/>
        </w:rPr>
        <w:fldChar w:fldCharType="end"/>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 xml:space="preserve"> was used to show the </w:t>
      </w:r>
      <w:r>
        <w:rPr>
          <w:rFonts w:ascii="Times New Roman" w:hAnsi="Times New Roman" w:eastAsia="Helvetica" w:cs="Times New Roman"/>
          <w:color w:val="000000"/>
          <w:sz w:val="24"/>
        </w:rPr>
        <w:t>magnitude of</w:t>
      </w:r>
      <w:r>
        <w:rPr>
          <w:rFonts w:hint="eastAsia" w:ascii="Times New Roman" w:hAnsi="Times New Roman" w:eastAsia="宋体" w:cs="Times New Roman"/>
          <w:color w:val="000000"/>
          <w:sz w:val="24"/>
        </w:rPr>
        <w:t xml:space="preserve"> differences in hemodynamic changes and evaluate the statistical significance of hemodynamic changes.</w:t>
      </w:r>
      <w:r>
        <w:rPr>
          <w:rFonts w:ascii="Times New Roman" w:hAnsi="Times New Roman" w:eastAsia="宋体" w:cs="Times New Roman"/>
          <w:color w:val="000000"/>
          <w:sz w:val="24"/>
        </w:rPr>
        <w:fldChar w:fldCharType="begin"/>
      </w:r>
      <w:r>
        <w:rPr>
          <w:rFonts w:ascii="Times New Roman" w:hAnsi="Times New Roman" w:eastAsia="宋体" w:cs="Times New Roman"/>
          <w:color w:val="000000"/>
          <w:sz w:val="24"/>
        </w:rPr>
        <w:instrText xml:space="preserve"> ADDIN ZOTERO_ITEM CSL_CITATION {"citationID":"4QLB4UOp","properties":{"formattedCitation":"[4]","plainCitation":"[4]","noteIndex":0},"citationItems":[{"id":1054,"uris":["http://zotero.org/users/8338509/items/MI5T4TTV"],"itemData":{"id":1054,"type":"book","call-number":"HA29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Pr>
          <w:rFonts w:ascii="Times New Roman" w:hAnsi="Times New Roman" w:eastAsia="宋体" w:cs="Times New Roman"/>
          <w:color w:val="000000"/>
          <w:sz w:val="24"/>
        </w:rPr>
        <w:fldChar w:fldCharType="separate"/>
      </w:r>
      <w:r>
        <w:rPr>
          <w:rFonts w:ascii="Times New Roman" w:hAnsi="Times New Roman" w:eastAsia="宋体" w:cs="Times New Roman"/>
          <w:color w:val="000000"/>
          <w:sz w:val="24"/>
        </w:rPr>
        <w:t>[4]</w:t>
      </w:r>
      <w:r>
        <w:rPr>
          <w:rFonts w:ascii="Times New Roman" w:hAnsi="Times New Roman" w:eastAsia="宋体" w:cs="Times New Roman"/>
          <w:color w:val="000000"/>
          <w:sz w:val="24"/>
        </w:rPr>
        <w:fldChar w:fldCharType="end"/>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 xml:space="preserve"> The effect size was considered to be small, moderate, and large on the condition that the value of </w:t>
      </w:r>
      <w:r>
        <w:rPr>
          <w:rFonts w:ascii="Times New Roman" w:hAnsi="Times New Roman" w:eastAsia="Helvetica" w:cs="Times New Roman"/>
          <w:color w:val="000000"/>
          <w:sz w:val="24"/>
        </w:rPr>
        <w:t>Cohen's d</w:t>
      </w:r>
      <w:r>
        <w:rPr>
          <w:rFonts w:hint="eastAsia" w:ascii="Times New Roman" w:hAnsi="Times New Roman" w:eastAsia="宋体" w:cs="Times New Roman"/>
          <w:color w:val="000000"/>
          <w:sz w:val="24"/>
        </w:rPr>
        <w:t xml:space="preserve"> was close to 0.20, 0.50, and 0.80, respectively.</w:t>
      </w:r>
      <w:r>
        <w:rPr>
          <w:rFonts w:ascii="Times New Roman" w:hAnsi="Times New Roman" w:eastAsia="宋体" w:cs="Times New Roman"/>
          <w:color w:val="000000"/>
          <w:sz w:val="24"/>
        </w:rPr>
        <w:fldChar w:fldCharType="begin"/>
      </w:r>
      <w:r>
        <w:rPr>
          <w:rFonts w:ascii="Times New Roman" w:hAnsi="Times New Roman" w:eastAsia="宋体" w:cs="Times New Roman"/>
          <w:color w:val="000000"/>
          <w:sz w:val="24"/>
        </w:rPr>
        <w:instrText xml:space="preserve"> ADDIN ZOTERO_ITEM CSL_CITATION {"citationID":"oSiSYdqP","properties":{"formattedCitation":"[4]","plainCitation":"[4]","noteIndex":0},"citationItems":[{"id":1054,"uris":["http://zotero.org/users/8338509/items/MI5T4TTV"],"itemData":{"id":1054,"type":"book","call-number":"HA29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Pr>
          <w:rFonts w:ascii="Times New Roman" w:hAnsi="Times New Roman" w:eastAsia="宋体" w:cs="Times New Roman"/>
          <w:color w:val="000000"/>
          <w:sz w:val="24"/>
        </w:rPr>
        <w:fldChar w:fldCharType="separate"/>
      </w:r>
      <w:r>
        <w:rPr>
          <w:rFonts w:ascii="Times New Roman" w:hAnsi="Times New Roman" w:eastAsia="宋体" w:cs="Times New Roman"/>
          <w:color w:val="000000"/>
          <w:sz w:val="24"/>
        </w:rPr>
        <w:t>[4]</w:t>
      </w:r>
      <w:r>
        <w:rPr>
          <w:rFonts w:ascii="Times New Roman" w:hAnsi="Times New Roman" w:eastAsia="宋体" w:cs="Times New Roman"/>
          <w:color w:val="000000"/>
          <w:sz w:val="24"/>
        </w:rPr>
        <w:fldChar w:fldCharType="end"/>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 xml:space="preserve"> </w:t>
      </w:r>
      <w:r>
        <w:rPr>
          <w:rFonts w:hint="eastAsia" w:ascii="Times New Roman" w:hAnsi="Times New Roman" w:eastAsia="宋体" w:cs="Times New Roman"/>
          <w:sz w:val="24"/>
        </w:rPr>
        <w:t>T</w:t>
      </w:r>
      <w:r>
        <w:rPr>
          <w:rFonts w:ascii="Times New Roman" w:hAnsi="Times New Roman" w:cs="Times New Roman"/>
          <w:sz w:val="24"/>
        </w:rPr>
        <w:t xml:space="preserve">o evaluate the interobserver reliability of the measurements of the </w:t>
      </w:r>
      <w:r>
        <w:rPr>
          <w:rFonts w:hint="eastAsia" w:ascii="Times New Roman" w:hAnsi="Times New Roman" w:cs="Times New Roman"/>
          <w:sz w:val="24"/>
        </w:rPr>
        <w:t>intra-aneurysmal hemodynamic parameters</w:t>
      </w:r>
      <w:r>
        <w:rPr>
          <w:rFonts w:ascii="Times New Roman" w:hAnsi="Times New Roman" w:cs="Times New Roman"/>
          <w:sz w:val="24"/>
        </w:rPr>
        <w:t xml:space="preserve"> (</w:t>
      </w:r>
      <w:r>
        <w:rPr>
          <w:rFonts w:ascii="Times New Roman" w:hAnsi="Times New Roman" w:eastAsia="宋体" w:cs="Times New Roman"/>
          <w:kern w:val="0"/>
          <w:sz w:val="24"/>
        </w:rPr>
        <w:t>V</w:t>
      </w:r>
      <w:r>
        <w:rPr>
          <w:rFonts w:ascii="Times New Roman" w:hAnsi="Times New Roman" w:eastAsia="宋体" w:cs="Times New Roman"/>
          <w:kern w:val="0"/>
          <w:sz w:val="24"/>
          <w:vertAlign w:val="subscript"/>
        </w:rPr>
        <w:t>IA</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vertAlign w:val="subscript"/>
        </w:rPr>
        <w:t xml:space="preserve"> </w:t>
      </w:r>
      <w:r>
        <w:rPr>
          <w:rFonts w:ascii="Times New Roman" w:hAnsi="Times New Roman" w:eastAsia="宋体" w:cs="Times New Roman"/>
          <w:kern w:val="0"/>
          <w:sz w:val="24"/>
        </w:rPr>
        <w:t>Flow</w:t>
      </w:r>
      <w:r>
        <w:rPr>
          <w:rFonts w:ascii="Times New Roman" w:hAnsi="Times New Roman" w:eastAsia="宋体" w:cs="Times New Roman"/>
          <w:kern w:val="0"/>
          <w:sz w:val="24"/>
          <w:vertAlign w:val="subscript"/>
        </w:rPr>
        <w:t>IA</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vertAlign w:val="subscript"/>
        </w:rPr>
        <w:t xml:space="preserve"> </w:t>
      </w:r>
      <w:r>
        <w:rPr>
          <w:rFonts w:ascii="Times New Roman" w:hAnsi="Times New Roman" w:cs="Times New Roman"/>
          <w:sz w:val="24"/>
        </w:rPr>
        <w:t xml:space="preserve">and </w:t>
      </w:r>
      <w:r>
        <w:rPr>
          <w:rFonts w:hint="eastAsia" w:ascii="Times New Roman" w:hAnsi="Times New Roman" w:cs="Times New Roman"/>
          <w:sz w:val="24"/>
        </w:rPr>
        <w:t>aWSS</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sz w:val="24"/>
        </w:rPr>
        <w:t>intraclass correlation coefficient</w:t>
      </w:r>
      <w:r>
        <w:rPr>
          <w:rFonts w:hint="eastAsia" w:ascii="Times New Roman" w:hAnsi="Times New Roman" w:cs="Times New Roman"/>
          <w:sz w:val="24"/>
        </w:rPr>
        <w:t xml:space="preserve"> was used</w:t>
      </w:r>
      <w:r>
        <w:rPr>
          <w:rFonts w:ascii="Times New Roman" w:hAnsi="Times New Roman" w:cs="Times New Roman"/>
          <w:sz w:val="24"/>
        </w:rPr>
        <w:t>.</w:t>
      </w:r>
      <w:r>
        <w:rPr>
          <w:rFonts w:hint="eastAsia" w:ascii="Times New Roman" w:hAnsi="Times New Roman" w:cs="Times New Roman"/>
          <w:sz w:val="24"/>
        </w:rPr>
        <w:t xml:space="preserve"> </w:t>
      </w:r>
      <w:r>
        <w:rPr>
          <w:rFonts w:hint="eastAsia" w:ascii="Times New Roman" w:hAnsi="Times New Roman"/>
          <w:sz w:val="24"/>
        </w:rPr>
        <w:t>Pearson</w:t>
      </w:r>
      <w:r>
        <w:rPr>
          <w:rFonts w:ascii="Times New Roman" w:hAnsi="Times New Roman"/>
          <w:sz w:val="24"/>
        </w:rPr>
        <w:t>’</w:t>
      </w:r>
      <w:r>
        <w:rPr>
          <w:rFonts w:hint="eastAsia" w:ascii="Times New Roman" w:hAnsi="Times New Roman"/>
          <w:sz w:val="24"/>
        </w:rPr>
        <w:t>s</w:t>
      </w:r>
      <w:r>
        <w:rPr>
          <w:rFonts w:ascii="Times New Roman" w:hAnsi="Times New Roman" w:cs="Times New Roman"/>
          <w:sz w:val="24"/>
        </w:rPr>
        <w:t xml:space="preserve"> correlation coefficients were used to investigate correlation</w:t>
      </w:r>
      <w:r>
        <w:rPr>
          <w:rFonts w:hint="eastAsia" w:ascii="Times New Roman" w:hAnsi="Times New Roman" w:cs="Times New Roman"/>
          <w:sz w:val="24"/>
        </w:rPr>
        <w:t>s</w:t>
      </w:r>
      <w:r>
        <w:rPr>
          <w:rFonts w:ascii="Times New Roman" w:hAnsi="Times New Roman" w:cs="Times New Roman"/>
          <w:sz w:val="24"/>
        </w:rPr>
        <w:t xml:space="preserve"> </w:t>
      </w:r>
      <w:r>
        <w:rPr>
          <w:rFonts w:hint="eastAsia" w:ascii="Times New Roman" w:hAnsi="Times New Roman" w:cs="Times New Roman"/>
          <w:sz w:val="24"/>
        </w:rPr>
        <w:t>between</w:t>
      </w:r>
      <w:r>
        <w:rPr>
          <w:rFonts w:ascii="Times New Roman" w:hAnsi="Times New Roman" w:cs="Times New Roman"/>
          <w:sz w:val="24"/>
        </w:rPr>
        <w:t xml:space="preserve"> </w:t>
      </w:r>
      <w:r>
        <w:rPr>
          <w:rFonts w:hint="eastAsia" w:ascii="Times New Roman" w:hAnsi="Times New Roman" w:cs="Times New Roman"/>
          <w:sz w:val="24"/>
        </w:rPr>
        <w:t>changes in</w:t>
      </w:r>
      <w:r>
        <w:rPr>
          <w:rFonts w:ascii="Times New Roman" w:hAnsi="Times New Roman" w:cs="Times New Roman"/>
          <w:sz w:val="24"/>
        </w:rPr>
        <w:t xml:space="preserve"> hemodynamic</w:t>
      </w:r>
      <w:r>
        <w:rPr>
          <w:rFonts w:hint="eastAsia" w:ascii="Times New Roman" w:hAnsi="Times New Roman" w:cs="Times New Roman"/>
          <w:sz w:val="24"/>
        </w:rPr>
        <w:t>s</w:t>
      </w:r>
      <w:r>
        <w:rPr>
          <w:rFonts w:ascii="Times New Roman" w:hAnsi="Times New Roman" w:cs="Times New Roman"/>
          <w:sz w:val="24"/>
        </w:rPr>
        <w:t xml:space="preserve"> </w:t>
      </w:r>
      <w:r>
        <w:rPr>
          <w:rFonts w:hint="eastAsia" w:ascii="Times New Roman" w:hAnsi="Times New Roman" w:cs="Times New Roman"/>
          <w:sz w:val="24"/>
        </w:rPr>
        <w:t>(</w:t>
      </w:r>
      <w:r>
        <w:rPr>
          <w:rFonts w:ascii="Times New Roman" w:hAnsi="Times New Roman" w:cs="Times New Roman"/>
          <w:sz w:val="24"/>
        </w:rPr>
        <w:t xml:space="preserve">e.g., </w:t>
      </w:r>
      <w:r>
        <w:rPr>
          <w:rFonts w:hint="eastAsia" w:ascii="Times New Roman" w:hAnsi="Times New Roman" w:cs="Times New Roman"/>
          <w:sz w:val="24"/>
        </w:rPr>
        <w:t xml:space="preserve">IAs and the adjacent parent artery) and </w:t>
      </w:r>
      <w:r>
        <w:rPr>
          <w:rFonts w:ascii="Times New Roman" w:hAnsi="Times New Roman" w:cs="Times New Roman"/>
          <w:sz w:val="24"/>
        </w:rPr>
        <w:t xml:space="preserve">BP </w:t>
      </w:r>
      <w:r>
        <w:rPr>
          <w:rFonts w:hint="eastAsia" w:ascii="Times New Roman" w:hAnsi="Times New Roman" w:cs="Times New Roman"/>
          <w:sz w:val="24"/>
        </w:rPr>
        <w:t>reduction</w:t>
      </w:r>
      <w:r>
        <w:rPr>
          <w:rFonts w:ascii="Times New Roman" w:hAnsi="Times New Roman" w:cs="Times New Roman"/>
          <w:sz w:val="24"/>
        </w:rPr>
        <w:t xml:space="preserve">. </w:t>
      </w:r>
      <w:r>
        <w:rPr>
          <w:rFonts w:ascii="Times New Roman" w:hAnsi="Times New Roman" w:cs="Times New Roman"/>
          <w:color w:val="000000" w:themeColor="text1"/>
          <w:sz w:val="24"/>
          <w14:textFill>
            <w14:solidFill>
              <w14:schemeClr w14:val="tx1"/>
            </w14:solidFill>
          </w14:textFill>
        </w:rPr>
        <w:t>P &lt; 0.05 was considered statistically significant.</w:t>
      </w:r>
    </w:p>
    <w:p>
      <w:pPr>
        <w:widowControl/>
        <w:spacing w:line="480" w:lineRule="auto"/>
        <w:rPr>
          <w:rFonts w:ascii="Times New Roman" w:hAnsi="Times New Roman" w:cs="Times New Roman"/>
          <w:sz w:val="24"/>
        </w:rPr>
      </w:pPr>
      <w:r>
        <w:rPr>
          <w:rFonts w:hint="eastAsia" w:ascii="Times New Roman" w:hAnsi="Times New Roman" w:cs="Times New Roman"/>
          <w:b/>
          <w:bCs/>
          <w:sz w:val="24"/>
        </w:rPr>
        <w:t>Reproducibility</w:t>
      </w:r>
    </w:p>
    <w:p>
      <w:pPr>
        <w:widowControl/>
        <w:spacing w:line="480" w:lineRule="auto"/>
        <w:jc w:val="left"/>
        <w:rPr>
          <w:rFonts w:ascii="Times New Roman" w:hAnsi="Times New Roman" w:cs="Times New Roman"/>
          <w:sz w:val="24"/>
        </w:rPr>
      </w:pPr>
      <w:r>
        <w:rPr>
          <w:rFonts w:hint="eastAsia" w:ascii="Times New Roman" w:hAnsi="Times New Roman" w:cs="Times New Roman"/>
          <w:sz w:val="24"/>
        </w:rPr>
        <w:t>To assess the reproducibility of hemodynamics measurement, two experienced readers (20 and 15 years of experience in neuroradiology, respectively) who were blinded to patients</w:t>
      </w:r>
      <w:r>
        <w:rPr>
          <w:rFonts w:ascii="Times New Roman" w:hAnsi="Times New Roman" w:cs="Times New Roman"/>
          <w:sz w:val="24"/>
        </w:rPr>
        <w:t>’</w:t>
      </w:r>
      <w:r>
        <w:rPr>
          <w:rFonts w:hint="eastAsia" w:ascii="Times New Roman" w:hAnsi="Times New Roman" w:cs="Times New Roman"/>
          <w:sz w:val="24"/>
        </w:rPr>
        <w:t xml:space="preserve"> clinical information other than the measurement sites of IAs and APAs performed the hemodynamics measurement at baseline. Then the </w:t>
      </w:r>
      <w:r>
        <w:rPr>
          <w:rFonts w:ascii="Times New Roman" w:hAnsi="Times New Roman" w:cs="Times New Roman"/>
          <w:sz w:val="24"/>
        </w:rPr>
        <w:t xml:space="preserve">interobserver reliability </w:t>
      </w:r>
      <w:r>
        <w:rPr>
          <w:rFonts w:hint="eastAsia" w:ascii="Times New Roman" w:hAnsi="Times New Roman" w:cs="Times New Roman"/>
          <w:sz w:val="24"/>
        </w:rPr>
        <w:t>was evaluated.</w:t>
      </w:r>
    </w:p>
    <w:p>
      <w:pPr>
        <w:widowControl/>
        <w:spacing w:line="360" w:lineRule="auto"/>
        <w:rPr>
          <w:rFonts w:ascii="Times New Roman" w:hAnsi="Times New Roman" w:eastAsia="宋体" w:cs="Times New Roman"/>
          <w:b/>
          <w:bCs/>
          <w:color w:val="000000"/>
          <w:kern w:val="0"/>
          <w:sz w:val="24"/>
          <w:lang w:bidi="ar"/>
        </w:rPr>
      </w:pPr>
      <w:r>
        <w:rPr>
          <w:rFonts w:ascii="Times New Roman" w:hAnsi="Times New Roman" w:eastAsia="宋体" w:cs="Times New Roman"/>
          <w:b/>
          <w:bCs/>
          <w:color w:val="000000"/>
          <w:kern w:val="0"/>
          <w:sz w:val="24"/>
          <w:lang w:bidi="ar"/>
        </w:rPr>
        <w:br w:type="page"/>
      </w:r>
    </w:p>
    <w:p>
      <w:pPr>
        <w:widowControl/>
        <w:spacing w:line="360" w:lineRule="auto"/>
        <w:rPr>
          <w:rFonts w:ascii="Times New Roman" w:hAnsi="Times New Roman" w:eastAsia="宋体" w:cs="Times New Roman"/>
          <w:b/>
          <w:bCs/>
          <w:color w:val="000000"/>
          <w:kern w:val="0"/>
          <w:sz w:val="24"/>
          <w:lang w:bidi="ar"/>
        </w:rPr>
      </w:pPr>
      <w:r>
        <w:rPr>
          <w:rFonts w:hint="eastAsia" w:ascii="Times New Roman" w:hAnsi="Times New Roman" w:eastAsia="宋体" w:cs="Times New Roman"/>
          <w:b/>
          <w:bCs/>
          <w:color w:val="000000"/>
          <w:kern w:val="0"/>
          <w:sz w:val="24"/>
          <w:lang w:bidi="ar"/>
        </w:rPr>
        <w:t>References</w:t>
      </w:r>
    </w:p>
    <w:p>
      <w:pPr>
        <w:autoSpaceDE w:val="0"/>
        <w:autoSpaceDN w:val="0"/>
        <w:adjustRightInd w:val="0"/>
        <w:jc w:val="left"/>
        <w:rPr>
          <w:rFonts w:ascii="Times New Roman" w:hAnsi="Times New Roman" w:cs="Times New Roman"/>
          <w:kern w:val="0"/>
          <w:sz w:val="24"/>
        </w:rPr>
      </w:pPr>
      <w:r>
        <w:fldChar w:fldCharType="begin"/>
      </w:r>
      <w:r>
        <w:instrText xml:space="preserve"> ADDIN ZOTERO_BIBL {"uncited":[],"omitted":[],"custom":[]} CSL_BIBLIOGRAPHY </w:instrText>
      </w:r>
      <w:r>
        <w:fldChar w:fldCharType="separate"/>
      </w:r>
      <w:r>
        <w:rPr>
          <w:rFonts w:ascii="Times New Roman" w:hAnsi="Times New Roman" w:cs="Times New Roman"/>
          <w:kern w:val="0"/>
          <w:sz w:val="24"/>
        </w:rPr>
        <w:t xml:space="preserve">1 </w:t>
      </w:r>
      <w:r>
        <w:rPr>
          <w:rFonts w:ascii="Times New Roman" w:hAnsi="Times New Roman" w:cs="Times New Roman"/>
          <w:kern w:val="0"/>
          <w:sz w:val="24"/>
        </w:rPr>
        <w:tab/>
      </w:r>
      <w:r>
        <w:rPr>
          <w:rFonts w:ascii="Times New Roman" w:hAnsi="Times New Roman" w:cs="Times New Roman"/>
          <w:kern w:val="0"/>
          <w:sz w:val="24"/>
        </w:rPr>
        <w:t xml:space="preserve">Petersson S, Dyverfeldt P, Ebbers T. Assessment of the accuracy of MRI wall shear stress estimation using numerical simulations. </w:t>
      </w:r>
      <w:r>
        <w:rPr>
          <w:rFonts w:ascii="Times New Roman" w:hAnsi="Times New Roman" w:cs="Times New Roman"/>
          <w:i/>
          <w:iCs/>
          <w:kern w:val="0"/>
          <w:sz w:val="24"/>
        </w:rPr>
        <w:t>J Magn Reson Imaging</w:t>
      </w:r>
      <w:r>
        <w:rPr>
          <w:rFonts w:ascii="Times New Roman" w:hAnsi="Times New Roman" w:cs="Times New Roman"/>
          <w:kern w:val="0"/>
          <w:sz w:val="24"/>
        </w:rPr>
        <w:t xml:space="preserve"> 2012;</w:t>
      </w:r>
      <w:r>
        <w:rPr>
          <w:rFonts w:ascii="Times New Roman" w:hAnsi="Times New Roman" w:cs="Times New Roman"/>
          <w:b/>
          <w:bCs/>
          <w:kern w:val="0"/>
          <w:sz w:val="24"/>
        </w:rPr>
        <w:t>36</w:t>
      </w:r>
      <w:r>
        <w:rPr>
          <w:rFonts w:ascii="Times New Roman" w:hAnsi="Times New Roman" w:cs="Times New Roman"/>
          <w:kern w:val="0"/>
          <w:sz w:val="24"/>
        </w:rPr>
        <w:t>:128–38. doi:10.1002/jmri.23610</w:t>
      </w:r>
    </w:p>
    <w:p>
      <w:pPr>
        <w:autoSpaceDE w:val="0"/>
        <w:autoSpaceDN w:val="0"/>
        <w:adjustRightInd w:val="0"/>
        <w:jc w:val="left"/>
        <w:rPr>
          <w:rFonts w:ascii="Times New Roman" w:hAnsi="Times New Roman" w:cs="Times New Roman"/>
          <w:kern w:val="0"/>
          <w:sz w:val="24"/>
        </w:rPr>
      </w:pPr>
      <w:r>
        <w:rPr>
          <w:rFonts w:ascii="Times New Roman" w:hAnsi="Times New Roman" w:cs="Times New Roman"/>
          <w:kern w:val="0"/>
          <w:sz w:val="24"/>
        </w:rPr>
        <w:t xml:space="preserve">2 </w:t>
      </w:r>
      <w:r>
        <w:rPr>
          <w:rFonts w:ascii="Times New Roman" w:hAnsi="Times New Roman" w:cs="Times New Roman"/>
          <w:kern w:val="0"/>
          <w:sz w:val="24"/>
        </w:rPr>
        <w:tab/>
      </w:r>
      <w:r>
        <w:rPr>
          <w:rFonts w:ascii="Times New Roman" w:hAnsi="Times New Roman" w:cs="Times New Roman"/>
          <w:kern w:val="0"/>
          <w:sz w:val="24"/>
        </w:rPr>
        <w:t xml:space="preserve">Orita E, Murai Y, Sekine T, </w:t>
      </w:r>
      <w:r>
        <w:rPr>
          <w:rFonts w:ascii="Times New Roman" w:hAnsi="Times New Roman" w:cs="Times New Roman"/>
          <w:i/>
          <w:iCs/>
          <w:kern w:val="0"/>
          <w:sz w:val="24"/>
        </w:rPr>
        <w:t>et al.</w:t>
      </w:r>
      <w:r>
        <w:rPr>
          <w:rFonts w:ascii="Times New Roman" w:hAnsi="Times New Roman" w:cs="Times New Roman"/>
          <w:kern w:val="0"/>
          <w:sz w:val="24"/>
        </w:rPr>
        <w:t xml:space="preserve"> Four-Dimensional Flow MRI Analysis of Cerebral Blood Flow Before and After High-Flow Extracranial–Intracranial Bypass Surgery With Internal Carotid Artery Ligation. </w:t>
      </w:r>
      <w:r>
        <w:rPr>
          <w:rFonts w:ascii="Times New Roman" w:hAnsi="Times New Roman" w:cs="Times New Roman"/>
          <w:i/>
          <w:iCs/>
          <w:kern w:val="0"/>
          <w:sz w:val="24"/>
        </w:rPr>
        <w:t>Neurosurgery</w:t>
      </w:r>
      <w:r>
        <w:rPr>
          <w:rFonts w:ascii="Times New Roman" w:hAnsi="Times New Roman" w:cs="Times New Roman"/>
          <w:kern w:val="0"/>
          <w:sz w:val="24"/>
        </w:rPr>
        <w:t xml:space="preserve"> 2019;</w:t>
      </w:r>
      <w:r>
        <w:rPr>
          <w:rFonts w:ascii="Times New Roman" w:hAnsi="Times New Roman" w:cs="Times New Roman"/>
          <w:b/>
          <w:bCs/>
          <w:kern w:val="0"/>
          <w:sz w:val="24"/>
        </w:rPr>
        <w:t>85</w:t>
      </w:r>
      <w:r>
        <w:rPr>
          <w:rFonts w:ascii="Times New Roman" w:hAnsi="Times New Roman" w:cs="Times New Roman"/>
          <w:kern w:val="0"/>
          <w:sz w:val="24"/>
        </w:rPr>
        <w:t>:58–64. doi:10.1093/neuros/nyy192</w:t>
      </w:r>
    </w:p>
    <w:p>
      <w:pPr>
        <w:autoSpaceDE w:val="0"/>
        <w:autoSpaceDN w:val="0"/>
        <w:adjustRightInd w:val="0"/>
        <w:jc w:val="left"/>
        <w:rPr>
          <w:rFonts w:ascii="Times New Roman" w:hAnsi="Times New Roman" w:cs="Times New Roman"/>
          <w:kern w:val="0"/>
          <w:sz w:val="24"/>
        </w:rPr>
      </w:pPr>
      <w:r>
        <w:rPr>
          <w:rFonts w:ascii="Times New Roman" w:hAnsi="Times New Roman" w:cs="Times New Roman"/>
          <w:kern w:val="0"/>
          <w:sz w:val="24"/>
        </w:rPr>
        <w:t xml:space="preserve">3 </w:t>
      </w:r>
      <w:r>
        <w:rPr>
          <w:rFonts w:ascii="Times New Roman" w:hAnsi="Times New Roman" w:cs="Times New Roman"/>
          <w:kern w:val="0"/>
          <w:sz w:val="24"/>
        </w:rPr>
        <w:tab/>
      </w:r>
      <w:r>
        <w:rPr>
          <w:rFonts w:ascii="Times New Roman" w:hAnsi="Times New Roman" w:cs="Times New Roman"/>
          <w:kern w:val="0"/>
          <w:sz w:val="24"/>
        </w:rPr>
        <w:t xml:space="preserve">Whelton PK, Carey RM, Aronow WS, </w:t>
      </w:r>
      <w:r>
        <w:rPr>
          <w:rFonts w:ascii="Times New Roman" w:hAnsi="Times New Roman" w:cs="Times New Roman"/>
          <w:i/>
          <w:iCs/>
          <w:kern w:val="0"/>
          <w:sz w:val="24"/>
        </w:rPr>
        <w:t>et al.</w:t>
      </w:r>
      <w:r>
        <w:rPr>
          <w:rFonts w:ascii="Times New Roman" w:hAnsi="Times New Roman" w:cs="Times New Roman"/>
          <w:kern w:val="0"/>
          <w:sz w:val="24"/>
        </w:rPr>
        <w:t xml:space="preserve"> 2017 ACC/AHA/AAPA/ABC/ACPM/AGS/APhA/ASH/ASPC/NMA/PCNA Guideline for the Prevention, Detection, Evaluation, and Management of High Blood Pressure in Adults: Executive Summary: A Report of the American College of Cardiology/American Heart Association Task Force on Clinical Practice Guidelines. </w:t>
      </w:r>
      <w:r>
        <w:rPr>
          <w:rFonts w:ascii="Times New Roman" w:hAnsi="Times New Roman" w:cs="Times New Roman"/>
          <w:i/>
          <w:iCs/>
          <w:kern w:val="0"/>
          <w:sz w:val="24"/>
        </w:rPr>
        <w:t>J Am Coll Cardiol</w:t>
      </w:r>
      <w:r>
        <w:rPr>
          <w:rFonts w:ascii="Times New Roman" w:hAnsi="Times New Roman" w:cs="Times New Roman"/>
          <w:kern w:val="0"/>
          <w:sz w:val="24"/>
        </w:rPr>
        <w:t xml:space="preserve"> 2018;</w:t>
      </w:r>
      <w:r>
        <w:rPr>
          <w:rFonts w:ascii="Times New Roman" w:hAnsi="Times New Roman" w:cs="Times New Roman"/>
          <w:b/>
          <w:bCs/>
          <w:kern w:val="0"/>
          <w:sz w:val="24"/>
        </w:rPr>
        <w:t>71</w:t>
      </w:r>
      <w:r>
        <w:rPr>
          <w:rFonts w:ascii="Times New Roman" w:hAnsi="Times New Roman" w:cs="Times New Roman"/>
          <w:kern w:val="0"/>
          <w:sz w:val="24"/>
        </w:rPr>
        <w:t>:2199–269. doi:10.1016/j.jacc.2017.11.005</w:t>
      </w:r>
    </w:p>
    <w:p>
      <w:pPr>
        <w:autoSpaceDE w:val="0"/>
        <w:autoSpaceDN w:val="0"/>
        <w:adjustRightInd w:val="0"/>
        <w:jc w:val="left"/>
        <w:rPr>
          <w:rFonts w:ascii="Times New Roman" w:hAnsi="Times New Roman" w:cs="Times New Roman"/>
          <w:kern w:val="0"/>
          <w:sz w:val="24"/>
        </w:rPr>
      </w:pPr>
      <w:r>
        <w:rPr>
          <w:rFonts w:ascii="Times New Roman" w:hAnsi="Times New Roman" w:cs="Times New Roman"/>
          <w:kern w:val="0"/>
          <w:sz w:val="24"/>
        </w:rPr>
        <w:t xml:space="preserve">4 </w:t>
      </w:r>
      <w:r>
        <w:rPr>
          <w:rFonts w:ascii="Times New Roman" w:hAnsi="Times New Roman" w:cs="Times New Roman"/>
          <w:kern w:val="0"/>
          <w:sz w:val="24"/>
        </w:rPr>
        <w:tab/>
      </w:r>
      <w:r>
        <w:rPr>
          <w:rFonts w:ascii="Times New Roman" w:hAnsi="Times New Roman" w:cs="Times New Roman"/>
          <w:kern w:val="0"/>
          <w:sz w:val="24"/>
        </w:rPr>
        <w:t xml:space="preserve">Cohen J. </w:t>
      </w:r>
      <w:r>
        <w:rPr>
          <w:rFonts w:ascii="Times New Roman" w:hAnsi="Times New Roman" w:cs="Times New Roman"/>
          <w:i/>
          <w:iCs/>
          <w:kern w:val="0"/>
          <w:sz w:val="24"/>
        </w:rPr>
        <w:t>Statistical power analysis for the behavioral sciences</w:t>
      </w:r>
      <w:r>
        <w:rPr>
          <w:rFonts w:ascii="Times New Roman" w:hAnsi="Times New Roman" w:cs="Times New Roman"/>
          <w:kern w:val="0"/>
          <w:sz w:val="24"/>
        </w:rPr>
        <w:t xml:space="preserve">. 2nd ed. Hillsdale, N.J: : L. Erlbaum Associates 1988. </w:t>
      </w:r>
    </w:p>
    <w:p>
      <w:pPr>
        <w:widowControl/>
        <w:tabs>
          <w:tab w:val="center" w:pos="4150"/>
        </w:tabs>
        <w:autoSpaceDE w:val="0"/>
        <w:autoSpaceDN w:val="0"/>
        <w:adjustRightInd w:val="0"/>
        <w:spacing w:line="360" w:lineRule="auto"/>
        <w:rPr>
          <w:rFonts w:ascii="Times New Roman" w:hAnsi="Times New Roman" w:eastAsia="宋体" w:cs="Times New Roman"/>
          <w:b/>
          <w:bCs/>
          <w:color w:val="000000"/>
          <w:kern w:val="0"/>
          <w:sz w:val="24"/>
          <w:lang w:bidi="ar"/>
        </w:rPr>
      </w:pPr>
      <w:r>
        <w:rPr>
          <w:rFonts w:ascii="Times New Roman" w:hAnsi="Times New Roman" w:cs="Times New Roman"/>
          <w:sz w:val="24"/>
        </w:rPr>
        <w:fldChar w:fldCharType="end"/>
      </w:r>
      <w:r>
        <w:rPr>
          <w:rFonts w:ascii="Times New Roman" w:hAnsi="Times New Roman" w:eastAsia="CIDFont" w:cs="Times New Roman"/>
          <w:b/>
          <w:bCs/>
          <w:color w:val="000000"/>
          <w:kern w:val="0"/>
          <w:sz w:val="24"/>
          <w:lang w:bidi="ar"/>
        </w:rPr>
        <w:br w:type="page"/>
      </w:r>
    </w:p>
    <w:p>
      <w:pPr>
        <w:widowControl/>
        <w:spacing w:line="360" w:lineRule="auto"/>
        <w:jc w:val="center"/>
        <w:rPr>
          <w:rFonts w:ascii="Times New Roman" w:hAnsi="Times New Roman" w:cs="Times New Roman"/>
          <w:b/>
          <w:bCs/>
          <w:sz w:val="24"/>
        </w:rPr>
      </w:pPr>
      <w:r>
        <w:rPr>
          <w:rFonts w:hint="eastAsia" w:ascii="Times New Roman" w:hAnsi="Times New Roman" w:cs="Times New Roman"/>
          <w:b/>
          <w:bCs/>
          <w:sz w:val="28"/>
          <w:szCs w:val="28"/>
        </w:rPr>
        <w:t xml:space="preserve">Supplemental </w:t>
      </w:r>
      <w:r>
        <w:rPr>
          <w:rFonts w:hint="eastAsia" w:ascii="Times New Roman" w:hAnsi="Times New Roman" w:eastAsia="宋体" w:cs="Times New Roman"/>
          <w:b/>
          <w:bCs/>
          <w:sz w:val="28"/>
          <w:szCs w:val="28"/>
          <w:lang w:bidi="ar"/>
        </w:rPr>
        <w:t>Results</w:t>
      </w:r>
    </w:p>
    <w:p>
      <w:pPr>
        <w:widowControl/>
        <w:spacing w:line="480" w:lineRule="auto"/>
        <w:rPr>
          <w:rFonts w:ascii="Times New Roman" w:hAnsi="Times New Roman" w:cs="Times New Roman"/>
          <w:b/>
          <w:bCs/>
          <w:sz w:val="24"/>
        </w:rPr>
      </w:pPr>
      <w:r>
        <w:rPr>
          <w:rFonts w:ascii="Times New Roman" w:hAnsi="Times New Roman" w:cs="Times New Roman"/>
          <w:b/>
          <w:bCs/>
          <w:sz w:val="24"/>
        </w:rPr>
        <w:t xml:space="preserve">Changes in SBP, </w:t>
      </w:r>
      <w:r>
        <w:rPr>
          <w:rFonts w:hint="eastAsia" w:ascii="Times New Roman" w:hAnsi="Times New Roman" w:cs="Times New Roman"/>
          <w:b/>
          <w:bCs/>
          <w:sz w:val="24"/>
        </w:rPr>
        <w:t>d</w:t>
      </w:r>
      <w:r>
        <w:rPr>
          <w:rFonts w:ascii="Times New Roman" w:hAnsi="Times New Roman" w:cs="Times New Roman"/>
          <w:b/>
          <w:bCs/>
          <w:sz w:val="24"/>
        </w:rPr>
        <w:t>iastolic BP</w:t>
      </w:r>
      <w:r>
        <w:rPr>
          <w:rFonts w:hint="eastAsia" w:ascii="Times New Roman" w:hAnsi="Times New Roman" w:cs="Times New Roman"/>
          <w:b/>
          <w:bCs/>
          <w:sz w:val="24"/>
        </w:rPr>
        <w:t xml:space="preserve"> (DBP)</w:t>
      </w:r>
      <w:r>
        <w:rPr>
          <w:rFonts w:ascii="Times New Roman" w:hAnsi="Times New Roman" w:cs="Times New Roman"/>
          <w:b/>
          <w:bCs/>
          <w:sz w:val="24"/>
        </w:rPr>
        <w:t xml:space="preserve">, </w:t>
      </w:r>
      <w:r>
        <w:rPr>
          <w:rFonts w:hint="eastAsia" w:ascii="Times New Roman" w:hAnsi="Times New Roman" w:cs="Times New Roman"/>
          <w:b/>
          <w:bCs/>
          <w:sz w:val="24"/>
        </w:rPr>
        <w:t>m</w:t>
      </w:r>
      <w:r>
        <w:rPr>
          <w:rFonts w:ascii="Times New Roman" w:hAnsi="Times New Roman" w:cs="Times New Roman"/>
          <w:b/>
          <w:bCs/>
          <w:sz w:val="24"/>
        </w:rPr>
        <w:t xml:space="preserve">ean </w:t>
      </w:r>
      <w:r>
        <w:rPr>
          <w:rFonts w:hint="eastAsia" w:ascii="Times New Roman" w:hAnsi="Times New Roman" w:cs="Times New Roman"/>
          <w:b/>
          <w:bCs/>
          <w:sz w:val="24"/>
        </w:rPr>
        <w:t>a</w:t>
      </w:r>
      <w:r>
        <w:rPr>
          <w:rFonts w:ascii="Times New Roman" w:hAnsi="Times New Roman" w:cs="Times New Roman"/>
          <w:b/>
          <w:bCs/>
          <w:sz w:val="24"/>
        </w:rPr>
        <w:t xml:space="preserve">rterial </w:t>
      </w:r>
      <w:r>
        <w:rPr>
          <w:rFonts w:hint="eastAsia" w:ascii="Times New Roman" w:hAnsi="Times New Roman" w:cs="Times New Roman"/>
          <w:b/>
          <w:bCs/>
          <w:sz w:val="24"/>
        </w:rPr>
        <w:t>p</w:t>
      </w:r>
      <w:r>
        <w:rPr>
          <w:rFonts w:ascii="Times New Roman" w:hAnsi="Times New Roman" w:cs="Times New Roman"/>
          <w:b/>
          <w:bCs/>
          <w:sz w:val="24"/>
        </w:rPr>
        <w:t>ressure</w:t>
      </w:r>
      <w:r>
        <w:rPr>
          <w:rFonts w:hint="eastAsia" w:ascii="Times New Roman" w:hAnsi="Times New Roman" w:cs="Times New Roman"/>
          <w:b/>
          <w:bCs/>
          <w:sz w:val="24"/>
        </w:rPr>
        <w:t xml:space="preserve"> (MAP)</w:t>
      </w:r>
      <w:r>
        <w:rPr>
          <w:rFonts w:ascii="Times New Roman" w:hAnsi="Times New Roman" w:cs="Times New Roman"/>
          <w:b/>
          <w:bCs/>
          <w:sz w:val="24"/>
        </w:rPr>
        <w:t xml:space="preserve">, and </w:t>
      </w:r>
      <w:r>
        <w:rPr>
          <w:rFonts w:hint="eastAsia" w:ascii="Times New Roman" w:hAnsi="Times New Roman" w:cs="Times New Roman"/>
          <w:b/>
          <w:bCs/>
          <w:sz w:val="24"/>
        </w:rPr>
        <w:t>p</w:t>
      </w:r>
      <w:r>
        <w:rPr>
          <w:rFonts w:ascii="Times New Roman" w:hAnsi="Times New Roman" w:cs="Times New Roman"/>
          <w:b/>
          <w:bCs/>
          <w:sz w:val="24"/>
        </w:rPr>
        <w:t xml:space="preserve">ulse </w:t>
      </w:r>
      <w:r>
        <w:rPr>
          <w:rFonts w:hint="eastAsia" w:ascii="Times New Roman" w:hAnsi="Times New Roman" w:cs="Times New Roman"/>
          <w:b/>
          <w:bCs/>
          <w:sz w:val="24"/>
        </w:rPr>
        <w:t>p</w:t>
      </w:r>
      <w:r>
        <w:rPr>
          <w:rFonts w:ascii="Times New Roman" w:hAnsi="Times New Roman" w:cs="Times New Roman"/>
          <w:b/>
          <w:bCs/>
          <w:sz w:val="24"/>
        </w:rPr>
        <w:t>ressure</w:t>
      </w:r>
      <w:r>
        <w:rPr>
          <w:rFonts w:hint="eastAsia" w:ascii="Times New Roman" w:hAnsi="Times New Roman" w:cs="Times New Roman"/>
          <w:b/>
          <w:bCs/>
          <w:sz w:val="24"/>
        </w:rPr>
        <w:t xml:space="preserve"> (PP)</w:t>
      </w:r>
    </w:p>
    <w:p>
      <w:pPr>
        <w:widowControl/>
        <w:spacing w:line="480" w:lineRule="auto"/>
        <w:rPr>
          <w:rFonts w:ascii="Times New Roman" w:hAnsi="Times New Roman" w:eastAsia="Times-Roman" w:cs="Times New Roman"/>
          <w:color w:val="231F20"/>
          <w:kern w:val="0"/>
          <w:sz w:val="24"/>
          <w:lang w:bidi="ar"/>
        </w:rPr>
      </w:pPr>
      <w:r>
        <w:rPr>
          <w:rFonts w:ascii="Times New Roman" w:hAnsi="Times New Roman" w:eastAsia="Times-Roman" w:cs="Times New Roman"/>
          <w:b/>
          <w:bCs/>
          <w:color w:val="231F20"/>
          <w:kern w:val="0"/>
          <w:sz w:val="24"/>
          <w:lang w:bidi="ar"/>
        </w:rPr>
        <w:t xml:space="preserve">Table </w:t>
      </w:r>
      <w:r>
        <w:rPr>
          <w:rFonts w:hint="eastAsia" w:ascii="Times New Roman" w:hAnsi="Times New Roman" w:eastAsia="Times-Roman" w:cs="Times New Roman"/>
          <w:b/>
          <w:bCs/>
          <w:color w:val="231F20"/>
          <w:kern w:val="0"/>
          <w:sz w:val="24"/>
          <w:lang w:bidi="ar"/>
        </w:rPr>
        <w:t>S2</w:t>
      </w:r>
      <w:r>
        <w:rPr>
          <w:rFonts w:ascii="Times New Roman" w:hAnsi="Times New Roman" w:eastAsia="Times-Roman" w:cs="Times New Roman"/>
          <w:color w:val="231F20"/>
          <w:kern w:val="0"/>
          <w:sz w:val="24"/>
          <w:lang w:bidi="ar"/>
        </w:rPr>
        <w:t xml:space="preserve"> summarize</w:t>
      </w:r>
      <w:r>
        <w:rPr>
          <w:rFonts w:hint="eastAsia" w:ascii="Times New Roman" w:hAnsi="Times New Roman" w:eastAsia="Times-Roman" w:cs="Times New Roman"/>
          <w:color w:val="231F20"/>
          <w:kern w:val="0"/>
          <w:sz w:val="24"/>
          <w:lang w:bidi="ar"/>
        </w:rPr>
        <w:t>s</w:t>
      </w:r>
      <w:r>
        <w:rPr>
          <w:rFonts w:ascii="Times New Roman" w:hAnsi="Times New Roman" w:eastAsia="Times-Roman" w:cs="Times New Roman"/>
          <w:color w:val="231F20"/>
          <w:kern w:val="0"/>
          <w:sz w:val="24"/>
          <w:lang w:bidi="ar"/>
        </w:rPr>
        <w:t xml:space="preserve"> the changes in SBP, </w:t>
      </w:r>
      <w:r>
        <w:rPr>
          <w:rFonts w:hint="eastAsia" w:ascii="Times New Roman" w:hAnsi="Times New Roman" w:eastAsia="Times-Roman" w:cs="Times New Roman"/>
          <w:color w:val="231F20"/>
          <w:kern w:val="0"/>
          <w:sz w:val="24"/>
          <w:lang w:bidi="ar"/>
        </w:rPr>
        <w:t>D</w:t>
      </w:r>
      <w:r>
        <w:rPr>
          <w:rFonts w:ascii="Times New Roman" w:hAnsi="Times New Roman" w:eastAsia="Times-Roman" w:cs="Times New Roman"/>
          <w:color w:val="231F20"/>
          <w:kern w:val="0"/>
          <w:sz w:val="24"/>
          <w:lang w:bidi="ar"/>
        </w:rPr>
        <w:t>BP</w:t>
      </w:r>
      <w:r>
        <w:rPr>
          <w:rFonts w:hint="eastAsia" w:ascii="Times New Roman" w:hAnsi="Times New Roman" w:eastAsia="Times-Roman" w:cs="Times New Roman"/>
          <w:color w:val="231F20"/>
          <w:kern w:val="0"/>
          <w:sz w:val="24"/>
          <w:lang w:bidi="ar"/>
        </w:rPr>
        <w:t>, MAP,</w:t>
      </w:r>
      <w:r>
        <w:rPr>
          <w:rFonts w:ascii="Times New Roman" w:hAnsi="Times New Roman" w:eastAsia="Times-Roman" w:cs="Times New Roman"/>
          <w:color w:val="231F20"/>
          <w:kern w:val="0"/>
          <w:sz w:val="24"/>
          <w:lang w:bidi="ar"/>
        </w:rPr>
        <w:t xml:space="preserve"> and </w:t>
      </w:r>
      <w:r>
        <w:rPr>
          <w:rFonts w:hint="eastAsia" w:ascii="Times New Roman" w:hAnsi="Times New Roman" w:eastAsia="Times-Roman" w:cs="Times New Roman"/>
          <w:color w:val="231F20"/>
          <w:kern w:val="0"/>
          <w:sz w:val="24"/>
          <w:lang w:bidi="ar"/>
        </w:rPr>
        <w:t>PP before and</w:t>
      </w:r>
      <w:r>
        <w:rPr>
          <w:rFonts w:ascii="Times New Roman" w:hAnsi="Times New Roman" w:eastAsia="Times-Roman" w:cs="Times New Roman"/>
          <w:color w:val="231F20"/>
          <w:kern w:val="0"/>
          <w:sz w:val="24"/>
          <w:lang w:bidi="ar"/>
        </w:rPr>
        <w:t xml:space="preserve"> after </w:t>
      </w:r>
      <w:r>
        <w:rPr>
          <w:rFonts w:hint="eastAsia" w:ascii="Times New Roman" w:hAnsi="Times New Roman" w:eastAsia="Times-Roman" w:cs="Times New Roman"/>
          <w:color w:val="231F20"/>
          <w:kern w:val="0"/>
          <w:sz w:val="24"/>
          <w:lang w:bidi="ar"/>
        </w:rPr>
        <w:t xml:space="preserve">oral nifedipine </w:t>
      </w:r>
      <w:r>
        <w:rPr>
          <w:rFonts w:ascii="Times New Roman" w:hAnsi="Times New Roman" w:eastAsia="Times-Roman" w:cs="Times New Roman"/>
          <w:color w:val="231F20"/>
          <w:kern w:val="0"/>
          <w:sz w:val="24"/>
          <w:lang w:bidi="ar"/>
        </w:rPr>
        <w:t>treatment</w:t>
      </w:r>
      <w:r>
        <w:rPr>
          <w:rFonts w:hint="eastAsia" w:ascii="Times New Roman" w:hAnsi="Times New Roman" w:eastAsia="Times-Roman" w:cs="Times New Roman"/>
          <w:color w:val="231F20"/>
          <w:kern w:val="0"/>
          <w:sz w:val="24"/>
          <w:lang w:bidi="ar"/>
        </w:rPr>
        <w:t xml:space="preserve"> in the IAs </w:t>
      </w:r>
      <w:r>
        <w:rPr>
          <w:rFonts w:ascii="Times New Roman" w:hAnsi="Times New Roman" w:cs="Times New Roman"/>
          <w:sz w:val="24"/>
        </w:rPr>
        <w:t>hemodynamic analys</w:t>
      </w:r>
      <w:r>
        <w:rPr>
          <w:rFonts w:hint="eastAsia" w:ascii="Times New Roman" w:hAnsi="Times New Roman" w:cs="Times New Roman"/>
          <w:sz w:val="24"/>
        </w:rPr>
        <w:t>i</w:t>
      </w:r>
      <w:r>
        <w:rPr>
          <w:rFonts w:ascii="Times New Roman" w:hAnsi="Times New Roman" w:cs="Times New Roman"/>
          <w:sz w:val="24"/>
        </w:rPr>
        <w:t>s</w:t>
      </w:r>
      <w:r>
        <w:rPr>
          <w:rFonts w:hint="eastAsia" w:ascii="Times New Roman" w:hAnsi="Times New Roman" w:cs="Times New Roman"/>
          <w:sz w:val="24"/>
        </w:rPr>
        <w:t xml:space="preserve"> group</w:t>
      </w:r>
      <w:r>
        <w:rPr>
          <w:rFonts w:ascii="Times New Roman" w:hAnsi="Times New Roman" w:eastAsia="Times-Roman" w:cs="Times New Roman"/>
          <w:color w:val="231F20"/>
          <w:kern w:val="0"/>
          <w:sz w:val="24"/>
          <w:lang w:bidi="ar"/>
        </w:rPr>
        <w:t xml:space="preserve">. </w:t>
      </w:r>
      <w:r>
        <w:rPr>
          <w:rFonts w:hint="eastAsia" w:ascii="Times New Roman" w:hAnsi="Times New Roman" w:eastAsia="Times-Roman" w:cs="Times New Roman"/>
          <w:color w:val="231F20"/>
          <w:kern w:val="0"/>
          <w:sz w:val="24"/>
          <w:lang w:bidi="ar"/>
        </w:rPr>
        <w:t xml:space="preserve">All of them decreased significantly after nifedipine medication. </w:t>
      </w:r>
      <w:r>
        <w:rPr>
          <w:rFonts w:hint="eastAsia" w:ascii="Times New Roman" w:hAnsi="Times New Roman" w:cs="Times New Roman"/>
          <w:sz w:val="24"/>
        </w:rPr>
        <w:t>At baseline, SBP ranged between 130 and 190 mmHg (</w:t>
      </w:r>
      <w:r>
        <w:rPr>
          <w:rFonts w:hint="eastAsia" w:ascii="Times New Roman" w:hAnsi="Times New Roman" w:cs="Times New Roman"/>
          <w:color w:val="000000" w:themeColor="text1"/>
          <w:sz w:val="24"/>
          <w14:textFill>
            <w14:solidFill>
              <w14:schemeClr w14:val="tx1"/>
            </w14:solidFill>
          </w14:textFill>
        </w:rPr>
        <w:t>151.2</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13.7 mmHg, mean</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SD</w:t>
      </w:r>
      <w:r>
        <w:rPr>
          <w:rFonts w:hint="eastAsia" w:ascii="Times New Roman" w:hAnsi="Times New Roman" w:cs="Times New Roman"/>
          <w:sz w:val="24"/>
        </w:rPr>
        <w:t>). After nifedipine treatment, SBP ranged between 100 and 162 mmHg (</w:t>
      </w:r>
      <w:r>
        <w:rPr>
          <w:rFonts w:hint="eastAsia" w:ascii="Times New Roman" w:hAnsi="Times New Roman" w:eastAsia="Times-Roman" w:cs="Times New Roman"/>
          <w:kern w:val="0"/>
          <w:sz w:val="24"/>
        </w:rPr>
        <w:t>131.4</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13.1</w:t>
      </w:r>
      <w:r>
        <w:rPr>
          <w:rFonts w:hint="eastAsia" w:ascii="Times New Roman" w:hAnsi="Times New Roman" w:cs="Times New Roman"/>
          <w:sz w:val="24"/>
        </w:rPr>
        <w:t xml:space="preserve"> mm Hg</w:t>
      </w:r>
      <w:r>
        <w:rPr>
          <w:rFonts w:hint="eastAsia" w:ascii="Times New Roman" w:hAnsi="Times New Roman" w:eastAsia="Times-Roman" w:cs="Times New Roman"/>
          <w:kern w:val="0"/>
          <w:sz w:val="24"/>
        </w:rPr>
        <w:t>, mean</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SD</w:t>
      </w:r>
      <w:r>
        <w:rPr>
          <w:rFonts w:hint="eastAsia" w:ascii="Times New Roman" w:hAnsi="Times New Roman" w:cs="Times New Roman"/>
          <w:sz w:val="24"/>
        </w:rPr>
        <w:t xml:space="preserve">). </w:t>
      </w:r>
      <w:r>
        <w:rPr>
          <w:rFonts w:ascii="Times New Roman" w:hAnsi="Times New Roman" w:eastAsia="Times-Roman" w:cs="Times New Roman"/>
          <w:color w:val="231F20"/>
          <w:kern w:val="0"/>
          <w:sz w:val="24"/>
          <w:lang w:bidi="ar"/>
        </w:rPr>
        <w:t>There were no study-related adverse events</w:t>
      </w:r>
      <w:r>
        <w:rPr>
          <w:rFonts w:hint="eastAsia" w:ascii="Times New Roman" w:hAnsi="Times New Roman" w:eastAsia="Times-Roman" w:cs="Times New Roman"/>
          <w:color w:val="231F20"/>
          <w:kern w:val="0"/>
          <w:sz w:val="24"/>
          <w:lang w:bidi="ar"/>
        </w:rPr>
        <w:t xml:space="preserve"> during the </w:t>
      </w:r>
      <w:r>
        <w:rPr>
          <w:rFonts w:hint="eastAsia" w:ascii="Times New Roman" w:hAnsi="Times New Roman" w:eastAsia="Times-Roman" w:cs="Times New Roman"/>
          <w:sz w:val="24"/>
        </w:rPr>
        <w:t>a</w:t>
      </w:r>
      <w:r>
        <w:rPr>
          <w:rFonts w:ascii="Times New Roman" w:hAnsi="Times New Roman" w:cs="Times New Roman"/>
          <w:sz w:val="24"/>
        </w:rPr>
        <w:t>nti</w:t>
      </w:r>
      <w:r>
        <w:rPr>
          <w:rFonts w:hint="eastAsia" w:ascii="Times New Roman" w:hAnsi="Times New Roman" w:cs="Times New Roman"/>
          <w:sz w:val="24"/>
        </w:rPr>
        <w:t>-</w:t>
      </w:r>
      <w:r>
        <w:rPr>
          <w:rFonts w:ascii="Times New Roman" w:hAnsi="Times New Roman" w:cs="Times New Roman"/>
          <w:sz w:val="24"/>
        </w:rPr>
        <w:t>hypertensive treatment procedure</w:t>
      </w:r>
      <w:r>
        <w:rPr>
          <w:rFonts w:ascii="Times New Roman" w:hAnsi="Times New Roman" w:eastAsia="Times-Roman" w:cs="Times New Roman"/>
          <w:color w:val="231F20"/>
          <w:kern w:val="0"/>
          <w:sz w:val="24"/>
          <w:lang w:bidi="ar"/>
        </w:rPr>
        <w:t>.</w:t>
      </w:r>
    </w:p>
    <w:p>
      <w:pPr>
        <w:widowControl/>
        <w:spacing w:line="480" w:lineRule="auto"/>
        <w:rPr>
          <w:rFonts w:ascii="Times New Roman" w:hAnsi="Times New Roman" w:eastAsia="宋体" w:cs="Times New Roman"/>
          <w:b/>
          <w:bCs/>
          <w:sz w:val="24"/>
          <w:lang w:bidi="ar"/>
        </w:rPr>
      </w:pPr>
      <w:r>
        <w:rPr>
          <w:rFonts w:hint="eastAsia" w:ascii="Times New Roman" w:hAnsi="Times New Roman" w:eastAsia="Times-Roman" w:cs="Times New Roman"/>
          <w:color w:val="231F20"/>
          <w:kern w:val="0"/>
          <w:sz w:val="24"/>
          <w:lang w:bidi="ar"/>
        </w:rPr>
        <w:t xml:space="preserve">There are 8 patients underwent invalid anti-hypertensive treatment. </w:t>
      </w:r>
      <w:r>
        <w:rPr>
          <w:rFonts w:hint="eastAsia" w:ascii="Times New Roman" w:hAnsi="Times New Roman" w:cs="Times New Roman"/>
          <w:sz w:val="24"/>
        </w:rPr>
        <w:t>Continuous BP reduction of less than 5 mmHg after oral nifedipine occurred in six patients, while BP was even raised after the second MRI and higher than at baseline occurred in two patients. To maintain consistency of research data, those 8 patients were not included in the analysis although they performed the second MRI.</w:t>
      </w:r>
    </w:p>
    <w:p>
      <w:pPr>
        <w:widowControl/>
        <w:autoSpaceDE w:val="0"/>
        <w:autoSpaceDN w:val="0"/>
        <w:adjustRightInd w:val="0"/>
        <w:spacing w:line="480" w:lineRule="auto"/>
        <w:rPr>
          <w:rFonts w:ascii="Times New Roman" w:hAnsi="Times New Roman" w:eastAsia="宋体" w:cs="Times New Roman"/>
          <w:b/>
          <w:bCs/>
          <w:sz w:val="24"/>
          <w:lang w:bidi="ar"/>
        </w:rPr>
      </w:pPr>
      <w:r>
        <w:rPr>
          <w:rFonts w:hint="eastAsia" w:ascii="Times New Roman" w:hAnsi="Times New Roman" w:eastAsia="宋体" w:cs="Times New Roman"/>
          <w:b/>
          <w:bCs/>
          <w:sz w:val="24"/>
          <w:lang w:bidi="ar"/>
        </w:rPr>
        <w:t>Reproducibility</w:t>
      </w:r>
    </w:p>
    <w:p>
      <w:pPr>
        <w:widowControl/>
        <w:spacing w:line="480" w:lineRule="auto"/>
        <w:rPr>
          <w:rFonts w:ascii="Times New Roman" w:hAnsi="Times New Roman" w:cs="Times New Roman"/>
          <w:b/>
          <w:bCs/>
          <w:sz w:val="24"/>
        </w:rPr>
      </w:pPr>
      <w:r>
        <w:rPr>
          <w:rFonts w:hint="eastAsia" w:ascii="Times New Roman" w:hAnsi="Times New Roman"/>
          <w:sz w:val="24"/>
        </w:rPr>
        <w:t>I</w:t>
      </w:r>
      <w:r>
        <w:rPr>
          <w:rFonts w:ascii="Times New Roman" w:hAnsi="Times New Roman"/>
          <w:sz w:val="24"/>
        </w:rPr>
        <w:t>ntraclass correlation coefficient was</w:t>
      </w:r>
      <w:r>
        <w:rPr>
          <w:rFonts w:hint="eastAsia" w:ascii="Times New Roman" w:hAnsi="Times New Roman" w:cs="Times New Roman"/>
          <w:sz w:val="24"/>
        </w:rPr>
        <w:t xml:space="preserve"> used to evaluate the </w:t>
      </w:r>
      <w:r>
        <w:rPr>
          <w:rFonts w:ascii="Times New Roman" w:hAnsi="Times New Roman" w:cs="Times New Roman"/>
          <w:sz w:val="24"/>
        </w:rPr>
        <w:t xml:space="preserve">interobserver reliability </w:t>
      </w:r>
      <w:r>
        <w:rPr>
          <w:rFonts w:hint="eastAsia" w:ascii="Times New Roman" w:hAnsi="Times New Roman" w:cs="Times New Roman"/>
          <w:sz w:val="24"/>
        </w:rPr>
        <w:t xml:space="preserve">of meaurements in hemodynamics before nifedipine medication. </w:t>
      </w:r>
      <w:r>
        <w:rPr>
          <w:rFonts w:hint="eastAsia" w:ascii="Times New Roman" w:hAnsi="Times New Roman" w:cs="Times New Roman"/>
          <w:sz w:val="24"/>
          <w:lang w:bidi="ar"/>
        </w:rPr>
        <w:t xml:space="preserve">For the </w:t>
      </w:r>
      <w:r>
        <w:rPr>
          <w:rFonts w:ascii="Times New Roman" w:hAnsi="Times New Roman" w:eastAsia="宋体" w:cs="Times New Roman"/>
          <w:sz w:val="24"/>
          <w:lang w:bidi="ar"/>
        </w:rPr>
        <w:t xml:space="preserve">the </w:t>
      </w:r>
      <w:r>
        <w:rPr>
          <w:rFonts w:hint="eastAsia" w:ascii="Times New Roman" w:hAnsi="Times New Roman" w:cs="Times New Roman"/>
          <w:sz w:val="24"/>
          <w:lang w:bidi="ar"/>
        </w:rPr>
        <w:t>measurement</w:t>
      </w:r>
      <w:r>
        <w:rPr>
          <w:rFonts w:ascii="Times New Roman" w:hAnsi="Times New Roman" w:eastAsia="宋体" w:cs="Times New Roman"/>
          <w:sz w:val="24"/>
          <w:lang w:bidi="ar"/>
        </w:rPr>
        <w:t xml:space="preserve"> of</w:t>
      </w:r>
      <w:r>
        <w:rPr>
          <w:rFonts w:hint="eastAsia" w:ascii="Times New Roman" w:hAnsi="Times New Roman" w:eastAsia="宋体" w:cs="Times New Roman"/>
          <w:sz w:val="24"/>
          <w:lang w:bidi="ar"/>
        </w:rPr>
        <w:t xml:space="preserve"> IA </w:t>
      </w:r>
      <w:r>
        <w:rPr>
          <w:rFonts w:hint="eastAsia" w:ascii="Times New Roman" w:hAnsi="Times New Roman" w:cs="Times New Roman"/>
          <w:sz w:val="24"/>
          <w:lang w:bidi="ar"/>
        </w:rPr>
        <w:t>hemodynamics (</w:t>
      </w:r>
      <w:r>
        <w:rPr>
          <w:rFonts w:ascii="Times New Roman" w:hAnsi="Times New Roman" w:eastAsia="宋体" w:cs="Times New Roman"/>
          <w:kern w:val="0"/>
          <w:sz w:val="24"/>
        </w:rPr>
        <w:t>V</w:t>
      </w:r>
      <w:r>
        <w:rPr>
          <w:rFonts w:ascii="Times New Roman" w:hAnsi="Times New Roman" w:eastAsia="宋体" w:cs="Times New Roman"/>
          <w:kern w:val="0"/>
          <w:sz w:val="24"/>
          <w:vertAlign w:val="subscript"/>
        </w:rPr>
        <w:t>IA</w:t>
      </w:r>
      <w:r>
        <w:rPr>
          <w:rFonts w:hint="eastAsia" w:ascii="Times New Roman" w:hAnsi="Times New Roman" w:eastAsia="宋体" w:cs="Times New Roman"/>
          <w:kern w:val="0"/>
          <w:sz w:val="24"/>
        </w:rPr>
        <w:t>,</w:t>
      </w:r>
      <w:r>
        <w:rPr>
          <w:rFonts w:hint="eastAsia" w:ascii="Times New Roman" w:hAnsi="Times New Roman" w:eastAsia="宋体" w:cs="Times New Roman"/>
          <w:kern w:val="0"/>
          <w:sz w:val="24"/>
          <w:vertAlign w:val="subscript"/>
        </w:rPr>
        <w:t xml:space="preserve"> </w:t>
      </w:r>
      <w:r>
        <w:rPr>
          <w:rFonts w:ascii="Times New Roman" w:hAnsi="Times New Roman" w:eastAsia="宋体" w:cs="Times New Roman"/>
          <w:kern w:val="0"/>
          <w:sz w:val="24"/>
        </w:rPr>
        <w:t>Flow</w:t>
      </w:r>
      <w:r>
        <w:rPr>
          <w:rFonts w:ascii="Times New Roman" w:hAnsi="Times New Roman" w:eastAsia="宋体" w:cs="Times New Roman"/>
          <w:kern w:val="0"/>
          <w:sz w:val="24"/>
          <w:vertAlign w:val="subscript"/>
        </w:rPr>
        <w:t>IA</w:t>
      </w:r>
      <w:r>
        <w:rPr>
          <w:rFonts w:hint="eastAsia" w:ascii="Times New Roman" w:hAnsi="Times New Roman" w:eastAsia="宋体" w:cs="Times New Roman"/>
          <w:kern w:val="0"/>
          <w:sz w:val="24"/>
        </w:rPr>
        <w:t>, and aWSS)</w:t>
      </w:r>
      <w:r>
        <w:rPr>
          <w:rFonts w:hint="eastAsia" w:ascii="Times New Roman" w:hAnsi="Times New Roman" w:cs="Times New Roman"/>
          <w:sz w:val="24"/>
          <w:lang w:bidi="ar"/>
        </w:rPr>
        <w:t xml:space="preserve"> in the</w:t>
      </w:r>
      <w:r>
        <w:rPr>
          <w:rFonts w:hint="eastAsia" w:ascii="Times New Roman" w:hAnsi="Times New Roman" w:cs="Times New Roman"/>
          <w:sz w:val="24"/>
          <w:vertAlign w:val="subscript"/>
          <w:lang w:bidi="ar"/>
        </w:rPr>
        <w:t xml:space="preserve"> </w:t>
      </w:r>
      <w:r>
        <w:rPr>
          <w:rFonts w:hint="eastAsia" w:ascii="Times New Roman" w:hAnsi="Times New Roman" w:cs="Times New Roman"/>
          <w:sz w:val="24"/>
          <w:lang w:bidi="ar"/>
        </w:rPr>
        <w:t>included fifty-seven patients, the i</w:t>
      </w:r>
      <w:r>
        <w:rPr>
          <w:rFonts w:ascii="Times New Roman" w:hAnsi="Times New Roman" w:eastAsia="宋体" w:cs="Times New Roman"/>
          <w:sz w:val="24"/>
          <w:lang w:bidi="ar"/>
        </w:rPr>
        <w:t xml:space="preserve">nterobserver agreement was </w:t>
      </w:r>
      <w:r>
        <w:rPr>
          <w:rFonts w:hint="eastAsia" w:ascii="Times New Roman" w:hAnsi="Times New Roman" w:eastAsia="宋体" w:cs="Times New Roman"/>
          <w:sz w:val="24"/>
          <w:lang w:bidi="ar"/>
        </w:rPr>
        <w:t>good</w:t>
      </w:r>
      <w:r>
        <w:rPr>
          <w:rFonts w:hint="eastAsia" w:ascii="Times New Roman" w:hAnsi="Times New Roman" w:cs="Times New Roman"/>
          <w:sz w:val="24"/>
          <w:lang w:bidi="ar"/>
        </w:rPr>
        <w:t xml:space="preserve"> </w:t>
      </w:r>
      <w:r>
        <w:rPr>
          <w:rFonts w:ascii="Times New Roman" w:hAnsi="Times New Roman" w:eastAsia="宋体" w:cs="Times New Roman"/>
          <w:sz w:val="24"/>
          <w:lang w:bidi="ar"/>
        </w:rPr>
        <w:t>(intraclass correlation coefficient =0.</w:t>
      </w:r>
      <w:r>
        <w:rPr>
          <w:rFonts w:hint="eastAsia" w:ascii="Times New Roman" w:hAnsi="Times New Roman" w:eastAsia="宋体" w:cs="Times New Roman"/>
          <w:sz w:val="24"/>
          <w:lang w:bidi="ar"/>
        </w:rPr>
        <w:t>92</w:t>
      </w:r>
      <w:r>
        <w:rPr>
          <w:rFonts w:ascii="Times New Roman" w:hAnsi="Times New Roman" w:eastAsia="宋体" w:cs="Times New Roman"/>
          <w:sz w:val="24"/>
          <w:lang w:bidi="ar"/>
        </w:rPr>
        <w:t xml:space="preserve"> [95% CI, 0.</w:t>
      </w:r>
      <w:r>
        <w:rPr>
          <w:rFonts w:hint="eastAsia" w:ascii="Times New Roman" w:hAnsi="Times New Roman" w:cs="Times New Roman"/>
          <w:sz w:val="24"/>
          <w:lang w:bidi="ar"/>
        </w:rPr>
        <w:t>87</w:t>
      </w:r>
      <w:r>
        <w:rPr>
          <w:rFonts w:ascii="Times New Roman" w:hAnsi="Times New Roman" w:eastAsia="宋体" w:cs="Times New Roman"/>
          <w:sz w:val="24"/>
          <w:lang w:bidi="ar"/>
        </w:rPr>
        <w:t>–0.9</w:t>
      </w:r>
      <w:r>
        <w:rPr>
          <w:rFonts w:hint="eastAsia" w:ascii="Times New Roman" w:hAnsi="Times New Roman" w:cs="Times New Roman"/>
          <w:sz w:val="24"/>
          <w:lang w:bidi="ar"/>
        </w:rPr>
        <w:t>5</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0.</w:t>
      </w:r>
      <w:r>
        <w:rPr>
          <w:rFonts w:hint="eastAsia" w:ascii="Times New Roman" w:hAnsi="Times New Roman" w:eastAsia="宋体" w:cs="Times New Roman"/>
          <w:sz w:val="24"/>
          <w:lang w:bidi="ar"/>
        </w:rPr>
        <w:t>91</w:t>
      </w:r>
      <w:r>
        <w:rPr>
          <w:rFonts w:ascii="Times New Roman" w:hAnsi="Times New Roman" w:eastAsia="宋体" w:cs="Times New Roman"/>
          <w:sz w:val="24"/>
          <w:lang w:bidi="ar"/>
        </w:rPr>
        <w:t xml:space="preserve"> [95% CI, 0.</w:t>
      </w:r>
      <w:r>
        <w:rPr>
          <w:rFonts w:hint="eastAsia" w:ascii="Times New Roman" w:hAnsi="Times New Roman" w:eastAsia="宋体" w:cs="Times New Roman"/>
          <w:sz w:val="24"/>
          <w:lang w:bidi="ar"/>
        </w:rPr>
        <w:t>86</w:t>
      </w:r>
      <w:r>
        <w:rPr>
          <w:rFonts w:ascii="Times New Roman" w:hAnsi="Times New Roman" w:eastAsia="宋体" w:cs="Times New Roman"/>
          <w:sz w:val="24"/>
          <w:lang w:bidi="ar"/>
        </w:rPr>
        <w:t>–0.9</w:t>
      </w:r>
      <w:r>
        <w:rPr>
          <w:rFonts w:hint="eastAsia" w:ascii="Times New Roman" w:hAnsi="Times New Roman" w:eastAsia="宋体" w:cs="Times New Roman"/>
          <w:sz w:val="24"/>
          <w:lang w:bidi="ar"/>
        </w:rPr>
        <w:t>5</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0.86 </w:t>
      </w:r>
      <w:r>
        <w:rPr>
          <w:rFonts w:ascii="Times New Roman" w:hAnsi="Times New Roman" w:eastAsia="宋体" w:cs="Times New Roman"/>
          <w:sz w:val="24"/>
          <w:lang w:bidi="ar"/>
        </w:rPr>
        <w:t>[95% CI, 0.</w:t>
      </w:r>
      <w:r>
        <w:rPr>
          <w:rFonts w:hint="eastAsia" w:ascii="Times New Roman" w:hAnsi="Times New Roman" w:cs="Times New Roman"/>
          <w:sz w:val="24"/>
          <w:lang w:bidi="ar"/>
        </w:rPr>
        <w:t>78</w:t>
      </w:r>
      <w:r>
        <w:rPr>
          <w:rFonts w:ascii="Times New Roman" w:hAnsi="Times New Roman" w:eastAsia="宋体" w:cs="Times New Roman"/>
          <w:sz w:val="24"/>
          <w:lang w:bidi="ar"/>
        </w:rPr>
        <w:t>–0.</w:t>
      </w:r>
      <w:r>
        <w:rPr>
          <w:rFonts w:hint="eastAsia" w:ascii="Times New Roman" w:hAnsi="Times New Roman" w:eastAsia="宋体" w:cs="Times New Roman"/>
          <w:sz w:val="24"/>
          <w:lang w:bidi="ar"/>
        </w:rPr>
        <w:t>92</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respectively</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w:t>
      </w:r>
      <w:r>
        <w:rPr>
          <w:rFonts w:ascii="Times New Roman" w:hAnsi="Times New Roman" w:cs="Times New Roman"/>
          <w:b/>
          <w:bCs/>
          <w:sz w:val="24"/>
        </w:rPr>
        <w:br w:type="page"/>
      </w:r>
    </w:p>
    <w:p>
      <w:pPr>
        <w:widowControl/>
        <w:spacing w:line="360" w:lineRule="auto"/>
        <w:jc w:val="center"/>
        <w:rPr>
          <w:rFonts w:ascii="Times New Roman" w:hAnsi="Times New Roman" w:cs="Times New Roman"/>
          <w:b/>
          <w:bCs/>
          <w:sz w:val="24"/>
        </w:rPr>
      </w:pPr>
      <w:r>
        <w:rPr>
          <w:rFonts w:hint="eastAsia" w:ascii="Times New Roman" w:hAnsi="Times New Roman" w:cs="Times New Roman"/>
          <w:b/>
          <w:bCs/>
          <w:sz w:val="28"/>
          <w:szCs w:val="28"/>
        </w:rPr>
        <w:t xml:space="preserve">Supplemental </w:t>
      </w:r>
      <w:r>
        <w:rPr>
          <w:rFonts w:hint="eastAsia" w:ascii="Times New Roman" w:hAnsi="Times New Roman" w:eastAsia="宋体" w:cs="Times New Roman"/>
          <w:b/>
          <w:bCs/>
          <w:sz w:val="28"/>
          <w:szCs w:val="28"/>
          <w:lang w:bidi="ar"/>
        </w:rPr>
        <w:t>Tables and Figures</w:t>
      </w:r>
    </w:p>
    <w:p>
      <w:pPr>
        <w:widowControl/>
        <w:spacing w:line="480" w:lineRule="auto"/>
        <w:rPr>
          <w:rFonts w:ascii="Times New Roman" w:hAnsi="Times New Roman" w:cs="Times New Roman"/>
          <w:b/>
          <w:bCs/>
          <w:color w:val="000000" w:themeColor="text1"/>
          <w:sz w:val="24"/>
          <w14:textFill>
            <w14:solidFill>
              <w14:schemeClr w14:val="tx1"/>
            </w14:solidFill>
          </w14:textFill>
        </w:rPr>
      </w:pPr>
      <w:r>
        <w:rPr>
          <w:rFonts w:hint="eastAsia" w:ascii="Times New Roman" w:hAnsi="Times New Roman" w:cs="Times New Roman"/>
          <w:b/>
          <w:bCs/>
          <w:sz w:val="24"/>
        </w:rPr>
        <w:t xml:space="preserve">Supplemental </w:t>
      </w:r>
      <w:r>
        <w:rPr>
          <w:rFonts w:ascii="Times New Roman" w:hAnsi="Times New Roman" w:cs="Times New Roman"/>
          <w:b/>
          <w:bCs/>
          <w:color w:val="000000" w:themeColor="text1"/>
          <w:sz w:val="24"/>
          <w14:textFill>
            <w14:solidFill>
              <w14:schemeClr w14:val="tx1"/>
            </w14:solidFill>
          </w14:textFill>
        </w:rPr>
        <w:t xml:space="preserve">Table 1. </w:t>
      </w:r>
      <w:r>
        <w:rPr>
          <w:rFonts w:hint="eastAsia" w:ascii="Times New Roman" w:hAnsi="Times New Roman" w:cs="Times New Roman"/>
          <w:b/>
          <w:bCs/>
          <w:color w:val="000000" w:themeColor="text1"/>
          <w:sz w:val="24"/>
          <w14:textFill>
            <w14:solidFill>
              <w14:schemeClr w14:val="tx1"/>
            </w14:solidFill>
          </w14:textFill>
        </w:rPr>
        <w:t>Baseline c</w:t>
      </w:r>
      <w:r>
        <w:rPr>
          <w:rFonts w:ascii="Times New Roman" w:hAnsi="Times New Roman" w:cs="Times New Roman"/>
          <w:b/>
          <w:bCs/>
          <w:color w:val="000000" w:themeColor="text1"/>
          <w:sz w:val="24"/>
          <w14:textFill>
            <w14:solidFill>
              <w14:schemeClr w14:val="tx1"/>
            </w14:solidFill>
          </w14:textFill>
        </w:rPr>
        <w:t>haracteristics of patients and aneurysms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0"/>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single" w:color="auto" w:sz="4" w:space="0"/>
              <w:left w:val="nil"/>
              <w:bottom w:val="single" w:color="auto" w:sz="4" w:space="0"/>
              <w:right w:val="nil"/>
            </w:tcBorders>
          </w:tcPr>
          <w:p>
            <w:pPr>
              <w:widowControl/>
              <w:spacing w:line="480" w:lineRule="auto"/>
              <w:rPr>
                <w:rFonts w:ascii="Times New Roman" w:hAnsi="Times New Roman" w:eastAsia="宋体" w:cs="Times New Roman"/>
                <w:b/>
                <w:bCs/>
                <w:color w:val="000000" w:themeColor="text1"/>
                <w:kern w:val="0"/>
                <w:sz w:val="24"/>
                <w14:textFill>
                  <w14:solidFill>
                    <w14:schemeClr w14:val="tx1"/>
                  </w14:solidFill>
                </w14:textFill>
              </w:rPr>
            </w:pPr>
            <w:r>
              <w:rPr>
                <w:rFonts w:ascii="Times New Roman" w:hAnsi="Times New Roman" w:eastAsia="宋体" w:cs="Times New Roman"/>
                <w:b/>
                <w:bCs/>
                <w:color w:val="000000" w:themeColor="text1"/>
                <w:kern w:val="0"/>
                <w:sz w:val="24"/>
                <w14:textFill>
                  <w14:solidFill>
                    <w14:schemeClr w14:val="tx1"/>
                  </w14:solidFill>
                </w14:textFill>
              </w:rPr>
              <w:t xml:space="preserve">Characteristics </w:t>
            </w:r>
          </w:p>
        </w:tc>
        <w:tc>
          <w:tcPr>
            <w:tcW w:w="2237" w:type="dxa"/>
            <w:tcBorders>
              <w:top w:val="single" w:color="auto" w:sz="4" w:space="0"/>
              <w:left w:val="nil"/>
              <w:bottom w:val="single" w:color="auto" w:sz="4" w:space="0"/>
              <w:right w:val="nil"/>
            </w:tcBorders>
          </w:tcPr>
          <w:p>
            <w:pPr>
              <w:widowControl/>
              <w:spacing w:line="480" w:lineRule="auto"/>
              <w:rPr>
                <w:rFonts w:ascii="Times New Roman" w:hAnsi="Times New Roman" w:eastAsia="宋体" w:cs="Times New Roman"/>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0" w:type="dxa"/>
            <w:tcBorders>
              <w:top w:val="single" w:color="auto" w:sz="4" w:space="0"/>
              <w:left w:val="nil"/>
              <w:bottom w:val="nil"/>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Age, mean±SD</w:t>
            </w:r>
          </w:p>
        </w:tc>
        <w:tc>
          <w:tcPr>
            <w:tcW w:w="2237" w:type="dxa"/>
            <w:tcBorders>
              <w:top w:val="single" w:color="auto" w:sz="4" w:space="0"/>
              <w:left w:val="nil"/>
              <w:bottom w:val="nil"/>
              <w:right w:val="nil"/>
            </w:tcBorders>
          </w:tcPr>
          <w:p>
            <w:pPr>
              <w:widowControl/>
              <w:spacing w:line="480" w:lineRule="auto"/>
              <w:rPr>
                <w:rFonts w:ascii="Times New Roman" w:hAnsi="Times New Roman" w:eastAsia="Times-Roman" w:cs="Times New Roman"/>
                <w:b/>
                <w:bCs/>
                <w:color w:val="000000" w:themeColor="text1"/>
                <w:kern w:val="0"/>
                <w:sz w:val="24"/>
                <w14:textFill>
                  <w14:solidFill>
                    <w14:schemeClr w14:val="tx1"/>
                  </w14:solidFill>
                </w14:textFill>
              </w:rPr>
            </w:pPr>
            <w:r>
              <w:rPr>
                <w:rFonts w:ascii="Times New Roman" w:hAnsi="Times New Roman" w:eastAsia="Times-Roman" w:cs="Times New Roman"/>
                <w:kern w:val="0"/>
                <w:sz w:val="24"/>
              </w:rPr>
              <w:t>5</w:t>
            </w:r>
            <w:r>
              <w:rPr>
                <w:rFonts w:hint="eastAsia" w:ascii="Times New Roman" w:hAnsi="Times New Roman" w:eastAsia="Times-Roman" w:cs="Times New Roman"/>
                <w:kern w:val="0"/>
                <w:sz w:val="24"/>
              </w:rPr>
              <w:t>1.2</w:t>
            </w:r>
            <w:r>
              <w:rPr>
                <w:rFonts w:ascii="Times New Roman" w:hAnsi="Times New Roman" w:eastAsia="Times-Roman" w:cs="Times New Roman"/>
                <w:kern w:val="0"/>
                <w:sz w:val="24"/>
              </w:rPr>
              <w:t>±1</w:t>
            </w:r>
            <w:r>
              <w:rPr>
                <w:rFonts w:hint="eastAsia" w:ascii="Times New Roman" w:hAnsi="Times New Roman" w:eastAsia="Times-Roman" w:cs="Times New Roman"/>
                <w:kern w:val="0"/>
                <w:sz w:val="24"/>
              </w:rPr>
              <w:t>2</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Female, N (%)</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28</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50.9</w:t>
            </w:r>
            <w:r>
              <w:rPr>
                <w:rFonts w:ascii="Times New Roman" w:hAnsi="Times New Roman" w:eastAsia="Times-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60" w:type="dxa"/>
            <w:tcBorders>
              <w:top w:val="nil"/>
              <w:left w:val="nil"/>
              <w:bottom w:val="nil"/>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Hyperlipidemia, N (%)</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ascii="Times New Roman" w:hAnsi="Times New Roman" w:eastAsia="Times-Roman" w:cs="Times New Roman"/>
                <w:kern w:val="0"/>
                <w:sz w:val="24"/>
              </w:rPr>
              <w:t>1</w:t>
            </w:r>
            <w:r>
              <w:rPr>
                <w:rFonts w:hint="eastAsia" w:ascii="Times New Roman" w:hAnsi="Times New Roman" w:eastAsia="Times-Roman" w:cs="Times New Roman"/>
                <w:kern w:val="0"/>
                <w:sz w:val="24"/>
              </w:rPr>
              <w:t>7</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30.9</w:t>
            </w:r>
            <w:r>
              <w:rPr>
                <w:rFonts w:ascii="Times New Roman" w:hAnsi="Times New Roman" w:eastAsia="Times-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Diabetes, N (%)</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ascii="Times New Roman" w:hAnsi="Times New Roman" w:eastAsia="Times-Roman" w:cs="Times New Roman"/>
                <w:kern w:val="0"/>
                <w:sz w:val="24"/>
              </w:rPr>
              <w:t>8 (</w:t>
            </w:r>
            <w:r>
              <w:rPr>
                <w:rFonts w:hint="eastAsia" w:ascii="Times New Roman" w:hAnsi="Times New Roman" w:eastAsia="Times-Roman" w:cs="Times New Roman"/>
                <w:kern w:val="0"/>
                <w:sz w:val="24"/>
              </w:rPr>
              <w:t>14.5</w:t>
            </w:r>
            <w:r>
              <w:rPr>
                <w:rFonts w:ascii="Times New Roman" w:hAnsi="Times New Roman" w:eastAsia="Times-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Current smoker, N (%)</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8</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14.5</w:t>
            </w:r>
            <w:r>
              <w:rPr>
                <w:rFonts w:ascii="Times New Roman" w:hAnsi="Times New Roman" w:eastAsia="Times-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rPr>
                <w:rFonts w:ascii="Times New Roman" w:hAnsi="Times New Roman" w:eastAsia="宋体" w:cs="Times New Roman"/>
                <w:b/>
                <w:bCs/>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BP</w:t>
            </w:r>
            <w:r>
              <w:rPr>
                <w:rFonts w:ascii="Times New Roman" w:hAnsi="Times New Roman" w:eastAsia="宋体" w:cs="Times New Roman"/>
                <w:color w:val="000000" w:themeColor="text1"/>
                <w:kern w:val="0"/>
                <w:sz w:val="24"/>
                <w14:textFill>
                  <w14:solidFill>
                    <w14:schemeClr w14:val="tx1"/>
                  </w14:solidFill>
                </w14:textFill>
              </w:rPr>
              <w:t xml:space="preserve"> </w:t>
            </w:r>
            <w:r>
              <w:rPr>
                <w:rFonts w:hint="eastAsia" w:ascii="Times New Roman" w:hAnsi="Times New Roman" w:eastAsia="宋体" w:cs="Times New Roman"/>
                <w:color w:val="000000" w:themeColor="text1"/>
                <w:kern w:val="0"/>
                <w:sz w:val="24"/>
                <w14:textFill>
                  <w14:solidFill>
                    <w14:schemeClr w14:val="tx1"/>
                  </w14:solidFill>
                </w14:textFill>
              </w:rPr>
              <w:t>reduction (mmHg)</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19.93</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Location, N (%)</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ind w:firstLine="480" w:firstLineChars="20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Anterior circulation</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42</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72.4</w:t>
            </w:r>
            <w:r>
              <w:rPr>
                <w:rFonts w:ascii="Times New Roman" w:hAnsi="Times New Roman" w:eastAsia="Times-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nil"/>
              <w:right w:val="nil"/>
            </w:tcBorders>
          </w:tcPr>
          <w:p>
            <w:pPr>
              <w:widowControl/>
              <w:spacing w:line="480" w:lineRule="auto"/>
              <w:ind w:firstLine="480" w:firstLineChars="200"/>
              <w:rPr>
                <w:rFonts w:ascii="Times New Roman" w:hAnsi="Times New Roman" w:eastAsia="宋体" w:cs="Times New Roman"/>
                <w:color w:val="000000" w:themeColor="text1"/>
                <w:kern w:val="0"/>
                <w:sz w:val="24"/>
                <w14:textFill>
                  <w14:solidFill>
                    <w14:schemeClr w14:val="tx1"/>
                  </w14:solidFill>
                </w14:textFill>
              </w:rPr>
            </w:pPr>
            <w:r>
              <w:rPr>
                <w:rFonts w:hint="eastAsia" w:ascii="Times New Roman" w:hAnsi="Times New Roman" w:eastAsia="宋体" w:cs="Times New Roman"/>
                <w:color w:val="000000" w:themeColor="text1"/>
                <w:kern w:val="0"/>
                <w:sz w:val="24"/>
                <w14:textFill>
                  <w14:solidFill>
                    <w14:schemeClr w14:val="tx1"/>
                  </w14:solidFill>
                </w14:textFill>
              </w:rPr>
              <w:t>Posterior circulation</w:t>
            </w:r>
          </w:p>
        </w:tc>
        <w:tc>
          <w:tcPr>
            <w:tcW w:w="2237" w:type="dxa"/>
            <w:tcBorders>
              <w:top w:val="nil"/>
              <w:left w:val="nil"/>
              <w:bottom w:val="nil"/>
              <w:right w:val="nil"/>
            </w:tcBorders>
          </w:tcPr>
          <w:p>
            <w:pPr>
              <w:widowControl/>
              <w:spacing w:line="48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 xml:space="preserve">16 </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27.6</w:t>
            </w:r>
            <w:r>
              <w:rPr>
                <w:rFonts w:ascii="Times New Roman" w:hAnsi="Times New Roman" w:eastAsia="Times-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60" w:type="dxa"/>
            <w:tcBorders>
              <w:top w:val="nil"/>
              <w:left w:val="nil"/>
              <w:bottom w:val="single" w:color="auto" w:sz="4" w:space="0"/>
              <w:right w:val="nil"/>
            </w:tcBorders>
          </w:tcPr>
          <w:p>
            <w:pPr>
              <w:widowControl/>
              <w:spacing w:line="480" w:lineRule="auto"/>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Maxim</w:t>
            </w:r>
            <w:r>
              <w:rPr>
                <w:rFonts w:hint="eastAsia" w:ascii="Times New Roman" w:hAnsi="Times New Roman" w:eastAsia="宋体" w:cs="Times New Roman"/>
                <w:color w:val="000000" w:themeColor="text1"/>
                <w:kern w:val="0"/>
                <w:sz w:val="24"/>
                <w14:textFill>
                  <w14:solidFill>
                    <w14:schemeClr w14:val="tx1"/>
                  </w14:solidFill>
                </w14:textFill>
              </w:rPr>
              <w:t>um</w:t>
            </w:r>
            <w:r>
              <w:rPr>
                <w:rFonts w:ascii="Times New Roman" w:hAnsi="Times New Roman" w:eastAsia="宋体" w:cs="Times New Roman"/>
                <w:color w:val="000000" w:themeColor="text1"/>
                <w:kern w:val="0"/>
                <w:sz w:val="24"/>
                <w14:textFill>
                  <w14:solidFill>
                    <w14:schemeClr w14:val="tx1"/>
                  </w14:solidFill>
                </w14:textFill>
              </w:rPr>
              <w:t xml:space="preserve"> aneurysm size (cm)</w:t>
            </w:r>
          </w:p>
        </w:tc>
        <w:tc>
          <w:tcPr>
            <w:tcW w:w="2237" w:type="dxa"/>
            <w:tcBorders>
              <w:top w:val="nil"/>
              <w:left w:val="nil"/>
              <w:bottom w:val="single" w:color="auto" w:sz="4" w:space="0"/>
              <w:right w:val="nil"/>
            </w:tcBorders>
          </w:tcPr>
          <w:p>
            <w:pPr>
              <w:widowControl/>
              <w:spacing w:line="480" w:lineRule="auto"/>
              <w:rPr>
                <w:rFonts w:ascii="Times New Roman" w:hAnsi="Times New Roman" w:eastAsia="Times-Roman" w:cs="Times New Roman"/>
                <w:color w:val="000000" w:themeColor="text1"/>
                <w:kern w:val="0"/>
                <w:sz w:val="24"/>
                <w14:textFill>
                  <w14:solidFill>
                    <w14:schemeClr w14:val="tx1"/>
                  </w14:solidFill>
                </w14:textFill>
              </w:rPr>
            </w:pPr>
            <w:r>
              <w:rPr>
                <w:rFonts w:hint="eastAsia" w:ascii="Times New Roman" w:hAnsi="Times New Roman" w:eastAsia="Times-Roman" w:cs="Times New Roman"/>
                <w:kern w:val="0"/>
                <w:sz w:val="24"/>
              </w:rPr>
              <w:t>10.52</w:t>
            </w:r>
            <w:r>
              <w:rPr>
                <w:rFonts w:ascii="Times New Roman" w:hAnsi="Times New Roman" w:eastAsia="Times-Roman" w:cs="Times New Roman"/>
                <w:kern w:val="0"/>
                <w:sz w:val="24"/>
              </w:rPr>
              <w:t>±</w:t>
            </w:r>
            <w:r>
              <w:rPr>
                <w:rFonts w:hint="eastAsia" w:ascii="Times New Roman" w:hAnsi="Times New Roman" w:eastAsia="Times-Roman" w:cs="Times New Roman"/>
                <w:kern w:val="0"/>
                <w:sz w:val="24"/>
              </w:rPr>
              <w:t>4.29</w:t>
            </w:r>
          </w:p>
        </w:tc>
      </w:tr>
    </w:tbl>
    <w:p>
      <w:pPr>
        <w:widowControl/>
        <w:spacing w:line="480" w:lineRule="auto"/>
        <w:rPr>
          <w:rFonts w:ascii="Times New Roman" w:hAnsi="Times New Roman" w:cs="Times New Roman"/>
          <w:sz w:val="24"/>
        </w:rPr>
      </w:pPr>
      <w:r>
        <w:rPr>
          <w:rFonts w:hint="eastAsia" w:ascii="Times New Roman" w:hAnsi="Times New Roman" w:cs="Times New Roman"/>
          <w:sz w:val="24"/>
        </w:rPr>
        <w:t>4D-flow MRI, four-</w:t>
      </w:r>
      <w:r>
        <w:rPr>
          <w:rFonts w:ascii="Times New Roman" w:hAnsi="Times New Roman" w:cs="Times New Roman"/>
          <w:sz w:val="24"/>
        </w:rPr>
        <w:t>dimensional</w:t>
      </w:r>
      <w:r>
        <w:rPr>
          <w:rFonts w:hint="eastAsia" w:ascii="Times New Roman" w:hAnsi="Times New Roman" w:cs="Times New Roman"/>
          <w:sz w:val="24"/>
        </w:rPr>
        <w:t xml:space="preserve"> flow </w:t>
      </w:r>
      <w:r>
        <w:rPr>
          <w:rFonts w:ascii="Times New Roman" w:hAnsi="Times New Roman" w:cs="Times New Roman"/>
          <w:sz w:val="24"/>
        </w:rPr>
        <w:t>magnetic resonance imaging</w:t>
      </w:r>
      <w:r>
        <w:rPr>
          <w:rFonts w:hint="eastAsia" w:ascii="Times New Roman" w:hAnsi="Times New Roman" w:cs="Times New Roman"/>
          <w:sz w:val="24"/>
        </w:rPr>
        <w:t>; BP, blood pressure; IAs, intracranial aneurysms; SD, standard deviation.</w:t>
      </w:r>
    </w:p>
    <w:p>
      <w:pPr>
        <w:widowControl/>
        <w:spacing w:line="360" w:lineRule="auto"/>
        <w:rPr>
          <w:rFonts w:ascii="Times New Roman" w:hAnsi="Times New Roman" w:cs="Times New Roman"/>
          <w:b/>
          <w:bCs/>
          <w:sz w:val="24"/>
        </w:rPr>
      </w:pPr>
      <w:r>
        <w:rPr>
          <w:rFonts w:ascii="Times New Roman" w:hAnsi="Times New Roman" w:cs="Times New Roman"/>
          <w:b/>
          <w:bCs/>
          <w:sz w:val="24"/>
        </w:rPr>
        <w:br w:type="page"/>
      </w:r>
    </w:p>
    <w:p>
      <w:pPr>
        <w:widowControl/>
        <w:spacing w:line="360" w:lineRule="auto"/>
        <w:rPr>
          <w:rFonts w:ascii="Times New Roman" w:hAnsi="Times New Roman" w:cs="Times New Roman"/>
          <w:sz w:val="24"/>
        </w:rPr>
      </w:pPr>
      <w:r>
        <w:rPr>
          <w:rFonts w:hint="eastAsia" w:ascii="Times New Roman" w:hAnsi="Times New Roman" w:cs="Times New Roman"/>
          <w:b/>
          <w:bCs/>
          <w:sz w:val="24"/>
        </w:rPr>
        <w:t xml:space="preserve">Supplemental </w:t>
      </w:r>
      <w:r>
        <w:rPr>
          <w:rFonts w:ascii="Times New Roman" w:hAnsi="Times New Roman" w:cs="Times New Roman"/>
          <w:b/>
          <w:bCs/>
          <w:sz w:val="24"/>
        </w:rPr>
        <w:t xml:space="preserve">Table </w:t>
      </w:r>
      <w:r>
        <w:rPr>
          <w:rFonts w:hint="eastAsia" w:ascii="Times New Roman" w:hAnsi="Times New Roman" w:cs="Times New Roman"/>
          <w:b/>
          <w:bCs/>
          <w:sz w:val="24"/>
        </w:rPr>
        <w:t>2</w:t>
      </w:r>
      <w:r>
        <w:rPr>
          <w:rFonts w:ascii="Times New Roman" w:hAnsi="Times New Roman" w:cs="Times New Roman"/>
          <w:b/>
          <w:bCs/>
          <w:sz w:val="24"/>
        </w:rPr>
        <w:t>. Comparison of the blood pressure before and after nifedipine medication</w:t>
      </w:r>
    </w:p>
    <w:tbl>
      <w:tblPr>
        <w:tblStyle w:val="6"/>
        <w:tblW w:w="76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038"/>
        <w:gridCol w:w="2059"/>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single" w:color="auto" w:sz="4" w:space="0"/>
              <w:left w:val="nil"/>
              <w:bottom w:val="single" w:color="auto" w:sz="4" w:space="0"/>
              <w:right w:val="nil"/>
            </w:tcBorders>
          </w:tcPr>
          <w:p>
            <w:pPr>
              <w:widowControl/>
              <w:spacing w:line="360" w:lineRule="auto"/>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Characteristics</w:t>
            </w:r>
          </w:p>
        </w:tc>
        <w:tc>
          <w:tcPr>
            <w:tcW w:w="2038" w:type="dxa"/>
            <w:tcBorders>
              <w:top w:val="single" w:color="auto" w:sz="4" w:space="0"/>
              <w:left w:val="nil"/>
              <w:bottom w:val="single" w:color="auto" w:sz="4" w:space="0"/>
              <w:right w:val="nil"/>
            </w:tcBorders>
          </w:tcPr>
          <w:p>
            <w:pPr>
              <w:widowControl/>
              <w:spacing w:line="360" w:lineRule="auto"/>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Before nifedipine medication</w:t>
            </w:r>
          </w:p>
        </w:tc>
        <w:tc>
          <w:tcPr>
            <w:tcW w:w="2059" w:type="dxa"/>
            <w:tcBorders>
              <w:top w:val="single" w:color="auto" w:sz="4" w:space="0"/>
              <w:left w:val="nil"/>
              <w:bottom w:val="single" w:color="auto" w:sz="4" w:space="0"/>
              <w:right w:val="nil"/>
            </w:tcBorders>
          </w:tcPr>
          <w:p>
            <w:pPr>
              <w:widowControl/>
              <w:spacing w:line="360" w:lineRule="auto"/>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After nifedipine medication</w:t>
            </w:r>
          </w:p>
        </w:tc>
        <w:tc>
          <w:tcPr>
            <w:tcW w:w="1468" w:type="dxa"/>
            <w:tcBorders>
              <w:top w:val="single" w:color="auto" w:sz="4" w:space="0"/>
              <w:left w:val="nil"/>
              <w:bottom w:val="single" w:color="auto" w:sz="4" w:space="0"/>
              <w:right w:val="nil"/>
            </w:tcBorders>
          </w:tcPr>
          <w:p>
            <w:pPr>
              <w:widowControl/>
              <w:spacing w:line="360" w:lineRule="auto"/>
              <w:rPr>
                <w:rFonts w:ascii="Times New Roman" w:hAnsi="Times New Roman" w:cs="Times New Roman"/>
                <w:b/>
                <w:bCs/>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P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single" w:color="auto" w:sz="4" w:space="0"/>
              <w:left w:val="nil"/>
              <w:bottom w:val="nil"/>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t xml:space="preserve">SBP  </w:t>
            </w:r>
          </w:p>
        </w:tc>
        <w:tc>
          <w:tcPr>
            <w:tcW w:w="2038" w:type="dxa"/>
            <w:tcBorders>
              <w:top w:val="single" w:color="auto" w:sz="4" w:space="0"/>
              <w:left w:val="nil"/>
              <w:bottom w:val="nil"/>
              <w:right w:val="nil"/>
            </w:tcBorders>
          </w:tcPr>
          <w:p>
            <w:pPr>
              <w:widowControl/>
              <w:spacing w:line="360" w:lineRule="auto"/>
              <w:rPr>
                <w:rFonts w:ascii="Times New Roman" w:hAnsi="Times New Roman" w:eastAsia="Times-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151.2</w:t>
            </w:r>
            <w:r>
              <w:rPr>
                <w:rFonts w:ascii="Times New Roman" w:hAnsi="Times New Roman" w:eastAsia="Times-Roman" w:cs="Times New Roman"/>
                <w:kern w:val="0"/>
                <w:sz w:val="24"/>
              </w:rPr>
              <w:t xml:space="preserve"> ± </w:t>
            </w:r>
            <w:r>
              <w:rPr>
                <w:rFonts w:hint="eastAsia" w:ascii="Times New Roman" w:hAnsi="Times New Roman" w:eastAsia="Times-Roman" w:cs="Times New Roman"/>
                <w:kern w:val="0"/>
                <w:sz w:val="24"/>
              </w:rPr>
              <w:t>13.7</w:t>
            </w:r>
          </w:p>
        </w:tc>
        <w:tc>
          <w:tcPr>
            <w:tcW w:w="2059" w:type="dxa"/>
            <w:tcBorders>
              <w:top w:val="single" w:color="auto" w:sz="4" w:space="0"/>
              <w:left w:val="nil"/>
              <w:bottom w:val="nil"/>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131.4</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 xml:space="preserve"> 13.1</w:t>
            </w:r>
            <w:r>
              <w:rPr>
                <w:rFonts w:ascii="Times New Roman" w:hAnsi="Times New Roman" w:eastAsia="Times-Roman" w:cs="Times New Roman"/>
                <w:kern w:val="0"/>
                <w:sz w:val="24"/>
              </w:rPr>
              <w:t xml:space="preserve"> </w:t>
            </w:r>
          </w:p>
        </w:tc>
        <w:tc>
          <w:tcPr>
            <w:tcW w:w="1468" w:type="dxa"/>
            <w:tcBorders>
              <w:top w:val="single" w:color="auto" w:sz="4" w:space="0"/>
              <w:left w:val="nil"/>
              <w:bottom w:val="nil"/>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&lt; 0.001</w:t>
            </w:r>
            <w:r>
              <w:rPr>
                <w:rFonts w:ascii="Times New Roman" w:hAnsi="Times New 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nil"/>
              <w:left w:val="nil"/>
              <w:bottom w:val="nil"/>
              <w:right w:val="nil"/>
            </w:tcBorders>
          </w:tcPr>
          <w:p>
            <w:pPr>
              <w:widowControl/>
              <w:spacing w:line="360" w:lineRule="auto"/>
              <w:rPr>
                <w:rFonts w:ascii="Times New Roman" w:hAnsi="Times New Roman" w:cs="Times New Roman"/>
                <w:sz w:val="24"/>
              </w:rPr>
            </w:pPr>
            <w:r>
              <w:rPr>
                <w:rFonts w:hint="eastAsia" w:ascii="Times New Roman" w:hAnsi="Times New Roman" w:cs="Times New Roman"/>
                <w:sz w:val="24"/>
              </w:rPr>
              <w:t>DBP</w:t>
            </w:r>
          </w:p>
        </w:tc>
        <w:tc>
          <w:tcPr>
            <w:tcW w:w="2038" w:type="dxa"/>
            <w:tcBorders>
              <w:top w:val="nil"/>
              <w:left w:val="nil"/>
              <w:bottom w:val="nil"/>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87.2</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 xml:space="preserve"> 10.3</w:t>
            </w:r>
            <w:r>
              <w:rPr>
                <w:rFonts w:ascii="Times New Roman" w:hAnsi="Times New Roman" w:eastAsia="Times-Roman" w:cs="Times New Roman"/>
                <w:kern w:val="0"/>
                <w:sz w:val="24"/>
              </w:rPr>
              <w:t xml:space="preserve"> </w:t>
            </w:r>
          </w:p>
        </w:tc>
        <w:tc>
          <w:tcPr>
            <w:tcW w:w="2059" w:type="dxa"/>
            <w:tcBorders>
              <w:top w:val="nil"/>
              <w:left w:val="nil"/>
              <w:bottom w:val="nil"/>
              <w:right w:val="nil"/>
            </w:tcBorders>
          </w:tcPr>
          <w:p>
            <w:pPr>
              <w:widowControl/>
              <w:spacing w:line="360" w:lineRule="auto"/>
              <w:rPr>
                <w:rFonts w:ascii="Times New Roman" w:hAnsi="Times New Roman" w:eastAsia="Times-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80.2</w:t>
            </w:r>
            <w:r>
              <w:rPr>
                <w:rFonts w:ascii="Times New Roman" w:hAnsi="Times New Roman" w:eastAsia="Times-Roman" w:cs="Times New Roman"/>
                <w:kern w:val="0"/>
                <w:sz w:val="24"/>
              </w:rPr>
              <w:t xml:space="preserve"> ± </w:t>
            </w:r>
            <w:r>
              <w:rPr>
                <w:rFonts w:hint="eastAsia" w:ascii="Times New Roman" w:hAnsi="Times New Roman" w:eastAsia="Times-Roman" w:cs="Times New Roman"/>
                <w:kern w:val="0"/>
                <w:sz w:val="24"/>
              </w:rPr>
              <w:t>10.2</w:t>
            </w:r>
          </w:p>
        </w:tc>
        <w:tc>
          <w:tcPr>
            <w:tcW w:w="1468" w:type="dxa"/>
            <w:tcBorders>
              <w:top w:val="nil"/>
              <w:left w:val="nil"/>
              <w:bottom w:val="nil"/>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&lt; 0.001</w:t>
            </w:r>
            <w:r>
              <w:rPr>
                <w:rFonts w:ascii="Times New Roman" w:hAnsi="Times New 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nil"/>
              <w:left w:val="nil"/>
              <w:bottom w:val="nil"/>
              <w:right w:val="nil"/>
            </w:tcBorders>
          </w:tcPr>
          <w:p>
            <w:pPr>
              <w:widowControl/>
              <w:spacing w:line="360" w:lineRule="auto"/>
              <w:rPr>
                <w:rFonts w:ascii="Times New Roman" w:hAnsi="Times New Roman" w:cs="Times New Roman"/>
                <w:sz w:val="24"/>
              </w:rPr>
            </w:pPr>
            <w:r>
              <w:rPr>
                <w:rFonts w:hint="eastAsia" w:ascii="Times New Roman" w:hAnsi="Times New Roman" w:cs="Times New Roman"/>
                <w:color w:val="000000" w:themeColor="text1"/>
                <w:sz w:val="24"/>
                <w14:textFill>
                  <w14:solidFill>
                    <w14:schemeClr w14:val="tx1"/>
                  </w14:solidFill>
                </w14:textFill>
              </w:rPr>
              <w:t>PP</w:t>
            </w:r>
          </w:p>
        </w:tc>
        <w:tc>
          <w:tcPr>
            <w:tcW w:w="2038" w:type="dxa"/>
            <w:tcBorders>
              <w:top w:val="nil"/>
              <w:left w:val="nil"/>
              <w:bottom w:val="nil"/>
              <w:right w:val="nil"/>
            </w:tcBorders>
          </w:tcPr>
          <w:p>
            <w:pPr>
              <w:widowControl/>
              <w:spacing w:line="360" w:lineRule="auto"/>
              <w:rPr>
                <w:rFonts w:ascii="Times New Roman" w:hAnsi="Times New Roman" w:eastAsia="Times-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64.1</w:t>
            </w:r>
            <w:r>
              <w:rPr>
                <w:rFonts w:ascii="Times New Roman" w:hAnsi="Times New Roman" w:eastAsia="Times-Roman" w:cs="Times New Roman"/>
                <w:kern w:val="0"/>
                <w:sz w:val="24"/>
              </w:rPr>
              <w:t xml:space="preserve"> ± </w:t>
            </w:r>
            <w:r>
              <w:rPr>
                <w:rFonts w:hint="eastAsia" w:ascii="Times New Roman" w:hAnsi="Times New Roman" w:eastAsia="Times-Roman" w:cs="Times New Roman"/>
                <w:kern w:val="0"/>
                <w:sz w:val="24"/>
              </w:rPr>
              <w:t>12.1</w:t>
            </w:r>
          </w:p>
        </w:tc>
        <w:tc>
          <w:tcPr>
            <w:tcW w:w="2059" w:type="dxa"/>
            <w:tcBorders>
              <w:top w:val="nil"/>
              <w:left w:val="nil"/>
              <w:bottom w:val="nil"/>
              <w:right w:val="nil"/>
            </w:tcBorders>
          </w:tcPr>
          <w:p>
            <w:pPr>
              <w:widowControl/>
              <w:spacing w:line="360" w:lineRule="auto"/>
              <w:rPr>
                <w:rFonts w:ascii="Times New Roman" w:hAnsi="Times New Roman" w:eastAsia="Times-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51.2</w:t>
            </w:r>
            <w:r>
              <w:rPr>
                <w:rFonts w:ascii="Times New Roman" w:hAnsi="Times New Roman" w:eastAsia="Times-Roman" w:cs="Times New Roman"/>
                <w:kern w:val="0"/>
                <w:sz w:val="24"/>
              </w:rPr>
              <w:t xml:space="preserve"> ± </w:t>
            </w:r>
            <w:r>
              <w:rPr>
                <w:rFonts w:hint="eastAsia" w:ascii="Times New Roman" w:hAnsi="Times New Roman" w:eastAsia="Times-Roman" w:cs="Times New Roman"/>
                <w:kern w:val="0"/>
                <w:sz w:val="24"/>
              </w:rPr>
              <w:t>11.1</w:t>
            </w:r>
          </w:p>
        </w:tc>
        <w:tc>
          <w:tcPr>
            <w:tcW w:w="1468" w:type="dxa"/>
            <w:tcBorders>
              <w:top w:val="nil"/>
              <w:left w:val="nil"/>
              <w:bottom w:val="nil"/>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&lt; 0.001</w:t>
            </w:r>
            <w:r>
              <w:rPr>
                <w:rFonts w:ascii="Times New Roman" w:hAnsi="Times New Roman"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Borders>
              <w:top w:val="nil"/>
              <w:left w:val="nil"/>
              <w:bottom w:val="single" w:color="auto" w:sz="4" w:space="0"/>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sz w:val="24"/>
              </w:rPr>
              <w:t>MAP</w:t>
            </w:r>
          </w:p>
        </w:tc>
        <w:tc>
          <w:tcPr>
            <w:tcW w:w="2038" w:type="dxa"/>
            <w:tcBorders>
              <w:top w:val="nil"/>
              <w:left w:val="nil"/>
              <w:bottom w:val="single" w:color="auto" w:sz="4" w:space="0"/>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166.7</w:t>
            </w:r>
            <w:r>
              <w:rPr>
                <w:rFonts w:ascii="Times New Roman" w:hAnsi="Times New Roman" w:eastAsia="Times-Roman" w:cs="Times New Roman"/>
                <w:kern w:val="0"/>
                <w:sz w:val="24"/>
              </w:rPr>
              <w:t xml:space="preserve"> ±</w:t>
            </w:r>
            <w:r>
              <w:rPr>
                <w:rFonts w:hint="eastAsia" w:ascii="Times New Roman" w:hAnsi="Times New Roman" w:eastAsia="Times-Roman" w:cs="Times New Roman"/>
                <w:kern w:val="0"/>
                <w:sz w:val="24"/>
              </w:rPr>
              <w:t xml:space="preserve"> 16.6</w:t>
            </w:r>
            <w:r>
              <w:rPr>
                <w:rFonts w:ascii="Times New Roman" w:hAnsi="Times New Roman" w:eastAsia="Times-Roman" w:cs="Times New Roman"/>
                <w:kern w:val="0"/>
                <w:sz w:val="24"/>
              </w:rPr>
              <w:t xml:space="preserve"> </w:t>
            </w:r>
          </w:p>
        </w:tc>
        <w:tc>
          <w:tcPr>
            <w:tcW w:w="2059" w:type="dxa"/>
            <w:tcBorders>
              <w:top w:val="nil"/>
              <w:left w:val="nil"/>
              <w:bottom w:val="single" w:color="auto" w:sz="4" w:space="0"/>
              <w:right w:val="nil"/>
            </w:tcBorders>
          </w:tcPr>
          <w:p>
            <w:pPr>
              <w:widowControl/>
              <w:spacing w:line="360" w:lineRule="auto"/>
              <w:rPr>
                <w:rFonts w:ascii="Times New Roman" w:hAnsi="Times New Roman" w:eastAsia="Times-Roman" w:cs="Times New Roman"/>
                <w:color w:val="000000" w:themeColor="text1"/>
                <w:sz w:val="24"/>
                <w14:textFill>
                  <w14:solidFill>
                    <w14:schemeClr w14:val="tx1"/>
                  </w14:solidFill>
                </w14:textFill>
              </w:rPr>
            </w:pPr>
            <w:r>
              <w:rPr>
                <w:rFonts w:hint="eastAsia" w:ascii="Times New Roman" w:hAnsi="Times New Roman" w:eastAsia="Times-Roman" w:cs="Times New Roman"/>
                <w:kern w:val="0"/>
                <w:sz w:val="24"/>
              </w:rPr>
              <w:t>150.8</w:t>
            </w:r>
            <w:r>
              <w:rPr>
                <w:rFonts w:ascii="Times New Roman" w:hAnsi="Times New Roman" w:eastAsia="Times-Roman" w:cs="Times New Roman"/>
                <w:kern w:val="0"/>
                <w:sz w:val="24"/>
              </w:rPr>
              <w:t xml:space="preserve"> ± </w:t>
            </w:r>
            <w:r>
              <w:rPr>
                <w:rFonts w:hint="eastAsia" w:ascii="Times New Roman" w:hAnsi="Times New Roman" w:eastAsia="Times-Roman" w:cs="Times New Roman"/>
                <w:kern w:val="0"/>
                <w:sz w:val="24"/>
              </w:rPr>
              <w:t>16.5</w:t>
            </w:r>
          </w:p>
        </w:tc>
        <w:tc>
          <w:tcPr>
            <w:tcW w:w="1468" w:type="dxa"/>
            <w:tcBorders>
              <w:top w:val="nil"/>
              <w:left w:val="nil"/>
              <w:bottom w:val="single" w:color="auto" w:sz="4" w:space="0"/>
              <w:right w:val="nil"/>
            </w:tcBorders>
          </w:tcPr>
          <w:p>
            <w:pPr>
              <w:widowControl/>
              <w:spacing w:line="360" w:lineRule="auto"/>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color w:val="000000" w:themeColor="text1"/>
                <w:sz w:val="24"/>
                <w14:textFill>
                  <w14:solidFill>
                    <w14:schemeClr w14:val="tx1"/>
                  </w14:solidFill>
                </w14:textFill>
              </w:rPr>
              <w:t>&lt; 0.001</w:t>
            </w:r>
            <w:r>
              <w:rPr>
                <w:rFonts w:ascii="Times New Roman" w:hAnsi="Times New Roman" w:cs="Times New Roman"/>
                <w:kern w:val="0"/>
                <w:sz w:val="24"/>
              </w:rPr>
              <w:t>*</w:t>
            </w:r>
          </w:p>
        </w:tc>
      </w:tr>
    </w:tbl>
    <w:p>
      <w:pPr>
        <w:rPr>
          <w:rFonts w:ascii="Times New Roman" w:hAnsi="Times New Roman" w:cs="Times New Roman"/>
          <w:sz w:val="24"/>
        </w:rPr>
      </w:pPr>
      <w:r>
        <w:rPr>
          <w:rFonts w:ascii="Times New Roman" w:hAnsi="Times New Roman" w:cs="Times New Roman"/>
          <w:sz w:val="24"/>
        </w:rPr>
        <w:t xml:space="preserve">DBP, diastolic blood pressure; </w:t>
      </w:r>
      <w:r>
        <w:rPr>
          <w:rFonts w:hint="eastAsia" w:ascii="Times New Roman" w:hAnsi="Times New Roman" w:cs="Times New Roman"/>
          <w:sz w:val="24"/>
        </w:rPr>
        <w:t>PP, pulse pressure;</w:t>
      </w:r>
      <w:r>
        <w:rPr>
          <w:rFonts w:ascii="Times New Roman" w:hAnsi="Times New Roman" w:cs="Times New Roman"/>
          <w:sz w:val="24"/>
        </w:rPr>
        <w:t xml:space="preserve"> SBP, systolic blood pressure</w:t>
      </w:r>
      <w:r>
        <w:rPr>
          <w:rFonts w:hint="eastAsia" w:ascii="Times New Roman" w:hAnsi="Times New Roman" w:cs="Times New Roman"/>
          <w:sz w:val="24"/>
        </w:rPr>
        <w:t>.</w:t>
      </w:r>
      <w:r>
        <w:rPr>
          <w:rFonts w:ascii="Times New Roman" w:hAnsi="Times New Roman" w:cs="Times New Roman"/>
          <w:kern w:val="0"/>
          <w:sz w:val="24"/>
        </w:rPr>
        <w:t xml:space="preserve"> * P &lt; 0.05.</w:t>
      </w:r>
    </w:p>
    <w:p>
      <w:pPr>
        <w:pStyle w:val="10"/>
        <w:autoSpaceDE w:val="0"/>
        <w:autoSpaceDN w:val="0"/>
        <w:adjustRightInd w:val="0"/>
        <w:spacing w:line="360" w:lineRule="auto"/>
        <w:ind w:left="0"/>
        <w:rPr>
          <w:rFonts w:ascii="Times New Roman" w:hAnsi="Times New Roman" w:cs="Times New Roman"/>
          <w:b/>
          <w:bCs/>
          <w:sz w:val="24"/>
        </w:rPr>
      </w:pPr>
    </w:p>
    <w:p>
      <w:pPr>
        <w:pStyle w:val="10"/>
        <w:autoSpaceDE w:val="0"/>
        <w:autoSpaceDN w:val="0"/>
        <w:adjustRightInd w:val="0"/>
        <w:spacing w:line="360" w:lineRule="auto"/>
        <w:ind w:left="0"/>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sz w:val="24"/>
        </w:rPr>
        <w:t xml:space="preserve">Supplemental </w:t>
      </w:r>
      <w:r>
        <w:rPr>
          <w:rFonts w:ascii="Times New Roman" w:hAnsi="Times New Roman" w:cs="Times New Roman"/>
          <w:b/>
          <w:bCs/>
          <w:sz w:val="24"/>
        </w:rPr>
        <w:t xml:space="preserve">Table </w:t>
      </w:r>
      <w:r>
        <w:rPr>
          <w:rFonts w:hint="eastAsia" w:ascii="Times New Roman" w:hAnsi="Times New Roman" w:cs="Times New Roman"/>
          <w:b/>
          <w:bCs/>
          <w:sz w:val="24"/>
        </w:rPr>
        <w:t>3</w:t>
      </w:r>
      <w:r>
        <w:rPr>
          <w:rFonts w:ascii="Times New Roman" w:hAnsi="Times New Roman" w:cs="Times New Roman"/>
          <w:b/>
          <w:bCs/>
          <w:sz w:val="24"/>
        </w:rPr>
        <w:t>.</w:t>
      </w:r>
      <w:r>
        <w:rPr>
          <w:rFonts w:ascii="Times New Roman" w:hAnsi="Times New Roman" w:cs="Times New Roman"/>
          <w:b/>
          <w:bCs/>
          <w:sz w:val="24"/>
          <w:szCs w:val="24"/>
        </w:rPr>
        <w:t xml:space="preserve"> Correlations of BP reduction with changes in cerebral hemodynamic parameters</w:t>
      </w:r>
    </w:p>
    <w:tbl>
      <w:tblPr>
        <w:tblStyle w:val="6"/>
        <w:tblW w:w="7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0"/>
        <w:gridCol w:w="2604"/>
        <w:gridCol w:w="3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tcBorders>
              <w:top w:val="single" w:color="auto" w:sz="4" w:space="0"/>
              <w:left w:val="nil"/>
              <w:bottom w:val="single" w:color="auto" w:sz="4" w:space="0"/>
              <w:right w:val="nil"/>
            </w:tcBorders>
          </w:tcPr>
          <w:p>
            <w:pPr>
              <w:widowControl/>
              <w:spacing w:line="360" w:lineRule="auto"/>
              <w:rPr>
                <w:rFonts w:ascii="Times New Roman" w:hAnsi="Times New Roman" w:eastAsia="宋体" w:cs="Times New Roman"/>
                <w:b/>
                <w:bCs/>
                <w:color w:val="000000" w:themeColor="text1"/>
                <w:kern w:val="0"/>
                <w:sz w:val="24"/>
                <w14:textFill>
                  <w14:solidFill>
                    <w14:schemeClr w14:val="tx1"/>
                  </w14:solidFill>
                </w14:textFill>
              </w:rPr>
            </w:pPr>
            <w:r>
              <w:rPr>
                <w:rFonts w:hint="eastAsia" w:ascii="Times New Roman" w:hAnsi="Times New Roman" w:eastAsia="宋体" w:cs="Times New Roman"/>
                <w:b/>
                <w:bCs/>
                <w:color w:val="000000" w:themeColor="text1"/>
                <w:kern w:val="0"/>
                <w:sz w:val="24"/>
                <w14:textFill>
                  <w14:solidFill>
                    <w14:schemeClr w14:val="tx1"/>
                  </w14:solidFill>
                </w14:textFill>
              </w:rPr>
              <w:t>Change in</w:t>
            </w:r>
          </w:p>
        </w:tc>
        <w:tc>
          <w:tcPr>
            <w:tcW w:w="2604" w:type="dxa"/>
            <w:tcBorders>
              <w:top w:val="single" w:color="auto" w:sz="4" w:space="0"/>
              <w:left w:val="nil"/>
              <w:bottom w:val="single" w:color="auto" w:sz="4" w:space="0"/>
              <w:right w:val="nil"/>
            </w:tcBorders>
          </w:tcPr>
          <w:p>
            <w:pPr>
              <w:widowControl/>
              <w:spacing w:line="360" w:lineRule="auto"/>
              <w:rPr>
                <w:rFonts w:ascii="Times New Roman" w:hAnsi="Times New Roman" w:eastAsia="宋体" w:cs="Times New Roman"/>
                <w:b/>
                <w:bCs/>
                <w:color w:val="000000" w:themeColor="text1"/>
                <w:kern w:val="0"/>
                <w:sz w:val="24"/>
                <w14:textFill>
                  <w14:solidFill>
                    <w14:schemeClr w14:val="tx1"/>
                  </w14:solidFill>
                </w14:textFill>
              </w:rPr>
            </w:pPr>
            <w:r>
              <w:rPr>
                <w:rFonts w:ascii="Times New Roman" w:hAnsi="Times New Roman" w:eastAsia="宋体" w:cs="Times New Roman"/>
                <w:b/>
                <w:bCs/>
                <w:color w:val="000000" w:themeColor="text1"/>
                <w:kern w:val="0"/>
                <w:sz w:val="24"/>
                <w14:textFill>
                  <w14:solidFill>
                    <w14:schemeClr w14:val="tx1"/>
                  </w14:solidFill>
                </w14:textFill>
              </w:rPr>
              <w:t>M</w:t>
            </w:r>
            <w:r>
              <w:rPr>
                <w:rFonts w:hint="eastAsia" w:ascii="Times New Roman" w:hAnsi="Times New Roman" w:eastAsia="宋体" w:cs="Times New Roman"/>
                <w:b/>
                <w:bCs/>
                <w:color w:val="000000" w:themeColor="text1"/>
                <w:kern w:val="0"/>
                <w:sz w:val="24"/>
                <w14:textFill>
                  <w14:solidFill>
                    <w14:schemeClr w14:val="tx1"/>
                  </w14:solidFill>
                </w14:textFill>
              </w:rPr>
              <w:t>ean</w:t>
            </w:r>
            <w:r>
              <w:rPr>
                <w:rFonts w:ascii="Times New Roman" w:hAnsi="Times New Roman" w:eastAsia="宋体" w:cs="Times New Roman"/>
                <w:b/>
                <w:bCs/>
                <w:color w:val="000000" w:themeColor="text1"/>
                <w:kern w:val="0"/>
                <w:sz w:val="24"/>
                <w14:textFill>
                  <w14:solidFill>
                    <w14:schemeClr w14:val="tx1"/>
                  </w14:solidFill>
                </w14:textFill>
              </w:rPr>
              <w:t xml:space="preserve"> </w:t>
            </w:r>
            <w:r>
              <w:rPr>
                <w:rFonts w:ascii="Times New Roman" w:hAnsi="Times New Roman" w:eastAsia="Times-Roman" w:cs="Times New Roman"/>
                <w:b/>
                <w:kern w:val="0"/>
                <w:sz w:val="24"/>
              </w:rPr>
              <w:t>± SD</w:t>
            </w:r>
          </w:p>
        </w:tc>
        <w:tc>
          <w:tcPr>
            <w:tcW w:w="3395" w:type="dxa"/>
            <w:tcBorders>
              <w:top w:val="single" w:color="auto" w:sz="4" w:space="0"/>
              <w:left w:val="nil"/>
              <w:bottom w:val="single" w:color="auto" w:sz="4" w:space="0"/>
              <w:right w:val="nil"/>
            </w:tcBorders>
          </w:tcPr>
          <w:p>
            <w:pPr>
              <w:widowControl/>
              <w:spacing w:line="360" w:lineRule="auto"/>
              <w:rPr>
                <w:rFonts w:ascii="Times New Roman" w:hAnsi="Times New Roman" w:eastAsia="宋体" w:cs="Times New Roman"/>
                <w:b/>
                <w:bCs/>
                <w:color w:val="000000" w:themeColor="text1"/>
                <w:kern w:val="0"/>
                <w:sz w:val="24"/>
                <w14:textFill>
                  <w14:solidFill>
                    <w14:schemeClr w14:val="tx1"/>
                  </w14:solidFill>
                </w14:textFill>
              </w:rPr>
            </w:pPr>
            <w:r>
              <w:rPr>
                <w:rFonts w:ascii="Times New Roman" w:hAnsi="Times New Roman" w:eastAsia="宋体" w:cs="Times New Roman"/>
                <w:b/>
                <w:bCs/>
                <w:color w:val="000000" w:themeColor="text1"/>
                <w:kern w:val="0"/>
                <w:sz w:val="24"/>
                <w14:textFill>
                  <w14:solidFill>
                    <w14:schemeClr w14:val="tx1"/>
                  </w14:solidFill>
                </w14:textFill>
              </w:rPr>
              <w:t xml:space="preserve">Pearson coefficient with the </w:t>
            </w:r>
            <w:r>
              <w:rPr>
                <w:rFonts w:hint="eastAsia" w:ascii="Times New Roman" w:hAnsi="Times New Roman" w:eastAsia="宋体" w:cs="Times New Roman"/>
                <w:b/>
                <w:bCs/>
                <w:color w:val="000000" w:themeColor="text1"/>
                <w:kern w:val="0"/>
                <w:sz w:val="24"/>
                <w14:textFill>
                  <w14:solidFill>
                    <w14:schemeClr w14:val="tx1"/>
                  </w14:solidFill>
                </w14:textFill>
              </w:rPr>
              <w:t>reduction</w:t>
            </w:r>
            <w:r>
              <w:rPr>
                <w:rFonts w:ascii="Times New Roman" w:hAnsi="Times New Roman" w:eastAsia="宋体" w:cs="Times New Roman"/>
                <w:b/>
                <w:bCs/>
                <w:color w:val="000000" w:themeColor="text1"/>
                <w:kern w:val="0"/>
                <w:sz w:val="24"/>
                <w14:textFill>
                  <w14:solidFill>
                    <w14:schemeClr w14:val="tx1"/>
                  </w14:solidFill>
                </w14:textFill>
              </w:rPr>
              <w:t xml:space="preserve"> of BP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tcBorders>
              <w:top w:val="nil"/>
              <w:left w:val="nil"/>
              <w:bottom w:val="nil"/>
              <w:right w:val="nil"/>
            </w:tcBorders>
          </w:tcPr>
          <w:p>
            <w:pPr>
              <w:widowControl/>
              <w:spacing w:line="360" w:lineRule="auto"/>
              <w:rPr>
                <w:rFonts w:ascii="Times New Roman" w:hAnsi="Times New Roman" w:eastAsia="宋体" w:cs="Times New Roman"/>
                <w:kern w:val="0"/>
                <w:sz w:val="24"/>
              </w:rPr>
            </w:pPr>
            <w:r>
              <w:rPr>
                <w:rFonts w:ascii="Times New Roman" w:hAnsi="Times New Roman" w:eastAsia="宋体" w:cs="Times New Roman"/>
                <w:kern w:val="0"/>
                <w:sz w:val="24"/>
              </w:rPr>
              <w:t>V</w:t>
            </w:r>
            <w:r>
              <w:rPr>
                <w:rFonts w:ascii="Times New Roman" w:hAnsi="Times New Roman" w:eastAsia="宋体" w:cs="Times New Roman"/>
                <w:kern w:val="0"/>
                <w:sz w:val="24"/>
                <w:vertAlign w:val="subscript"/>
              </w:rPr>
              <w:t>IA</w:t>
            </w:r>
          </w:p>
        </w:tc>
        <w:tc>
          <w:tcPr>
            <w:tcW w:w="2604" w:type="dxa"/>
            <w:tcBorders>
              <w:top w:val="nil"/>
              <w:left w:val="nil"/>
              <w:bottom w:val="nil"/>
              <w:right w:val="nil"/>
            </w:tcBorders>
          </w:tcPr>
          <w:p>
            <w:pPr>
              <w:widowControl/>
              <w:spacing w:line="360" w:lineRule="auto"/>
              <w:rPr>
                <w:rFonts w:ascii="Times New Roman" w:hAnsi="Times New Roman" w:eastAsia="Times-Roman" w:cs="Times New Roman"/>
                <w:kern w:val="0"/>
                <w:sz w:val="24"/>
              </w:rPr>
            </w:pPr>
            <w:r>
              <w:rPr>
                <w:rFonts w:ascii="Times New Roman" w:hAnsi="Times New Roman" w:eastAsia="Times-Roman" w:cs="Times New Roman"/>
                <w:kern w:val="0"/>
                <w:sz w:val="24"/>
              </w:rPr>
              <w:t>-0.0</w:t>
            </w:r>
            <w:r>
              <w:rPr>
                <w:rFonts w:hint="eastAsia" w:ascii="Times New Roman" w:hAnsi="Times New Roman" w:eastAsia="Times-Roman" w:cs="Times New Roman"/>
                <w:kern w:val="0"/>
                <w:sz w:val="24"/>
              </w:rPr>
              <w:t>5</w:t>
            </w:r>
            <w:r>
              <w:rPr>
                <w:rFonts w:ascii="Times New Roman" w:hAnsi="Times New Roman" w:eastAsia="Times-Roman" w:cs="Times New Roman"/>
                <w:kern w:val="0"/>
                <w:sz w:val="24"/>
              </w:rPr>
              <w:t xml:space="preserve"> ± 0.</w:t>
            </w:r>
            <w:r>
              <w:rPr>
                <w:rFonts w:hint="eastAsia" w:ascii="Times New Roman" w:hAnsi="Times New Roman" w:eastAsia="Times-Roman" w:cs="Times New Roman"/>
                <w:kern w:val="0"/>
                <w:sz w:val="24"/>
              </w:rPr>
              <w:t>08</w:t>
            </w:r>
          </w:p>
        </w:tc>
        <w:tc>
          <w:tcPr>
            <w:tcW w:w="3395" w:type="dxa"/>
            <w:tcBorders>
              <w:top w:val="nil"/>
              <w:left w:val="nil"/>
              <w:bottom w:val="nil"/>
              <w:right w:val="nil"/>
            </w:tcBorders>
          </w:tcPr>
          <w:p>
            <w:pPr>
              <w:widowControl/>
              <w:spacing w:line="360" w:lineRule="auto"/>
              <w:jc w:val="left"/>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R</w:t>
            </w:r>
            <w:r>
              <w:rPr>
                <w:rFonts w:ascii="Times New Roman" w:hAnsi="Times New Roman" w:eastAsia="宋体" w:cs="Times New Roman"/>
                <w:color w:val="000000" w:themeColor="text1"/>
                <w:kern w:val="0"/>
                <w:sz w:val="24"/>
                <w:vertAlign w:val="subscript"/>
                <w14:textFill>
                  <w14:solidFill>
                    <w14:schemeClr w14:val="tx1"/>
                  </w14:solidFill>
                </w14:textFill>
              </w:rPr>
              <w:t>s</w:t>
            </w:r>
            <w:r>
              <w:rPr>
                <w:rFonts w:ascii="Times New Roman" w:hAnsi="Times New Roman" w:eastAsia="宋体" w:cs="Times New Roman"/>
                <w:color w:val="000000" w:themeColor="text1"/>
                <w:kern w:val="0"/>
                <w:sz w:val="24"/>
                <w14:textFill>
                  <w14:solidFill>
                    <w14:schemeClr w14:val="tx1"/>
                  </w14:solidFill>
                </w14:textFill>
              </w:rPr>
              <w:t>= -0.</w:t>
            </w:r>
            <w:r>
              <w:rPr>
                <w:rFonts w:hint="eastAsia" w:ascii="Times New Roman" w:hAnsi="Times New Roman" w:eastAsia="宋体" w:cs="Times New Roman"/>
                <w:color w:val="000000" w:themeColor="text1"/>
                <w:kern w:val="0"/>
                <w:sz w:val="24"/>
                <w14:textFill>
                  <w14:solidFill>
                    <w14:schemeClr w14:val="tx1"/>
                  </w14:solidFill>
                </w14:textFill>
              </w:rPr>
              <w:t>136</w:t>
            </w:r>
            <w:r>
              <w:rPr>
                <w:rFonts w:ascii="Times New Roman" w:hAnsi="Times New Roman" w:eastAsia="宋体" w:cs="Times New Roman"/>
                <w:color w:val="000000" w:themeColor="text1"/>
                <w:kern w:val="0"/>
                <w:sz w:val="24"/>
                <w14:textFill>
                  <w14:solidFill>
                    <w14:schemeClr w14:val="tx1"/>
                  </w14:solidFill>
                </w14:textFill>
              </w:rPr>
              <w:t>, P= 0.</w:t>
            </w:r>
            <w:r>
              <w:rPr>
                <w:rFonts w:hint="eastAsia" w:ascii="Times New Roman" w:hAnsi="Times New Roman" w:eastAsia="宋体" w:cs="Times New Roman"/>
                <w:color w:val="000000" w:themeColor="text1"/>
                <w:kern w:val="0"/>
                <w:sz w:val="24"/>
                <w14:textFill>
                  <w14:solidFill>
                    <w14:schemeClr w14:val="tx1"/>
                  </w14:solidFill>
                </w14:textFill>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tcBorders>
              <w:top w:val="nil"/>
              <w:left w:val="nil"/>
              <w:bottom w:val="nil"/>
              <w:right w:val="nil"/>
            </w:tcBorders>
          </w:tcPr>
          <w:p>
            <w:pPr>
              <w:widowControl/>
              <w:spacing w:line="360" w:lineRule="auto"/>
              <w:rPr>
                <w:rFonts w:ascii="Times New Roman" w:hAnsi="Times New Roman" w:eastAsia="宋体" w:cs="Times New Roman"/>
                <w:kern w:val="0"/>
                <w:sz w:val="24"/>
              </w:rPr>
            </w:pPr>
            <w:r>
              <w:rPr>
                <w:rFonts w:ascii="Times New Roman" w:hAnsi="Times New Roman" w:eastAsia="宋体" w:cs="Times New Roman"/>
                <w:kern w:val="0"/>
                <w:sz w:val="24"/>
              </w:rPr>
              <w:t>Flow</w:t>
            </w:r>
            <w:r>
              <w:rPr>
                <w:rFonts w:ascii="Times New Roman" w:hAnsi="Times New Roman" w:eastAsia="宋体" w:cs="Times New Roman"/>
                <w:kern w:val="0"/>
                <w:sz w:val="24"/>
                <w:vertAlign w:val="subscript"/>
              </w:rPr>
              <w:t>IA</w:t>
            </w:r>
          </w:p>
        </w:tc>
        <w:tc>
          <w:tcPr>
            <w:tcW w:w="2604" w:type="dxa"/>
            <w:tcBorders>
              <w:top w:val="nil"/>
              <w:left w:val="nil"/>
              <w:bottom w:val="nil"/>
              <w:right w:val="nil"/>
            </w:tcBorders>
          </w:tcPr>
          <w:p>
            <w:pPr>
              <w:widowControl/>
              <w:spacing w:line="36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-0.14</w:t>
            </w:r>
            <w:r>
              <w:rPr>
                <w:rFonts w:ascii="Times New Roman" w:hAnsi="Times New Roman" w:eastAsia="Times-Roman" w:cs="Times New Roman"/>
                <w:kern w:val="0"/>
                <w:sz w:val="24"/>
              </w:rPr>
              <w:t xml:space="preserve"> ± </w:t>
            </w:r>
            <w:r>
              <w:rPr>
                <w:rFonts w:hint="eastAsia" w:ascii="Times New Roman" w:hAnsi="Times New Roman" w:eastAsia="Times-Roman" w:cs="Times New Roman"/>
                <w:kern w:val="0"/>
                <w:sz w:val="24"/>
              </w:rPr>
              <w:t>0.21</w:t>
            </w:r>
          </w:p>
        </w:tc>
        <w:tc>
          <w:tcPr>
            <w:tcW w:w="3395" w:type="dxa"/>
            <w:tcBorders>
              <w:top w:val="nil"/>
              <w:left w:val="nil"/>
              <w:bottom w:val="nil"/>
              <w:right w:val="nil"/>
            </w:tcBorders>
          </w:tcPr>
          <w:p>
            <w:pPr>
              <w:widowControl/>
              <w:spacing w:line="360" w:lineRule="auto"/>
              <w:jc w:val="left"/>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R</w:t>
            </w:r>
            <w:r>
              <w:rPr>
                <w:rFonts w:ascii="Times New Roman" w:hAnsi="Times New Roman" w:eastAsia="宋体" w:cs="Times New Roman"/>
                <w:color w:val="000000" w:themeColor="text1"/>
                <w:kern w:val="0"/>
                <w:sz w:val="24"/>
                <w:vertAlign w:val="subscript"/>
                <w14:textFill>
                  <w14:solidFill>
                    <w14:schemeClr w14:val="tx1"/>
                  </w14:solidFill>
                </w14:textFill>
              </w:rPr>
              <w:t>s</w:t>
            </w:r>
            <w:r>
              <w:rPr>
                <w:rFonts w:ascii="Times New Roman" w:hAnsi="Times New Roman" w:eastAsia="宋体" w:cs="Times New Roman"/>
                <w:color w:val="000000" w:themeColor="text1"/>
                <w:kern w:val="0"/>
                <w:sz w:val="24"/>
                <w14:textFill>
                  <w14:solidFill>
                    <w14:schemeClr w14:val="tx1"/>
                  </w14:solidFill>
                </w14:textFill>
              </w:rPr>
              <w:t xml:space="preserve">= </w:t>
            </w:r>
            <w:r>
              <w:rPr>
                <w:rFonts w:hint="eastAsia" w:ascii="Times New Roman" w:hAnsi="Times New Roman" w:eastAsia="宋体" w:cs="Times New Roman"/>
                <w:color w:val="000000" w:themeColor="text1"/>
                <w:kern w:val="0"/>
                <w:sz w:val="24"/>
                <w14:textFill>
                  <w14:solidFill>
                    <w14:schemeClr w14:val="tx1"/>
                  </w14:solidFill>
                </w14:textFill>
              </w:rPr>
              <w:t>-0.178</w:t>
            </w:r>
            <w:r>
              <w:rPr>
                <w:rFonts w:ascii="Times New Roman" w:hAnsi="Times New Roman" w:eastAsia="宋体" w:cs="Times New Roman"/>
                <w:color w:val="000000" w:themeColor="text1"/>
                <w:kern w:val="0"/>
                <w:sz w:val="24"/>
                <w14:textFill>
                  <w14:solidFill>
                    <w14:schemeClr w14:val="tx1"/>
                  </w14:solidFill>
                </w14:textFill>
              </w:rPr>
              <w:t>, P= 0.</w:t>
            </w:r>
            <w:r>
              <w:rPr>
                <w:rFonts w:hint="eastAsia" w:ascii="Times New Roman" w:hAnsi="Times New Roman" w:eastAsia="宋体" w:cs="Times New Roman"/>
                <w:color w:val="000000" w:themeColor="text1"/>
                <w:kern w:val="0"/>
                <w:sz w:val="24"/>
                <w14:textFill>
                  <w14:solidFill>
                    <w14:schemeClr w14:val="tx1"/>
                  </w14:solidFill>
                </w14:textFill>
              </w:rPr>
              <w:t>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920" w:type="dxa"/>
            <w:tcBorders>
              <w:top w:val="nil"/>
              <w:left w:val="nil"/>
              <w:bottom w:val="nil"/>
              <w:right w:val="nil"/>
            </w:tcBorders>
          </w:tcPr>
          <w:p>
            <w:pPr>
              <w:widowControl/>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aWSS</w:t>
            </w:r>
          </w:p>
        </w:tc>
        <w:tc>
          <w:tcPr>
            <w:tcW w:w="2604" w:type="dxa"/>
            <w:tcBorders>
              <w:top w:val="nil"/>
              <w:left w:val="nil"/>
              <w:bottom w:val="nil"/>
              <w:right w:val="nil"/>
            </w:tcBorders>
          </w:tcPr>
          <w:p>
            <w:pPr>
              <w:widowControl/>
              <w:spacing w:line="36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-0.05</w:t>
            </w:r>
            <w:r>
              <w:rPr>
                <w:rFonts w:ascii="Times New Roman" w:hAnsi="Times New Roman" w:eastAsia="Times-Roman" w:cs="Times New Roman"/>
                <w:kern w:val="0"/>
                <w:sz w:val="24"/>
              </w:rPr>
              <w:t xml:space="preserve"> ± 0.</w:t>
            </w:r>
            <w:r>
              <w:rPr>
                <w:rFonts w:hint="eastAsia" w:ascii="Times New Roman" w:hAnsi="Times New Roman" w:eastAsia="Times-Roman" w:cs="Times New Roman"/>
                <w:kern w:val="0"/>
                <w:sz w:val="24"/>
              </w:rPr>
              <w:t>10</w:t>
            </w:r>
          </w:p>
        </w:tc>
        <w:tc>
          <w:tcPr>
            <w:tcW w:w="3395" w:type="dxa"/>
            <w:tcBorders>
              <w:top w:val="nil"/>
              <w:left w:val="nil"/>
              <w:bottom w:val="nil"/>
              <w:right w:val="nil"/>
            </w:tcBorders>
          </w:tcPr>
          <w:p>
            <w:pPr>
              <w:widowControl/>
              <w:spacing w:line="360" w:lineRule="auto"/>
              <w:jc w:val="left"/>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R</w:t>
            </w:r>
            <w:r>
              <w:rPr>
                <w:rFonts w:ascii="Times New Roman" w:hAnsi="Times New Roman" w:eastAsia="宋体" w:cs="Times New Roman"/>
                <w:color w:val="000000" w:themeColor="text1"/>
                <w:kern w:val="0"/>
                <w:sz w:val="24"/>
                <w:vertAlign w:val="subscript"/>
                <w14:textFill>
                  <w14:solidFill>
                    <w14:schemeClr w14:val="tx1"/>
                  </w14:solidFill>
                </w14:textFill>
              </w:rPr>
              <w:t>s</w:t>
            </w:r>
            <w:r>
              <w:rPr>
                <w:rFonts w:ascii="Times New Roman" w:hAnsi="Times New Roman" w:eastAsia="宋体" w:cs="Times New Roman"/>
                <w:color w:val="000000" w:themeColor="text1"/>
                <w:kern w:val="0"/>
                <w:sz w:val="24"/>
                <w14:textFill>
                  <w14:solidFill>
                    <w14:schemeClr w14:val="tx1"/>
                  </w14:solidFill>
                </w14:textFill>
              </w:rPr>
              <w:t xml:space="preserve">= </w:t>
            </w:r>
            <w:r>
              <w:rPr>
                <w:rFonts w:hint="eastAsia" w:ascii="Times New Roman" w:hAnsi="Times New Roman" w:eastAsia="宋体" w:cs="Times New Roman"/>
                <w:color w:val="000000" w:themeColor="text1"/>
                <w:kern w:val="0"/>
                <w:sz w:val="24"/>
                <w14:textFill>
                  <w14:solidFill>
                    <w14:schemeClr w14:val="tx1"/>
                  </w14:solidFill>
                </w14:textFill>
              </w:rPr>
              <w:t>-</w:t>
            </w:r>
            <w:r>
              <w:rPr>
                <w:rFonts w:ascii="Times New Roman" w:hAnsi="Times New Roman" w:eastAsia="宋体" w:cs="Times New Roman"/>
                <w:color w:val="000000" w:themeColor="text1"/>
                <w:kern w:val="0"/>
                <w:sz w:val="24"/>
                <w14:textFill>
                  <w14:solidFill>
                    <w14:schemeClr w14:val="tx1"/>
                  </w14:solidFill>
                </w14:textFill>
              </w:rPr>
              <w:t>0.</w:t>
            </w:r>
            <w:r>
              <w:rPr>
                <w:rFonts w:hint="eastAsia" w:ascii="Times New Roman" w:hAnsi="Times New Roman" w:eastAsia="宋体" w:cs="Times New Roman"/>
                <w:color w:val="000000" w:themeColor="text1"/>
                <w:kern w:val="0"/>
                <w:sz w:val="24"/>
                <w14:textFill>
                  <w14:solidFill>
                    <w14:schemeClr w14:val="tx1"/>
                  </w14:solidFill>
                </w14:textFill>
              </w:rPr>
              <w:t>060</w:t>
            </w:r>
            <w:r>
              <w:rPr>
                <w:rFonts w:ascii="Times New Roman" w:hAnsi="Times New Roman" w:eastAsia="宋体" w:cs="Times New Roman"/>
                <w:color w:val="000000" w:themeColor="text1"/>
                <w:kern w:val="0"/>
                <w:sz w:val="24"/>
                <w14:textFill>
                  <w14:solidFill>
                    <w14:schemeClr w14:val="tx1"/>
                  </w14:solidFill>
                </w14:textFill>
              </w:rPr>
              <w:t>, P= 0.</w:t>
            </w:r>
            <w:r>
              <w:rPr>
                <w:rFonts w:hint="eastAsia" w:ascii="Times New Roman" w:hAnsi="Times New Roman" w:eastAsia="宋体" w:cs="Times New Roman"/>
                <w:color w:val="000000" w:themeColor="text1"/>
                <w:kern w:val="0"/>
                <w:sz w:val="24"/>
                <w14:textFill>
                  <w14:solidFill>
                    <w14:schemeClr w14:val="tx1"/>
                  </w14:solidFill>
                </w14:textFill>
              </w:rPr>
              <w:t>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920" w:type="dxa"/>
            <w:tcBorders>
              <w:top w:val="nil"/>
              <w:left w:val="nil"/>
              <w:bottom w:val="nil"/>
              <w:right w:val="nil"/>
            </w:tcBorders>
          </w:tcPr>
          <w:p>
            <w:pPr>
              <w:widowControl/>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V</w:t>
            </w:r>
            <w:r>
              <w:rPr>
                <w:rFonts w:hint="eastAsia" w:ascii="Times New Roman" w:hAnsi="Times New Roman" w:eastAsia="宋体" w:cs="Times New Roman"/>
                <w:kern w:val="0"/>
                <w:sz w:val="24"/>
                <w:vertAlign w:val="subscript"/>
              </w:rPr>
              <w:t>APA</w:t>
            </w:r>
          </w:p>
        </w:tc>
        <w:tc>
          <w:tcPr>
            <w:tcW w:w="2604" w:type="dxa"/>
            <w:tcBorders>
              <w:top w:val="nil"/>
              <w:left w:val="nil"/>
              <w:bottom w:val="nil"/>
              <w:right w:val="nil"/>
            </w:tcBorders>
          </w:tcPr>
          <w:p>
            <w:pPr>
              <w:widowControl/>
              <w:spacing w:line="36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-0.06</w:t>
            </w:r>
            <w:r>
              <w:rPr>
                <w:rFonts w:ascii="Times New Roman" w:hAnsi="Times New Roman" w:eastAsia="Times-Roman" w:cs="Times New Roman"/>
                <w:kern w:val="0"/>
                <w:sz w:val="24"/>
              </w:rPr>
              <w:t xml:space="preserve"> ± 0.</w:t>
            </w:r>
            <w:r>
              <w:rPr>
                <w:rFonts w:hint="eastAsia" w:ascii="Times New Roman" w:hAnsi="Times New Roman" w:eastAsia="Times-Roman" w:cs="Times New Roman"/>
                <w:kern w:val="0"/>
                <w:sz w:val="24"/>
              </w:rPr>
              <w:t>13</w:t>
            </w:r>
          </w:p>
        </w:tc>
        <w:tc>
          <w:tcPr>
            <w:tcW w:w="3395" w:type="dxa"/>
            <w:tcBorders>
              <w:top w:val="nil"/>
              <w:left w:val="nil"/>
              <w:bottom w:val="nil"/>
              <w:right w:val="nil"/>
            </w:tcBorders>
          </w:tcPr>
          <w:p>
            <w:pPr>
              <w:widowControl/>
              <w:spacing w:line="360" w:lineRule="auto"/>
              <w:jc w:val="left"/>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R</w:t>
            </w:r>
            <w:r>
              <w:rPr>
                <w:rFonts w:ascii="Times New Roman" w:hAnsi="Times New Roman" w:eastAsia="宋体" w:cs="Times New Roman"/>
                <w:color w:val="000000" w:themeColor="text1"/>
                <w:kern w:val="0"/>
                <w:sz w:val="24"/>
                <w:vertAlign w:val="subscript"/>
                <w14:textFill>
                  <w14:solidFill>
                    <w14:schemeClr w14:val="tx1"/>
                  </w14:solidFill>
                </w14:textFill>
              </w:rPr>
              <w:t>s</w:t>
            </w:r>
            <w:r>
              <w:rPr>
                <w:rFonts w:ascii="Times New Roman" w:hAnsi="Times New Roman" w:eastAsia="宋体" w:cs="Times New Roman"/>
                <w:color w:val="000000" w:themeColor="text1"/>
                <w:kern w:val="0"/>
                <w:sz w:val="24"/>
                <w14:textFill>
                  <w14:solidFill>
                    <w14:schemeClr w14:val="tx1"/>
                  </w14:solidFill>
                </w14:textFill>
              </w:rPr>
              <w:t xml:space="preserve">= </w:t>
            </w:r>
            <w:r>
              <w:rPr>
                <w:rFonts w:hint="eastAsia" w:ascii="Times New Roman" w:hAnsi="Times New Roman" w:eastAsia="宋体" w:cs="Times New Roman"/>
                <w:color w:val="000000" w:themeColor="text1"/>
                <w:kern w:val="0"/>
                <w:sz w:val="24"/>
                <w14:textFill>
                  <w14:solidFill>
                    <w14:schemeClr w14:val="tx1"/>
                  </w14:solidFill>
                </w14:textFill>
              </w:rPr>
              <w:t>0.082</w:t>
            </w:r>
            <w:r>
              <w:rPr>
                <w:rFonts w:ascii="Times New Roman" w:hAnsi="Times New Roman" w:eastAsia="宋体" w:cs="Times New Roman"/>
                <w:color w:val="000000" w:themeColor="text1"/>
                <w:kern w:val="0"/>
                <w:sz w:val="24"/>
                <w14:textFill>
                  <w14:solidFill>
                    <w14:schemeClr w14:val="tx1"/>
                  </w14:solidFill>
                </w14:textFill>
              </w:rPr>
              <w:t>, P= 0.</w:t>
            </w:r>
            <w:r>
              <w:rPr>
                <w:rFonts w:hint="eastAsia" w:ascii="Times New Roman" w:hAnsi="Times New Roman" w:eastAsia="宋体" w:cs="Times New Roman"/>
                <w:color w:val="000000" w:themeColor="text1"/>
                <w:kern w:val="0"/>
                <w:sz w:val="24"/>
                <w14:textFill>
                  <w14:solidFill>
                    <w14:schemeClr w14:val="tx1"/>
                  </w14:solidFill>
                </w14:textFill>
              </w:rPr>
              <w:t>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0" w:type="dxa"/>
            <w:tcBorders>
              <w:top w:val="nil"/>
              <w:left w:val="nil"/>
              <w:bottom w:val="single" w:color="auto" w:sz="4" w:space="0"/>
              <w:right w:val="nil"/>
            </w:tcBorders>
          </w:tcPr>
          <w:p>
            <w:pPr>
              <w:widowControl/>
              <w:spacing w:line="36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Flow</w:t>
            </w:r>
            <w:r>
              <w:rPr>
                <w:rFonts w:hint="eastAsia" w:ascii="Times New Roman" w:hAnsi="Times New Roman" w:eastAsia="宋体" w:cs="Times New Roman"/>
                <w:kern w:val="0"/>
                <w:sz w:val="24"/>
                <w:vertAlign w:val="subscript"/>
              </w:rPr>
              <w:t>APA</w:t>
            </w:r>
          </w:p>
        </w:tc>
        <w:tc>
          <w:tcPr>
            <w:tcW w:w="2604" w:type="dxa"/>
            <w:tcBorders>
              <w:top w:val="nil"/>
              <w:left w:val="nil"/>
              <w:bottom w:val="single" w:color="auto" w:sz="4" w:space="0"/>
              <w:right w:val="nil"/>
            </w:tcBorders>
          </w:tcPr>
          <w:p>
            <w:pPr>
              <w:widowControl/>
              <w:spacing w:line="360" w:lineRule="auto"/>
              <w:rPr>
                <w:rFonts w:ascii="Times New Roman" w:hAnsi="Times New Roman" w:eastAsia="Times-Roman" w:cs="Times New Roman"/>
                <w:kern w:val="0"/>
                <w:sz w:val="24"/>
              </w:rPr>
            </w:pPr>
            <w:r>
              <w:rPr>
                <w:rFonts w:hint="eastAsia" w:ascii="Times New Roman" w:hAnsi="Times New Roman" w:eastAsia="Times-Roman" w:cs="Times New Roman"/>
                <w:kern w:val="0"/>
                <w:sz w:val="24"/>
              </w:rPr>
              <w:t>0.12</w:t>
            </w:r>
            <w:r>
              <w:rPr>
                <w:rFonts w:ascii="Times New Roman" w:hAnsi="Times New Roman" w:eastAsia="Times-Roman" w:cs="Times New Roman"/>
                <w:kern w:val="0"/>
                <w:sz w:val="24"/>
              </w:rPr>
              <w:t xml:space="preserve"> ± 0.</w:t>
            </w:r>
            <w:r>
              <w:rPr>
                <w:rFonts w:hint="eastAsia" w:ascii="Times New Roman" w:hAnsi="Times New Roman" w:eastAsia="Times-Roman" w:cs="Times New Roman"/>
                <w:kern w:val="0"/>
                <w:sz w:val="24"/>
              </w:rPr>
              <w:t>22</w:t>
            </w:r>
          </w:p>
        </w:tc>
        <w:tc>
          <w:tcPr>
            <w:tcW w:w="3395" w:type="dxa"/>
            <w:tcBorders>
              <w:top w:val="nil"/>
              <w:left w:val="nil"/>
              <w:bottom w:val="single" w:color="auto" w:sz="4" w:space="0"/>
              <w:right w:val="nil"/>
            </w:tcBorders>
          </w:tcPr>
          <w:p>
            <w:pPr>
              <w:widowControl/>
              <w:spacing w:line="360" w:lineRule="auto"/>
              <w:jc w:val="left"/>
              <w:rPr>
                <w:rFonts w:ascii="Times New Roman" w:hAnsi="Times New Roman" w:eastAsia="宋体" w:cs="Times New Roman"/>
                <w:color w:val="000000" w:themeColor="text1"/>
                <w:kern w:val="0"/>
                <w:sz w:val="24"/>
                <w14:textFill>
                  <w14:solidFill>
                    <w14:schemeClr w14:val="tx1"/>
                  </w14:solidFill>
                </w14:textFill>
              </w:rPr>
            </w:pPr>
            <w:r>
              <w:rPr>
                <w:rFonts w:ascii="Times New Roman" w:hAnsi="Times New Roman" w:eastAsia="宋体" w:cs="Times New Roman"/>
                <w:color w:val="000000" w:themeColor="text1"/>
                <w:kern w:val="0"/>
                <w:sz w:val="24"/>
                <w14:textFill>
                  <w14:solidFill>
                    <w14:schemeClr w14:val="tx1"/>
                  </w14:solidFill>
                </w14:textFill>
              </w:rPr>
              <w:t>R</w:t>
            </w:r>
            <w:r>
              <w:rPr>
                <w:rFonts w:ascii="Times New Roman" w:hAnsi="Times New Roman" w:eastAsia="宋体" w:cs="Times New Roman"/>
                <w:color w:val="000000" w:themeColor="text1"/>
                <w:kern w:val="0"/>
                <w:sz w:val="24"/>
                <w:vertAlign w:val="subscript"/>
                <w14:textFill>
                  <w14:solidFill>
                    <w14:schemeClr w14:val="tx1"/>
                  </w14:solidFill>
                </w14:textFill>
              </w:rPr>
              <w:t>s</w:t>
            </w:r>
            <w:r>
              <w:rPr>
                <w:rFonts w:ascii="Times New Roman" w:hAnsi="Times New Roman" w:eastAsia="宋体" w:cs="Times New Roman"/>
                <w:color w:val="000000" w:themeColor="text1"/>
                <w:kern w:val="0"/>
                <w:sz w:val="24"/>
                <w14:textFill>
                  <w14:solidFill>
                    <w14:schemeClr w14:val="tx1"/>
                  </w14:solidFill>
                </w14:textFill>
              </w:rPr>
              <w:t xml:space="preserve">= </w:t>
            </w:r>
            <w:r>
              <w:rPr>
                <w:rFonts w:hint="eastAsia" w:ascii="Times New Roman" w:hAnsi="Times New Roman" w:eastAsia="宋体" w:cs="Times New Roman"/>
                <w:color w:val="000000" w:themeColor="text1"/>
                <w:kern w:val="0"/>
                <w:sz w:val="24"/>
                <w14:textFill>
                  <w14:solidFill>
                    <w14:schemeClr w14:val="tx1"/>
                  </w14:solidFill>
                </w14:textFill>
              </w:rPr>
              <w:t>-0.419</w:t>
            </w:r>
            <w:r>
              <w:rPr>
                <w:rFonts w:ascii="Times New Roman" w:hAnsi="Times New Roman" w:eastAsia="宋体" w:cs="Times New Roman"/>
                <w:color w:val="000000" w:themeColor="text1"/>
                <w:kern w:val="0"/>
                <w:sz w:val="24"/>
                <w14:textFill>
                  <w14:solidFill>
                    <w14:schemeClr w14:val="tx1"/>
                  </w14:solidFill>
                </w14:textFill>
              </w:rPr>
              <w:t>, P= 0.</w:t>
            </w:r>
            <w:r>
              <w:rPr>
                <w:rFonts w:hint="eastAsia" w:ascii="Times New Roman" w:hAnsi="Times New Roman" w:eastAsia="宋体" w:cs="Times New Roman"/>
                <w:color w:val="000000" w:themeColor="text1"/>
                <w:kern w:val="0"/>
                <w:sz w:val="24"/>
                <w14:textFill>
                  <w14:solidFill>
                    <w14:schemeClr w14:val="tx1"/>
                  </w14:solidFill>
                </w14:textFill>
              </w:rPr>
              <w:t>001</w:t>
            </w:r>
            <w:r>
              <w:rPr>
                <w:rFonts w:ascii="Times New Roman" w:hAnsi="Times New Roman" w:cs="Times New Roman"/>
                <w:kern w:val="0"/>
                <w:sz w:val="24"/>
              </w:rPr>
              <w:t>*</w:t>
            </w:r>
          </w:p>
        </w:tc>
      </w:tr>
    </w:tbl>
    <w:p>
      <w:pPr>
        <w:pStyle w:val="10"/>
        <w:autoSpaceDE w:val="0"/>
        <w:autoSpaceDN w:val="0"/>
        <w:adjustRightInd w:val="0"/>
        <w:spacing w:line="360" w:lineRule="auto"/>
        <w:ind w:left="0"/>
        <w:rPr>
          <w:rFonts w:ascii="Times New Roman" w:hAnsi="Times New Roman" w:cs="Times New Roman"/>
          <w:b/>
          <w:bCs/>
          <w:sz w:val="24"/>
        </w:rPr>
      </w:pPr>
      <w:r>
        <w:rPr>
          <w:rFonts w:hint="eastAsia" w:ascii="Times New Roman" w:hAnsi="Times New Roman" w:cs="Times New Roman"/>
          <w:sz w:val="24"/>
        </w:rPr>
        <w:t>aWSS, time-averaged wall shear stress; BP, blood pressure; IA, intracranial aneurysm</w:t>
      </w:r>
      <w:r>
        <w:rPr>
          <w:rFonts w:ascii="Times New Roman" w:hAnsi="Times New Roman" w:cs="Times New Roman"/>
          <w:sz w:val="24"/>
        </w:rPr>
        <w:t>.</w:t>
      </w:r>
      <w:r>
        <w:rPr>
          <w:rFonts w:ascii="Times New Roman" w:hAnsi="Times New Roman" w:cs="Times New Roman"/>
          <w:kern w:val="0"/>
          <w:sz w:val="24"/>
        </w:rPr>
        <w:t xml:space="preserve"> * P &lt; 0.05.</w:t>
      </w:r>
    </w:p>
    <w:p>
      <w:pPr>
        <w:sectPr>
          <w:footerReference r:id="rId5" w:type="default"/>
          <w:pgSz w:w="11906" w:h="16838"/>
          <w:pgMar w:top="1440" w:right="1803" w:bottom="1440" w:left="1803" w:header="851" w:footer="992" w:gutter="0"/>
          <w:pgNumType w:start="1"/>
          <w:cols w:space="0" w:num="1"/>
          <w:docGrid w:type="lines" w:linePitch="319" w:charSpace="0"/>
        </w:sectPr>
      </w:pPr>
    </w:p>
    <w:p>
      <w:pPr>
        <w:pStyle w:val="10"/>
        <w:autoSpaceDE w:val="0"/>
        <w:autoSpaceDN w:val="0"/>
        <w:adjustRightInd w:val="0"/>
        <w:spacing w:line="360" w:lineRule="auto"/>
        <w:ind w:left="0"/>
        <w:rPr>
          <w:rFonts w:ascii="Times New Roman" w:hAnsi="Times New Roman" w:cs="Times New Roman"/>
          <w:b/>
          <w:bCs/>
          <w:sz w:val="24"/>
        </w:rPr>
      </w:pPr>
      <w:r>
        <w:rPr>
          <w:rFonts w:hint="eastAsia" w:ascii="Times New Roman" w:hAnsi="Times New Roman" w:cs="Times New Roman"/>
          <w:b/>
          <w:bCs/>
          <w:sz w:val="24"/>
        </w:rPr>
        <w:t xml:space="preserve">Supplemental </w:t>
      </w:r>
      <w:r>
        <w:rPr>
          <w:rFonts w:ascii="Times New Roman" w:hAnsi="Times New Roman" w:cs="Times New Roman"/>
          <w:b/>
          <w:bCs/>
          <w:sz w:val="24"/>
        </w:rPr>
        <w:t xml:space="preserve">Table </w:t>
      </w:r>
      <w:r>
        <w:rPr>
          <w:rFonts w:hint="eastAsia" w:ascii="Times New Roman" w:hAnsi="Times New Roman" w:cs="Times New Roman"/>
          <w:b/>
          <w:bCs/>
          <w:sz w:val="24"/>
        </w:rPr>
        <w:t>4</w:t>
      </w:r>
      <w:r>
        <w:rPr>
          <w:rFonts w:ascii="Times New Roman" w:hAnsi="Times New Roman" w:cs="Times New Roman"/>
          <w:b/>
          <w:bCs/>
          <w:sz w:val="24"/>
        </w:rPr>
        <w:t xml:space="preserve">. Changes of </w:t>
      </w:r>
      <w:r>
        <w:rPr>
          <w:rFonts w:hint="eastAsia" w:ascii="Times New Roman" w:hAnsi="Times New Roman" w:cs="Times New Roman"/>
          <w:b/>
          <w:bCs/>
          <w:sz w:val="24"/>
        </w:rPr>
        <w:t>IAs</w:t>
      </w:r>
      <w:r>
        <w:rPr>
          <w:rFonts w:ascii="Times New Roman" w:hAnsi="Times New Roman" w:cs="Times New Roman"/>
          <w:b/>
          <w:bCs/>
          <w:sz w:val="24"/>
        </w:rPr>
        <w:t>’</w:t>
      </w:r>
      <w:r>
        <w:rPr>
          <w:rFonts w:hint="eastAsia" w:ascii="Times New Roman" w:hAnsi="Times New Roman" w:cs="Times New Roman"/>
          <w:b/>
          <w:bCs/>
          <w:sz w:val="24"/>
        </w:rPr>
        <w:t xml:space="preserve"> </w:t>
      </w:r>
      <w:r>
        <w:rPr>
          <w:rFonts w:ascii="Times New Roman" w:hAnsi="Times New Roman" w:cs="Times New Roman"/>
          <w:b/>
          <w:bCs/>
          <w:sz w:val="24"/>
        </w:rPr>
        <w:t>hemodynamics in</w:t>
      </w:r>
      <w:r>
        <w:rPr>
          <w:rFonts w:hint="eastAsia" w:ascii="Times New Roman" w:hAnsi="Times New Roman" w:cs="Times New Roman"/>
          <w:b/>
          <w:bCs/>
          <w:sz w:val="24"/>
        </w:rPr>
        <w:t xml:space="preserve"> one patient with</w:t>
      </w:r>
      <w:r>
        <w:rPr>
          <w:rFonts w:ascii="Times New Roman" w:hAnsi="Times New Roman" w:cs="Times New Roman"/>
          <w:b/>
          <w:bCs/>
          <w:sz w:val="24"/>
        </w:rPr>
        <w:t xml:space="preserve"> mirror IAs</w:t>
      </w:r>
    </w:p>
    <w:tbl>
      <w:tblPr>
        <w:tblStyle w:val="6"/>
        <w:tblW w:w="14451" w:type="dxa"/>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680"/>
        <w:gridCol w:w="1480"/>
        <w:gridCol w:w="1298"/>
        <w:gridCol w:w="1700"/>
        <w:gridCol w:w="1732"/>
        <w:gridCol w:w="1650"/>
        <w:gridCol w:w="1750"/>
        <w:gridCol w:w="1750"/>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680" w:type="dxa"/>
            <w:tcBorders>
              <w:top w:val="single" w:color="auto" w:sz="4" w:space="0"/>
              <w:left w:val="nil"/>
              <w:bottom w:val="single" w:color="auto" w:sz="4" w:space="0"/>
              <w:right w:val="nil"/>
            </w:tcBorders>
          </w:tcPr>
          <w:p>
            <w:pPr>
              <w:jc w:val="center"/>
              <w:rPr>
                <w:rFonts w:ascii="Times New Roman" w:hAnsi="Times New Roman" w:cs="Times New Roman"/>
                <w:sz w:val="24"/>
              </w:rPr>
            </w:pPr>
            <w:r>
              <w:rPr>
                <w:rFonts w:ascii="Times New Roman" w:hAnsi="Times New Roman" w:cs="Times New Roman"/>
                <w:sz w:val="24"/>
              </w:rPr>
              <w:t>Age</w:t>
            </w:r>
          </w:p>
        </w:tc>
        <w:tc>
          <w:tcPr>
            <w:tcW w:w="680" w:type="dxa"/>
            <w:tcBorders>
              <w:top w:val="single" w:color="auto" w:sz="4" w:space="0"/>
              <w:left w:val="nil"/>
              <w:bottom w:val="single" w:color="auto" w:sz="4" w:space="0"/>
              <w:right w:val="nil"/>
            </w:tcBorders>
          </w:tcPr>
          <w:p>
            <w:pPr>
              <w:jc w:val="center"/>
              <w:rPr>
                <w:rFonts w:ascii="Times New Roman" w:hAnsi="Times New Roman" w:cs="Times New Roman"/>
                <w:sz w:val="24"/>
              </w:rPr>
            </w:pPr>
            <w:r>
              <w:rPr>
                <w:rFonts w:ascii="Times New Roman" w:hAnsi="Times New Roman" w:cs="Times New Roman"/>
                <w:sz w:val="24"/>
              </w:rPr>
              <w:t>Sex</w:t>
            </w:r>
          </w:p>
        </w:tc>
        <w:tc>
          <w:tcPr>
            <w:tcW w:w="1480" w:type="dxa"/>
            <w:tcBorders>
              <w:top w:val="single" w:color="auto" w:sz="4" w:space="0"/>
              <w:left w:val="nil"/>
              <w:bottom w:val="single" w:color="auto" w:sz="4" w:space="0"/>
              <w:right w:val="nil"/>
            </w:tcBorders>
          </w:tcPr>
          <w:p>
            <w:pPr>
              <w:jc w:val="center"/>
              <w:rPr>
                <w:rFonts w:ascii="Times New Roman" w:hAnsi="Times New Roman" w:cs="Times New Roman"/>
                <w:sz w:val="24"/>
              </w:rPr>
            </w:pPr>
            <w:r>
              <w:rPr>
                <w:rFonts w:ascii="Times New Roman" w:hAnsi="Times New Roman" w:cs="Times New Roman"/>
                <w:sz w:val="24"/>
              </w:rPr>
              <w:t>R</w:t>
            </w:r>
            <w:r>
              <w:rPr>
                <w:rFonts w:hint="eastAsia" w:ascii="Times New Roman" w:hAnsi="Times New Roman" w:cs="Times New Roman"/>
                <w:sz w:val="24"/>
              </w:rPr>
              <w:t>edu</w:t>
            </w:r>
            <w:r>
              <w:rPr>
                <w:rFonts w:ascii="Times New Roman" w:hAnsi="Times New Roman" w:cs="Times New Roman"/>
                <w:sz w:val="24"/>
              </w:rPr>
              <w:t>ction of SBP, mmHg</w:t>
            </w:r>
          </w:p>
          <w:p>
            <w:pPr>
              <w:jc w:val="center"/>
              <w:rPr>
                <w:rFonts w:ascii="Times New Roman" w:hAnsi="Times New Roman" w:cs="Times New Roman"/>
                <w:sz w:val="24"/>
              </w:rPr>
            </w:pPr>
          </w:p>
        </w:tc>
        <w:tc>
          <w:tcPr>
            <w:tcW w:w="1298" w:type="dxa"/>
            <w:tcBorders>
              <w:top w:val="single" w:color="auto" w:sz="4" w:space="0"/>
              <w:left w:val="nil"/>
              <w:bottom w:val="single" w:color="auto" w:sz="4" w:space="0"/>
              <w:right w:val="nil"/>
            </w:tcBorders>
          </w:tcPr>
          <w:p>
            <w:pPr>
              <w:jc w:val="center"/>
              <w:rPr>
                <w:rFonts w:ascii="Times New Roman" w:hAnsi="Times New Roman" w:cs="Times New Roman"/>
                <w:sz w:val="24"/>
              </w:rPr>
            </w:pPr>
            <w:r>
              <w:rPr>
                <w:rFonts w:ascii="Times New Roman" w:hAnsi="Times New Roman" w:cs="Times New Roman"/>
                <w:sz w:val="24"/>
              </w:rPr>
              <w:t>Aneurysm location</w:t>
            </w:r>
          </w:p>
        </w:tc>
        <w:tc>
          <w:tcPr>
            <w:tcW w:w="1700" w:type="dxa"/>
            <w:tcBorders>
              <w:top w:val="single" w:color="auto" w:sz="4" w:space="0"/>
              <w:left w:val="nil"/>
              <w:bottom w:val="single" w:color="auto" w:sz="4" w:space="0"/>
              <w:right w:val="nil"/>
            </w:tcBorders>
          </w:tcPr>
          <w:p>
            <w:pPr>
              <w:rPr>
                <w:rFonts w:ascii="Times New Roman" w:hAnsi="Times New Roman" w:cs="Times New Roman"/>
                <w:sz w:val="24"/>
              </w:rPr>
            </w:pPr>
            <w:r>
              <w:rPr>
                <w:rFonts w:ascii="Times New Roman" w:hAnsi="Times New Roman" w:cs="Times New Roman"/>
                <w:sz w:val="24"/>
              </w:rPr>
              <w:t>V</w:t>
            </w:r>
            <w:r>
              <w:rPr>
                <w:rFonts w:ascii="Times New Roman" w:hAnsi="Times New Roman" w:cs="Times New Roman"/>
                <w:sz w:val="24"/>
                <w:vertAlign w:val="subscript"/>
              </w:rPr>
              <w:t xml:space="preserve">IA </w:t>
            </w:r>
            <w:r>
              <w:rPr>
                <w:rFonts w:ascii="Times New Roman" w:hAnsi="Times New Roman" w:cs="Times New Roman"/>
                <w:sz w:val="24"/>
              </w:rPr>
              <w:t>in pre-nifedipine, cm/s</w:t>
            </w:r>
          </w:p>
        </w:tc>
        <w:tc>
          <w:tcPr>
            <w:tcW w:w="1732" w:type="dxa"/>
            <w:tcBorders>
              <w:top w:val="single" w:color="auto" w:sz="4" w:space="0"/>
              <w:left w:val="nil"/>
              <w:bottom w:val="single" w:color="auto" w:sz="4" w:space="0"/>
              <w:right w:val="nil"/>
            </w:tcBorders>
          </w:tcPr>
          <w:p>
            <w:pPr>
              <w:rPr>
                <w:rFonts w:ascii="Times New Roman" w:hAnsi="Times New Roman" w:cs="Times New Roman"/>
                <w:sz w:val="24"/>
              </w:rPr>
            </w:pPr>
            <w:r>
              <w:rPr>
                <w:rFonts w:ascii="Times New Roman" w:hAnsi="Times New Roman" w:cs="Times New Roman"/>
                <w:sz w:val="24"/>
              </w:rPr>
              <w:t>V</w:t>
            </w:r>
            <w:r>
              <w:rPr>
                <w:rFonts w:ascii="Times New Roman" w:hAnsi="Times New Roman" w:cs="Times New Roman"/>
                <w:sz w:val="24"/>
                <w:vertAlign w:val="subscript"/>
              </w:rPr>
              <w:t xml:space="preserve">IA </w:t>
            </w:r>
            <w:r>
              <w:rPr>
                <w:rFonts w:ascii="Times New Roman" w:hAnsi="Times New Roman" w:cs="Times New Roman"/>
                <w:sz w:val="24"/>
              </w:rPr>
              <w:t>in post-nifedipine, cm/s</w:t>
            </w:r>
          </w:p>
        </w:tc>
        <w:tc>
          <w:tcPr>
            <w:tcW w:w="1650" w:type="dxa"/>
            <w:tcBorders>
              <w:top w:val="single" w:color="auto" w:sz="4" w:space="0"/>
              <w:left w:val="nil"/>
              <w:bottom w:val="single" w:color="auto" w:sz="4" w:space="0"/>
              <w:right w:val="nil"/>
            </w:tcBorders>
          </w:tcPr>
          <w:p>
            <w:pPr>
              <w:rPr>
                <w:rFonts w:ascii="Times New Roman" w:hAnsi="Times New Roman" w:cs="Times New Roman"/>
                <w:sz w:val="24"/>
              </w:rPr>
            </w:pPr>
            <w:r>
              <w:rPr>
                <w:rFonts w:ascii="Times New Roman" w:hAnsi="Times New Roman" w:cs="Times New Roman"/>
                <w:sz w:val="24"/>
              </w:rPr>
              <w:t>Flow</w:t>
            </w:r>
            <w:r>
              <w:rPr>
                <w:rFonts w:ascii="Times New Roman" w:hAnsi="Times New Roman" w:cs="Times New Roman"/>
                <w:sz w:val="24"/>
                <w:vertAlign w:val="subscript"/>
              </w:rPr>
              <w:t xml:space="preserve">IA </w:t>
            </w:r>
            <w:r>
              <w:rPr>
                <w:rFonts w:ascii="Times New Roman" w:hAnsi="Times New Roman" w:cs="Times New Roman"/>
                <w:sz w:val="24"/>
              </w:rPr>
              <w:t>in pre-nifedipine, ml/s</w:t>
            </w:r>
          </w:p>
        </w:tc>
        <w:tc>
          <w:tcPr>
            <w:tcW w:w="1750" w:type="dxa"/>
            <w:tcBorders>
              <w:top w:val="single" w:color="auto" w:sz="4" w:space="0"/>
              <w:left w:val="nil"/>
              <w:bottom w:val="single" w:color="auto" w:sz="4" w:space="0"/>
              <w:right w:val="nil"/>
            </w:tcBorders>
          </w:tcPr>
          <w:p>
            <w:pPr>
              <w:rPr>
                <w:rFonts w:ascii="Times New Roman" w:hAnsi="Times New Roman" w:cs="Times New Roman"/>
                <w:sz w:val="24"/>
              </w:rPr>
            </w:pPr>
            <w:r>
              <w:rPr>
                <w:rFonts w:ascii="Times New Roman" w:hAnsi="Times New Roman" w:cs="Times New Roman"/>
                <w:sz w:val="24"/>
              </w:rPr>
              <w:t>Flow</w:t>
            </w:r>
            <w:r>
              <w:rPr>
                <w:rFonts w:ascii="Times New Roman" w:hAnsi="Times New Roman" w:cs="Times New Roman"/>
                <w:sz w:val="24"/>
                <w:vertAlign w:val="subscript"/>
              </w:rPr>
              <w:t xml:space="preserve">IA </w:t>
            </w:r>
            <w:r>
              <w:rPr>
                <w:rFonts w:ascii="Times New Roman" w:hAnsi="Times New Roman" w:cs="Times New Roman"/>
                <w:sz w:val="24"/>
              </w:rPr>
              <w:t>in post-nifedipine, ml/s</w:t>
            </w:r>
          </w:p>
        </w:tc>
        <w:tc>
          <w:tcPr>
            <w:tcW w:w="1750" w:type="dxa"/>
            <w:tcBorders>
              <w:top w:val="single" w:color="auto" w:sz="4" w:space="0"/>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AWSS</w:t>
            </w:r>
            <w:r>
              <w:rPr>
                <w:rFonts w:ascii="Times New Roman" w:hAnsi="Times New Roman" w:cs="Times New Roman"/>
                <w:sz w:val="24"/>
              </w:rPr>
              <w:t>, P</w:t>
            </w:r>
            <w:r>
              <w:rPr>
                <w:rFonts w:hint="eastAsia" w:ascii="Times New Roman" w:hAnsi="Times New Roman" w:cs="Times New Roman"/>
                <w:sz w:val="24"/>
              </w:rPr>
              <w:t>a</w:t>
            </w:r>
          </w:p>
        </w:tc>
        <w:tc>
          <w:tcPr>
            <w:tcW w:w="1731" w:type="dxa"/>
            <w:tcBorders>
              <w:top w:val="single" w:color="auto" w:sz="4" w:space="0"/>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AWSS</w:t>
            </w:r>
            <w:r>
              <w:rPr>
                <w:rFonts w:ascii="Times New Roman" w:hAnsi="Times New Roman" w:cs="Times New Roman"/>
                <w:sz w:val="24"/>
              </w:rPr>
              <w:t>, P</w:t>
            </w:r>
            <w:r>
              <w:rPr>
                <w:rFonts w:hint="eastAsia" w:ascii="Times New Roman" w:hAnsi="Times New Roman" w:cs="Times New Roman"/>
                <w:sz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6</w:t>
            </w:r>
            <w:r>
              <w:rPr>
                <w:rFonts w:ascii="Times New Roman" w:hAnsi="Times New Roman" w:cs="Times New Roman"/>
                <w:sz w:val="24"/>
              </w:rPr>
              <w:t>2</w:t>
            </w:r>
          </w:p>
        </w:tc>
        <w:tc>
          <w:tcPr>
            <w:tcW w:w="680" w:type="dxa"/>
            <w:vMerge w:val="restart"/>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F</w:t>
            </w:r>
          </w:p>
        </w:tc>
        <w:tc>
          <w:tcPr>
            <w:tcW w:w="1480" w:type="dxa"/>
            <w:vMerge w:val="restart"/>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9</w:t>
            </w:r>
          </w:p>
        </w:tc>
        <w:tc>
          <w:tcPr>
            <w:tcW w:w="1298"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R</w:t>
            </w:r>
            <w:r>
              <w:rPr>
                <w:rFonts w:ascii="Times New Roman" w:hAnsi="Times New Roman" w:cs="Times New Roman"/>
                <w:sz w:val="24"/>
              </w:rPr>
              <w:t>ight ICA</w:t>
            </w:r>
          </w:p>
        </w:tc>
        <w:tc>
          <w:tcPr>
            <w:tcW w:w="1700"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7.86</w:t>
            </w:r>
          </w:p>
        </w:tc>
        <w:tc>
          <w:tcPr>
            <w:tcW w:w="1732"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4.35</w:t>
            </w:r>
          </w:p>
        </w:tc>
        <w:tc>
          <w:tcPr>
            <w:tcW w:w="1650"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3</w:t>
            </w:r>
            <w:r>
              <w:rPr>
                <w:rFonts w:ascii="Times New Roman" w:hAnsi="Times New Roman" w:cs="Times New Roman"/>
                <w:sz w:val="24"/>
              </w:rPr>
              <w:t>.90</w:t>
            </w:r>
          </w:p>
        </w:tc>
        <w:tc>
          <w:tcPr>
            <w:tcW w:w="1750"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3</w:t>
            </w:r>
            <w:r>
              <w:rPr>
                <w:rFonts w:ascii="Times New Roman" w:hAnsi="Times New Roman" w:cs="Times New Roman"/>
                <w:sz w:val="24"/>
              </w:rPr>
              <w:t>.08</w:t>
            </w:r>
          </w:p>
        </w:tc>
        <w:tc>
          <w:tcPr>
            <w:tcW w:w="1750"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1.04</w:t>
            </w:r>
          </w:p>
        </w:tc>
        <w:tc>
          <w:tcPr>
            <w:tcW w:w="1731" w:type="dxa"/>
            <w:tcBorders>
              <w:top w:val="single" w:color="auto" w:sz="4" w:space="0"/>
              <w:left w:val="nil"/>
              <w:bottom w:val="nil"/>
              <w:right w:val="nil"/>
            </w:tcBorders>
          </w:tcPr>
          <w:p>
            <w:pPr>
              <w:jc w:val="center"/>
              <w:rPr>
                <w:rFonts w:ascii="Times New Roman" w:hAnsi="Times New Roman" w:cs="Times New Roman"/>
                <w:sz w:val="24"/>
              </w:rPr>
            </w:pPr>
            <w:r>
              <w:rPr>
                <w:rFonts w:hint="eastAsia" w:ascii="Times New Roman" w:hAnsi="Times New Roman" w:cs="Times New Roman"/>
                <w:sz w:val="24"/>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Borders>
              <w:top w:val="nil"/>
              <w:left w:val="nil"/>
              <w:bottom w:val="single" w:color="auto" w:sz="4" w:space="0"/>
              <w:right w:val="nil"/>
            </w:tcBorders>
          </w:tcPr>
          <w:p>
            <w:pPr>
              <w:jc w:val="center"/>
              <w:rPr>
                <w:rFonts w:ascii="Times New Roman" w:hAnsi="Times New Roman" w:cs="Times New Roman"/>
                <w:sz w:val="24"/>
              </w:rPr>
            </w:pPr>
          </w:p>
        </w:tc>
        <w:tc>
          <w:tcPr>
            <w:tcW w:w="680" w:type="dxa"/>
            <w:vMerge w:val="continue"/>
            <w:tcBorders>
              <w:top w:val="nil"/>
              <w:left w:val="nil"/>
              <w:bottom w:val="single" w:color="auto" w:sz="4" w:space="0"/>
              <w:right w:val="nil"/>
            </w:tcBorders>
          </w:tcPr>
          <w:p>
            <w:pPr>
              <w:jc w:val="center"/>
              <w:rPr>
                <w:rFonts w:ascii="Times New Roman" w:hAnsi="Times New Roman" w:cs="Times New Roman"/>
                <w:sz w:val="24"/>
              </w:rPr>
            </w:pPr>
          </w:p>
        </w:tc>
        <w:tc>
          <w:tcPr>
            <w:tcW w:w="1480" w:type="dxa"/>
            <w:vMerge w:val="continue"/>
            <w:tcBorders>
              <w:top w:val="nil"/>
              <w:left w:val="nil"/>
              <w:bottom w:val="single" w:color="auto" w:sz="4" w:space="0"/>
              <w:right w:val="nil"/>
            </w:tcBorders>
          </w:tcPr>
          <w:p>
            <w:pPr>
              <w:jc w:val="center"/>
              <w:rPr>
                <w:rFonts w:ascii="Times New Roman" w:hAnsi="Times New Roman" w:cs="Times New Roman"/>
                <w:sz w:val="24"/>
              </w:rPr>
            </w:pPr>
          </w:p>
        </w:tc>
        <w:tc>
          <w:tcPr>
            <w:tcW w:w="1298" w:type="dxa"/>
            <w:tcBorders>
              <w:top w:val="nil"/>
              <w:left w:val="nil"/>
              <w:bottom w:val="single" w:color="auto" w:sz="4" w:space="0"/>
              <w:right w:val="nil"/>
            </w:tcBorders>
          </w:tcPr>
          <w:p>
            <w:pPr>
              <w:jc w:val="center"/>
              <w:rPr>
                <w:rFonts w:ascii="Times New Roman" w:hAnsi="Times New Roman" w:cs="Times New Roman"/>
                <w:sz w:val="24"/>
              </w:rPr>
            </w:pPr>
            <w:r>
              <w:rPr>
                <w:rFonts w:ascii="Times New Roman" w:hAnsi="Times New Roman" w:cs="Times New Roman"/>
                <w:sz w:val="24"/>
              </w:rPr>
              <w:t>Left ICA</w:t>
            </w:r>
          </w:p>
        </w:tc>
        <w:tc>
          <w:tcPr>
            <w:tcW w:w="170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1.45</w:t>
            </w:r>
          </w:p>
        </w:tc>
        <w:tc>
          <w:tcPr>
            <w:tcW w:w="1732"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1</w:t>
            </w:r>
            <w:r>
              <w:rPr>
                <w:rFonts w:ascii="Times New Roman" w:hAnsi="Times New Roman" w:cs="Times New Roman"/>
                <w:sz w:val="24"/>
              </w:rPr>
              <w:t>8.59</w:t>
            </w:r>
          </w:p>
        </w:tc>
        <w:tc>
          <w:tcPr>
            <w:tcW w:w="165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.45</w:t>
            </w:r>
          </w:p>
        </w:tc>
        <w:tc>
          <w:tcPr>
            <w:tcW w:w="175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.23</w:t>
            </w:r>
          </w:p>
        </w:tc>
        <w:tc>
          <w:tcPr>
            <w:tcW w:w="1750"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0.97</w:t>
            </w:r>
          </w:p>
        </w:tc>
        <w:tc>
          <w:tcPr>
            <w:tcW w:w="1731" w:type="dxa"/>
            <w:tcBorders>
              <w:top w:val="nil"/>
              <w:left w:val="nil"/>
              <w:bottom w:val="single" w:color="auto" w:sz="4" w:space="0"/>
              <w:right w:val="nil"/>
            </w:tcBorders>
          </w:tcPr>
          <w:p>
            <w:pPr>
              <w:jc w:val="center"/>
              <w:rPr>
                <w:rFonts w:ascii="Times New Roman" w:hAnsi="Times New Roman" w:cs="Times New Roman"/>
                <w:sz w:val="24"/>
              </w:rPr>
            </w:pPr>
            <w:r>
              <w:rPr>
                <w:rFonts w:hint="eastAsia" w:ascii="Times New Roman" w:hAnsi="Times New Roman" w:cs="Times New Roman"/>
                <w:sz w:val="24"/>
              </w:rPr>
              <w:t>0.79</w:t>
            </w:r>
          </w:p>
        </w:tc>
      </w:tr>
    </w:tbl>
    <w:p>
      <w:pPr>
        <w:spacing w:line="360" w:lineRule="auto"/>
        <w:sectPr>
          <w:pgSz w:w="16838" w:h="11906" w:orient="landscape"/>
          <w:pgMar w:top="1803" w:right="1440" w:bottom="1803" w:left="1440" w:header="851" w:footer="992" w:gutter="0"/>
          <w:cols w:space="0" w:num="1"/>
          <w:docGrid w:type="lines" w:linePitch="319" w:charSpace="0"/>
        </w:sectPr>
      </w:pPr>
      <w:r>
        <w:rPr>
          <w:rFonts w:hint="eastAsia" w:ascii="Times New Roman" w:hAnsi="Times New Roman" w:cs="Times New Roman"/>
          <w:sz w:val="24"/>
        </w:rPr>
        <w:t>aWSS, time-averaged wall shear stress; F, female; IA, intracranial aneurysm; ICA, internal carotid artery; SBP, systolic blood pressure.</w:t>
      </w:r>
    </w:p>
    <w:p>
      <w:pPr>
        <w:widowControl/>
        <w:spacing w:line="360" w:lineRule="auto"/>
        <w:rPr>
          <w:rFonts w:ascii="Times New Roman" w:hAnsi="Times New Roman" w:cs="Times New Roman"/>
          <w:sz w:val="24"/>
        </w:rPr>
      </w:pPr>
      <w:r>
        <w:rPr>
          <w:rFonts w:hint="eastAsia" w:ascii="Times New Roman" w:hAnsi="Times New Roman" w:eastAsia="宋体" w:cs="Times New Roman"/>
          <w:b/>
          <w:bCs/>
          <w:color w:val="000000"/>
          <w:kern w:val="0"/>
          <w:sz w:val="24"/>
          <w:lang w:bidi="ar"/>
        </w:rPr>
        <w:drawing>
          <wp:inline distT="0" distB="0" distL="114300" distR="114300">
            <wp:extent cx="5269865" cy="5617845"/>
            <wp:effectExtent l="0" t="0" r="6985" b="1905"/>
            <wp:docPr id="6" name="图片 6" descr="Hemo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emo2_画板 1"/>
                    <pic:cNvPicPr>
                      <a:picLocks noChangeAspect="1"/>
                    </pic:cNvPicPr>
                  </pic:nvPicPr>
                  <pic:blipFill>
                    <a:blip r:embed="rId7"/>
                    <a:stretch>
                      <a:fillRect/>
                    </a:stretch>
                  </pic:blipFill>
                  <pic:spPr>
                    <a:xfrm>
                      <a:off x="0" y="0"/>
                      <a:ext cx="5269865" cy="5617845"/>
                    </a:xfrm>
                    <a:prstGeom prst="rect">
                      <a:avLst/>
                    </a:prstGeom>
                  </pic:spPr>
                </pic:pic>
              </a:graphicData>
            </a:graphic>
          </wp:inline>
        </w:drawing>
      </w:r>
    </w:p>
    <w:p>
      <w:pPr>
        <w:widowControl/>
        <w:spacing w:line="360" w:lineRule="auto"/>
        <w:rPr>
          <w:rFonts w:ascii="Times New Roman" w:hAnsi="Times New Roman" w:cs="Times New Roman"/>
          <w:sz w:val="24"/>
        </w:rPr>
      </w:pPr>
      <w:r>
        <w:rPr>
          <w:rFonts w:hint="eastAsia" w:ascii="Times New Roman" w:hAnsi="Times New Roman" w:cs="Times New Roman"/>
          <w:b/>
          <w:bCs/>
          <w:sz w:val="24"/>
        </w:rPr>
        <w:t xml:space="preserve">Supplemental </w:t>
      </w:r>
      <w:r>
        <w:rPr>
          <w:rFonts w:ascii="Times New Roman" w:hAnsi="Times New Roman" w:cs="Times New Roman"/>
          <w:b/>
          <w:bCs/>
          <w:sz w:val="24"/>
        </w:rPr>
        <w:t xml:space="preserve">Figure </w:t>
      </w:r>
      <w:r>
        <w:rPr>
          <w:rFonts w:hint="eastAsia" w:ascii="Times New Roman" w:hAnsi="Times New Roman" w:cs="Times New Roman"/>
          <w:b/>
          <w:bCs/>
          <w:sz w:val="24"/>
        </w:rPr>
        <w:t>1</w:t>
      </w:r>
      <w:r>
        <w:rPr>
          <w:rFonts w:ascii="Times New Roman" w:hAnsi="Times New Roman" w:cs="Times New Roman"/>
          <w:b/>
          <w:bCs/>
          <w:sz w:val="24"/>
        </w:rPr>
        <w:t xml:space="preserve">. </w:t>
      </w:r>
      <w:r>
        <w:rPr>
          <w:rFonts w:ascii="Times New Roman" w:hAnsi="Times New Roman" w:cs="Times New Roman"/>
          <w:sz w:val="24"/>
        </w:rPr>
        <w:t xml:space="preserve">Illustration of hemodynamic evaluation with a VOI-selecting box. (A) The hemodynamic parameters evaluation for whole aneurysm was completed by a VOI-selecting box with its one-side located at the neck plane of </w:t>
      </w:r>
      <w:r>
        <w:rPr>
          <w:rFonts w:hint="eastAsia" w:ascii="Times New Roman" w:hAnsi="Times New Roman" w:cs="Times New Roman"/>
          <w:sz w:val="24"/>
        </w:rPr>
        <w:t xml:space="preserve">the </w:t>
      </w:r>
      <w:r>
        <w:rPr>
          <w:rFonts w:ascii="Times New Roman" w:hAnsi="Times New Roman" w:cs="Times New Roman"/>
          <w:sz w:val="24"/>
        </w:rPr>
        <w:t xml:space="preserve">aneurysm. (B) Hemodynamic parameters evaluation for parent artery. (C) The obtained velocity results </w:t>
      </w:r>
      <w:r>
        <w:rPr>
          <w:rFonts w:hint="eastAsia" w:ascii="Times New Roman" w:hAnsi="Times New Roman" w:cs="Times New Roman"/>
          <w:sz w:val="24"/>
        </w:rPr>
        <w:t xml:space="preserve">(average and max) </w:t>
      </w:r>
      <w:r>
        <w:rPr>
          <w:rFonts w:ascii="Times New Roman" w:hAnsi="Times New Roman" w:cs="Times New Roman"/>
          <w:sz w:val="24"/>
        </w:rPr>
        <w:t xml:space="preserve">obtained at all timepoints during a cardiac cycle. Red line, average velocity in the VOI; </w:t>
      </w:r>
      <w:r>
        <w:rPr>
          <w:rFonts w:hint="eastAsia" w:ascii="Times New Roman" w:hAnsi="Times New Roman" w:cs="Times New Roman"/>
          <w:sz w:val="24"/>
        </w:rPr>
        <w:t>b</w:t>
      </w:r>
      <w:r>
        <w:rPr>
          <w:rFonts w:ascii="Times New Roman" w:hAnsi="Times New Roman" w:cs="Times New Roman"/>
          <w:sz w:val="24"/>
        </w:rPr>
        <w:t>lue line, maximum velocity in the VOI.</w:t>
      </w:r>
      <w:r>
        <w:rPr>
          <w:rFonts w:hint="eastAsia" w:ascii="Times New Roman" w:hAnsi="Times New Roman" w:cs="Times New Roman"/>
          <w:sz w:val="24"/>
        </w:rPr>
        <w:t xml:space="preserve"> VOI, </w:t>
      </w:r>
      <w:r>
        <w:rPr>
          <w:rFonts w:ascii="Times New Roman" w:hAnsi="Times New Roman" w:cs="Times New Roman"/>
          <w:sz w:val="24"/>
        </w:rPr>
        <w:t>volume of interest</w:t>
      </w:r>
      <w:r>
        <w:rPr>
          <w:rFonts w:hint="eastAsia" w:ascii="Times New Roman" w:hAnsi="Times New Roman" w:cs="Times New Roman"/>
          <w:sz w:val="24"/>
        </w:rPr>
        <w:t>.</w:t>
      </w:r>
    </w:p>
    <w:p>
      <w:pPr>
        <w:widowControl/>
        <w:spacing w:line="360" w:lineRule="auto"/>
        <w:rPr>
          <w:rFonts w:ascii="Times New Roman" w:hAnsi="Times New Roman" w:cs="Times New Roman"/>
          <w:sz w:val="24"/>
        </w:rPr>
      </w:pPr>
      <w:r>
        <w:rPr>
          <w:rFonts w:ascii="Times New Roman" w:hAnsi="Times New Roman" w:cs="Times New Roman"/>
          <w:sz w:val="24"/>
        </w:rPr>
        <w:br w:type="page"/>
      </w:r>
    </w:p>
    <w:p>
      <w:pPr>
        <w:widowControl/>
        <w:spacing w:line="360" w:lineRule="auto"/>
        <w:rPr>
          <w:rFonts w:ascii="Times New Roman" w:hAnsi="Times New Roman" w:cs="Times New Roman"/>
          <w:sz w:val="24"/>
        </w:rPr>
      </w:pPr>
      <w:r>
        <w:rPr>
          <w:rFonts w:hint="eastAsia" w:ascii="Times New Roman" w:hAnsi="Times New Roman" w:cs="Times New Roman"/>
          <w:sz w:val="24"/>
        </w:rPr>
        <w:drawing>
          <wp:inline distT="0" distB="0" distL="114300" distR="114300">
            <wp:extent cx="5264150" cy="2733675"/>
            <wp:effectExtent l="0" t="0" r="12700" b="952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8"/>
                    <a:stretch>
                      <a:fillRect/>
                    </a:stretch>
                  </pic:blipFill>
                  <pic:spPr>
                    <a:xfrm>
                      <a:off x="0" y="0"/>
                      <a:ext cx="5264150" cy="2733675"/>
                    </a:xfrm>
                    <a:prstGeom prst="rect">
                      <a:avLst/>
                    </a:prstGeom>
                  </pic:spPr>
                </pic:pic>
              </a:graphicData>
            </a:graphic>
          </wp:inline>
        </w:drawing>
      </w:r>
    </w:p>
    <w:p>
      <w:pPr>
        <w:spacing w:line="360" w:lineRule="auto"/>
        <w:rPr>
          <w:rFonts w:ascii="Times New Roman" w:hAnsi="Times New Roman" w:cs="Times New Roman"/>
          <w:sz w:val="24"/>
        </w:rPr>
      </w:pPr>
      <w:r>
        <w:rPr>
          <w:rFonts w:hint="eastAsia" w:ascii="Times New Roman" w:hAnsi="Times New Roman" w:cs="Times New Roman"/>
          <w:b/>
          <w:bCs/>
          <w:sz w:val="24"/>
        </w:rPr>
        <w:t xml:space="preserve">Supplemental </w:t>
      </w:r>
      <w:r>
        <w:rPr>
          <w:rFonts w:ascii="Times New Roman" w:hAnsi="Times New Roman" w:cs="Times New Roman"/>
          <w:b/>
          <w:bCs/>
          <w:sz w:val="24"/>
        </w:rPr>
        <w:t xml:space="preserve">Figure </w:t>
      </w:r>
      <w:r>
        <w:rPr>
          <w:rFonts w:hint="eastAsia" w:ascii="Times New Roman" w:hAnsi="Times New Roman" w:cs="Times New Roman"/>
          <w:b/>
          <w:bCs/>
          <w:sz w:val="24"/>
        </w:rPr>
        <w:t>2</w:t>
      </w:r>
      <w:r>
        <w:rPr>
          <w:rFonts w:ascii="Times New Roman" w:hAnsi="Times New Roman" w:cs="Times New Roman"/>
          <w:b/>
          <w:bCs/>
          <w:sz w:val="24"/>
        </w:rPr>
        <w:t>. Patients inclusion flowchart.</w:t>
      </w:r>
      <w:r>
        <w:rPr>
          <w:rFonts w:hint="eastAsia" w:ascii="Times New Roman" w:hAnsi="Times New Roman" w:cs="Times New Roman"/>
          <w:b/>
          <w:bCs/>
          <w:sz w:val="24"/>
        </w:rPr>
        <w:t xml:space="preserve"> </w:t>
      </w:r>
      <w:r>
        <w:rPr>
          <w:rFonts w:hint="eastAsia" w:ascii="Times New Roman" w:hAnsi="Times New Roman" w:cs="Times New Roman"/>
          <w:sz w:val="24"/>
        </w:rPr>
        <w:t>4D-flow MRI, four-</w:t>
      </w:r>
      <w:r>
        <w:rPr>
          <w:rFonts w:ascii="Times New Roman" w:hAnsi="Times New Roman" w:cs="Times New Roman"/>
          <w:sz w:val="24"/>
        </w:rPr>
        <w:t>dimensional</w:t>
      </w:r>
      <w:r>
        <w:rPr>
          <w:rFonts w:hint="eastAsia" w:ascii="Times New Roman" w:hAnsi="Times New Roman" w:cs="Times New Roman"/>
          <w:sz w:val="24"/>
        </w:rPr>
        <w:t xml:space="preserve"> flow </w:t>
      </w:r>
      <w:r>
        <w:rPr>
          <w:rFonts w:ascii="Times New Roman" w:hAnsi="Times New Roman" w:cs="Times New Roman"/>
          <w:sz w:val="24"/>
        </w:rPr>
        <w:t>magnetic resonance imaging</w:t>
      </w:r>
      <w:r>
        <w:rPr>
          <w:rFonts w:hint="eastAsia" w:ascii="Times New Roman" w:hAnsi="Times New Roman" w:cs="Times New Roman"/>
          <w:sz w:val="24"/>
        </w:rPr>
        <w:t>; IAs, intracranial aneurysms.</w:t>
      </w:r>
    </w:p>
    <w:p>
      <w:pPr>
        <w:spacing w:line="360" w:lineRule="auto"/>
        <w:rPr>
          <w:rFonts w:ascii="Times New Roman" w:hAnsi="Times New Roman" w:cs="Times New Roman"/>
          <w:sz w:val="24"/>
        </w:rPr>
      </w:pPr>
      <w:r>
        <w:rPr>
          <w:rFonts w:ascii="Times New Roman" w:hAnsi="Times New Roman" w:cs="Times New Roman"/>
          <w:sz w:val="24"/>
        </w:rPr>
        <w:br w:type="page"/>
      </w:r>
    </w:p>
    <w:p>
      <w:pPr>
        <w:widowControl/>
        <w:spacing w:line="480" w:lineRule="auto"/>
      </w:pPr>
      <w:r>
        <w:rPr>
          <w:rFonts w:hint="eastAsia" w:ascii="Times New Roman" w:hAnsi="Times New Roman" w:cs="Times New Roman"/>
          <w:sz w:val="24"/>
        </w:rPr>
        <w:drawing>
          <wp:inline distT="0" distB="0" distL="114300" distR="114300">
            <wp:extent cx="5266690" cy="5655945"/>
            <wp:effectExtent l="0" t="0" r="10160" b="1905"/>
            <wp:docPr id="2" name="图片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1"/>
                    <pic:cNvPicPr>
                      <a:picLocks noChangeAspect="1"/>
                    </pic:cNvPicPr>
                  </pic:nvPicPr>
                  <pic:blipFill>
                    <a:blip r:embed="rId9"/>
                    <a:stretch>
                      <a:fillRect/>
                    </a:stretch>
                  </pic:blipFill>
                  <pic:spPr>
                    <a:xfrm>
                      <a:off x="0" y="0"/>
                      <a:ext cx="5266690" cy="5655945"/>
                    </a:xfrm>
                    <a:prstGeom prst="rect">
                      <a:avLst/>
                    </a:prstGeom>
                  </pic:spPr>
                </pic:pic>
              </a:graphicData>
            </a:graphic>
          </wp:inline>
        </w:drawing>
      </w:r>
      <w:r>
        <w:rPr>
          <w:rFonts w:hint="eastAsia" w:ascii="Times New Roman" w:hAnsi="Times New Roman" w:cs="Times New Roman"/>
          <w:b/>
          <w:bCs/>
          <w:sz w:val="24"/>
        </w:rPr>
        <w:t xml:space="preserve">Supplemental </w:t>
      </w:r>
      <w:r>
        <w:rPr>
          <w:rFonts w:ascii="Times New Roman" w:hAnsi="Times New Roman" w:cs="Times New Roman"/>
          <w:b/>
          <w:bCs/>
          <w:sz w:val="24"/>
        </w:rPr>
        <w:t xml:space="preserve">Figure </w:t>
      </w:r>
      <w:r>
        <w:rPr>
          <w:rFonts w:hint="eastAsia" w:ascii="Times New Roman" w:hAnsi="Times New Roman" w:cs="Times New Roman"/>
          <w:b/>
          <w:bCs/>
          <w:sz w:val="24"/>
        </w:rPr>
        <w:t>3</w:t>
      </w:r>
      <w:r>
        <w:rPr>
          <w:rFonts w:ascii="Times New Roman" w:hAnsi="Times New Roman" w:cs="Times New Roman"/>
          <w:b/>
          <w:bCs/>
          <w:sz w:val="24"/>
        </w:rPr>
        <w:t xml:space="preserve">. Changes in IAs and APAs hemodynamics. </w:t>
      </w:r>
      <w:r>
        <w:rPr>
          <w:rFonts w:ascii="Times New Roman" w:hAnsi="Times New Roman" w:cs="Times New Roman"/>
          <w:sz w:val="24"/>
        </w:rPr>
        <w:t>IA, intracranial aneurysm; APA, adjacent parent artery.</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IDFont">
    <w:altName w:val="Segoe Print"/>
    <w:panose1 w:val="020B0604020202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Roman">
    <w:altName w:val="宋体"/>
    <w:panose1 w:val="00000500000000020000"/>
    <w:charset w:val="00"/>
    <w:family w:val="auto"/>
    <w:pitch w:val="default"/>
    <w:sig w:usb0="00000000" w:usb1="00000000" w:usb2="00000000" w:usb3="00000000" w:csb0="0000019F" w:csb1="00000000"/>
  </w:font>
  <w:font w:name="Cambria Math">
    <w:panose1 w:val="02040503050406030204"/>
    <w:charset w:val="00"/>
    <w:family w:val="roman"/>
    <w:pitch w:val="default"/>
    <w:sig w:usb0="E00006FF" w:usb1="420024FF" w:usb2="02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614738061"/>
    </w:sdtPr>
    <w:sdtEndPr>
      <w:rPr>
        <w:rStyle w:val="8"/>
      </w:rPr>
    </w:sdtEndPr>
    <w:sdtContent>
      <w:p>
        <w:pPr>
          <w:pStyle w:val="2"/>
          <w:framePr w:wrap="auto" w:vAnchor="text" w:hAnchor="margin" w:xAlign="center" w:y="1"/>
          <w:rPr>
            <w:rStyle w:val="8"/>
          </w:rPr>
        </w:pPr>
        <w:r>
          <w:rPr>
            <w:rStyle w:val="8"/>
          </w:rPr>
          <w:fldChar w:fldCharType="begin"/>
        </w:r>
        <w:r>
          <w:rPr>
            <w:rStyle w:val="8"/>
          </w:rPr>
          <w:instrText xml:space="preserve"> PAGE </w:instrText>
        </w:r>
        <w:r>
          <w:rPr>
            <w:rStyle w:val="8"/>
          </w:rPr>
          <w:fldChar w:fldCharType="end"/>
        </w:r>
      </w:p>
    </w:sdtContent>
  </w:sdt>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480446192"/>
    </w:sdtPr>
    <w:sdtEndPr>
      <w:rPr>
        <w:rStyle w:val="8"/>
      </w:rPr>
    </w:sdtEndPr>
    <w:sdtContent>
      <w:p>
        <w:pPr>
          <w:pStyle w:val="2"/>
          <w:framePr w:wrap="auto"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t>2</w:t>
        </w:r>
        <w:r>
          <w:rPr>
            <w:rStyle w:val="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NTE1YmQwOGE4NjExMDYzZDk0M2QxMWI3MTkxZDYifQ=="/>
  </w:docVars>
  <w:rsids>
    <w:rsidRoot w:val="16A74393"/>
    <w:rsid w:val="002056BF"/>
    <w:rsid w:val="00221AF7"/>
    <w:rsid w:val="00227A35"/>
    <w:rsid w:val="00260D87"/>
    <w:rsid w:val="002E6250"/>
    <w:rsid w:val="002F4440"/>
    <w:rsid w:val="00340B15"/>
    <w:rsid w:val="003B352B"/>
    <w:rsid w:val="003D1962"/>
    <w:rsid w:val="003E6034"/>
    <w:rsid w:val="00472555"/>
    <w:rsid w:val="0048066D"/>
    <w:rsid w:val="004A4868"/>
    <w:rsid w:val="0055180F"/>
    <w:rsid w:val="00587DA6"/>
    <w:rsid w:val="006748E0"/>
    <w:rsid w:val="00683C5B"/>
    <w:rsid w:val="007C55B0"/>
    <w:rsid w:val="007E3067"/>
    <w:rsid w:val="008B67E1"/>
    <w:rsid w:val="009A37EB"/>
    <w:rsid w:val="009E6CE0"/>
    <w:rsid w:val="00A51F4C"/>
    <w:rsid w:val="00AC4882"/>
    <w:rsid w:val="00BE1B88"/>
    <w:rsid w:val="00C002C5"/>
    <w:rsid w:val="00C11F9D"/>
    <w:rsid w:val="00D34381"/>
    <w:rsid w:val="00E734F8"/>
    <w:rsid w:val="00EB0066"/>
    <w:rsid w:val="00F61700"/>
    <w:rsid w:val="00F63A73"/>
    <w:rsid w:val="01643005"/>
    <w:rsid w:val="025B34A8"/>
    <w:rsid w:val="04E355A0"/>
    <w:rsid w:val="0DAD3AA2"/>
    <w:rsid w:val="107C1E65"/>
    <w:rsid w:val="114E4BEA"/>
    <w:rsid w:val="12C970A8"/>
    <w:rsid w:val="12D32440"/>
    <w:rsid w:val="16751C00"/>
    <w:rsid w:val="16A74393"/>
    <w:rsid w:val="18107C25"/>
    <w:rsid w:val="1B59261A"/>
    <w:rsid w:val="220D3400"/>
    <w:rsid w:val="22EA6720"/>
    <w:rsid w:val="24117E20"/>
    <w:rsid w:val="24136E3C"/>
    <w:rsid w:val="26532812"/>
    <w:rsid w:val="2D93658E"/>
    <w:rsid w:val="2E1F6EDA"/>
    <w:rsid w:val="2FDE0116"/>
    <w:rsid w:val="337036B4"/>
    <w:rsid w:val="3580471D"/>
    <w:rsid w:val="365E7317"/>
    <w:rsid w:val="38724FD0"/>
    <w:rsid w:val="39CD0528"/>
    <w:rsid w:val="3C197DFE"/>
    <w:rsid w:val="43DD6D2E"/>
    <w:rsid w:val="45C85F51"/>
    <w:rsid w:val="468A3B4A"/>
    <w:rsid w:val="46AD5D50"/>
    <w:rsid w:val="472205CF"/>
    <w:rsid w:val="484C29BC"/>
    <w:rsid w:val="4CBA2217"/>
    <w:rsid w:val="4DF46F16"/>
    <w:rsid w:val="4F6632C3"/>
    <w:rsid w:val="5B8C3B74"/>
    <w:rsid w:val="613C7F23"/>
    <w:rsid w:val="64C2298D"/>
    <w:rsid w:val="67DF5E67"/>
    <w:rsid w:val="688D259D"/>
    <w:rsid w:val="6B5C15C5"/>
    <w:rsid w:val="6CEE51BF"/>
    <w:rsid w:val="7138736A"/>
    <w:rsid w:val="75D048C7"/>
    <w:rsid w:val="7D2E0BAD"/>
    <w:rsid w:val="7F843681"/>
    <w:rsid w:val="7FEB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Hyperlink"/>
    <w:basedOn w:val="7"/>
    <w:unhideWhenUsed/>
    <w:qFormat/>
    <w:uiPriority w:val="0"/>
    <w:rPr>
      <w:color w:val="0000FF"/>
      <w:u w:val="single"/>
    </w:rPr>
  </w:style>
  <w:style w:type="paragraph" w:styleId="10">
    <w:name w:val="List Paragraph"/>
    <w:basedOn w:val="1"/>
    <w:qFormat/>
    <w:uiPriority w:val="34"/>
    <w:pPr>
      <w:ind w:left="720"/>
      <w:contextualSpacing/>
    </w:pPr>
    <w:rPr>
      <w:szCs w:val="22"/>
    </w:rPr>
  </w:style>
  <w:style w:type="paragraph" w:customStyle="1" w:styleId="11">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12">
    <w:name w:val="书目1"/>
    <w:basedOn w:val="1"/>
    <w:link w:val="13"/>
    <w:qFormat/>
    <w:uiPriority w:val="0"/>
    <w:pPr>
      <w:widowControl/>
      <w:tabs>
        <w:tab w:val="left" w:pos="260"/>
      </w:tabs>
      <w:autoSpaceDE w:val="0"/>
      <w:autoSpaceDN w:val="0"/>
      <w:adjustRightInd w:val="0"/>
      <w:spacing w:after="240"/>
      <w:ind w:left="264" w:hanging="264"/>
    </w:pPr>
    <w:rPr>
      <w:rFonts w:ascii="Times New Roman" w:hAnsi="Times New Roman" w:cs="Times New Roman"/>
      <w:sz w:val="24"/>
    </w:rPr>
  </w:style>
  <w:style w:type="character" w:customStyle="1" w:styleId="13">
    <w:name w:val="Bibliography 字符"/>
    <w:basedOn w:val="7"/>
    <w:link w:val="12"/>
    <w:qFormat/>
    <w:uiPriority w:val="0"/>
    <w:rPr>
      <w:rFonts w:ascii="Times New Roman" w:hAnsi="Times New Roman" w:cs="Times New Roman"/>
      <w:kern w:val="2"/>
      <w:sz w:val="24"/>
      <w:szCs w:val="24"/>
    </w:rPr>
  </w:style>
  <w:style w:type="character" w:customStyle="1" w:styleId="14">
    <w:name w:val="页脚 字符"/>
    <w:basedOn w:val="7"/>
    <w:link w:val="2"/>
    <w:qFormat/>
    <w:uiPriority w:val="0"/>
    <w:rPr>
      <w:kern w:val="2"/>
      <w:sz w:val="18"/>
      <w:szCs w:val="18"/>
    </w:rPr>
  </w:style>
  <w:style w:type="character" w:customStyle="1" w:styleId="15">
    <w:name w:val="页眉 字符"/>
    <w:basedOn w:val="7"/>
    <w:link w:val="3"/>
    <w:qFormat/>
    <w:uiPriority w:val="0"/>
    <w:rPr>
      <w:kern w:val="2"/>
      <w:sz w:val="18"/>
      <w:szCs w:val="18"/>
    </w:rPr>
  </w:style>
  <w:style w:type="paragraph" w:customStyle="1" w:styleId="16">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17">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18">
    <w:name w:val="书目2"/>
    <w:basedOn w:val="1"/>
    <w:link w:val="19"/>
    <w:qFormat/>
    <w:uiPriority w:val="0"/>
    <w:pPr>
      <w:tabs>
        <w:tab w:val="left" w:pos="260"/>
      </w:tabs>
      <w:spacing w:after="240"/>
      <w:ind w:left="264" w:hanging="264"/>
    </w:pPr>
    <w:rPr>
      <w:rFonts w:ascii="Times New Roman" w:hAnsi="Times New Roman" w:cs="Times New Roman"/>
      <w:sz w:val="24"/>
    </w:rPr>
  </w:style>
  <w:style w:type="character" w:customStyle="1" w:styleId="19">
    <w:name w:val="Bibliography 字符1"/>
    <w:basedOn w:val="7"/>
    <w:link w:val="18"/>
    <w:qFormat/>
    <w:uiPriority w:val="0"/>
    <w:rPr>
      <w:rFonts w:eastAsiaTheme="minorEastAsia"/>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1769</Words>
  <Characters>10206</Characters>
  <Lines>255</Lines>
  <Paragraphs>71</Paragraphs>
  <TotalTime>32</TotalTime>
  <ScaleCrop>false</ScaleCrop>
  <LinksUpToDate>false</LinksUpToDate>
  <CharactersWithSpaces>11833</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2022-05-10T09:49:00Z</dcterms:created>
  <dc:creator>彭飞</dc:creator>
  <cp:lastModifiedBy>彭飞</cp:lastModifiedBy>
  <dcterms:modified xsi:type="dcterms:W3CDTF">2022-07-07T07:19:25Z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C8BF80818E3A45EFA6CFCEFFFD63861C</vt:lpwstr>
  </property>
  <property fmtid="{D5CDD505-2E9C-101B-9397-08002B2CF9AE}" pid="4" name="ZOTERO_PREF_1">
    <vt:lpwstr>&lt;data data-version="3" zotero-version="6.0.9"&gt;&lt;session id="CbIyklAR"/&gt;&lt;style id="http://www.zotero.org/styles/bmj" hasBibliography="1" bibliographyStyleHasBeenSet="1"/&gt;&lt;prefs&gt;&lt;pref name="fieldType" value="Field"/&gt;&lt;pref name="automaticJournalAbbreviations"</vt:lpwstr>
  </property>
  <property fmtid="{D5CDD505-2E9C-101B-9397-08002B2CF9AE}" pid="5" name="ZOTERO_PREF_2">
    <vt:lpwstr> value="true"/&gt;&lt;/prefs&gt;&lt;/data&gt;</vt:lpwstr>
  </property>
</Properties>
</file>