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4117" w:rsidRDefault="00C12FEA">
      <w:pPr>
        <w:spacing w:line="360" w:lineRule="auto"/>
        <w:jc w:val="center"/>
        <w:rPr>
          <w:b/>
          <w:sz w:val="46"/>
          <w:szCs w:val="46"/>
        </w:rPr>
      </w:pPr>
      <w:r>
        <w:rPr>
          <w:b/>
          <w:color w:val="3C4043"/>
          <w:sz w:val="35"/>
          <w:szCs w:val="35"/>
          <w:highlight w:val="white"/>
        </w:rPr>
        <w:t>Structural and functional landscape of α-synuclein fibril conformations amplified from cerebrospinal fluid</w:t>
      </w:r>
    </w:p>
    <w:p w:rsidR="00774117" w:rsidRDefault="00774117">
      <w:pPr>
        <w:spacing w:line="360" w:lineRule="auto"/>
        <w:jc w:val="center"/>
        <w:rPr>
          <w:sz w:val="32"/>
          <w:szCs w:val="32"/>
        </w:rPr>
      </w:pPr>
    </w:p>
    <w:p w:rsidR="00774117" w:rsidRDefault="00C12FEA">
      <w:pPr>
        <w:rPr>
          <w:color w:val="222222"/>
        </w:rPr>
      </w:pPr>
      <w:r>
        <w:rPr>
          <w:color w:val="222222"/>
        </w:rPr>
        <w:t>Arpine Sokratian</w:t>
      </w:r>
      <w:r>
        <w:rPr>
          <w:rFonts w:ascii="Times New Roman" w:eastAsia="Times New Roman" w:hAnsi="Times New Roman" w:cs="Times New Roman"/>
          <w:color w:val="222222"/>
          <w:vertAlign w:val="superscript"/>
        </w:rPr>
        <w:t>#,</w:t>
      </w:r>
      <w:r>
        <w:rPr>
          <w:color w:val="222222"/>
          <w:vertAlign w:val="superscript"/>
        </w:rPr>
        <w:t>1</w:t>
      </w:r>
      <w:r>
        <w:rPr>
          <w:color w:val="222222"/>
        </w:rPr>
        <w:t>, Ye Zhou</w:t>
      </w:r>
      <w:r>
        <w:rPr>
          <w:rFonts w:ascii="Times New Roman" w:eastAsia="Times New Roman" w:hAnsi="Times New Roman" w:cs="Times New Roman"/>
          <w:color w:val="222222"/>
          <w:vertAlign w:val="superscript"/>
        </w:rPr>
        <w:t>#,</w:t>
      </w:r>
      <w:r>
        <w:rPr>
          <w:color w:val="222222"/>
          <w:vertAlign w:val="superscript"/>
        </w:rPr>
        <w:t>2</w:t>
      </w:r>
      <w:r>
        <w:rPr>
          <w:color w:val="222222"/>
        </w:rPr>
        <w:t>, Enquan Xu</w:t>
      </w:r>
      <w:r>
        <w:rPr>
          <w:color w:val="222222"/>
          <w:vertAlign w:val="superscript"/>
        </w:rPr>
        <w:t>1</w:t>
      </w:r>
      <w:r>
        <w:rPr>
          <w:color w:val="222222"/>
        </w:rPr>
        <w:t>, Elizabeth Viverette</w:t>
      </w:r>
      <w:r>
        <w:rPr>
          <w:color w:val="222222"/>
          <w:vertAlign w:val="superscript"/>
        </w:rPr>
        <w:t>3</w:t>
      </w:r>
      <w:r>
        <w:rPr>
          <w:color w:val="222222"/>
        </w:rPr>
        <w:t>, Lucas Dillard</w:t>
      </w:r>
      <w:r>
        <w:rPr>
          <w:color w:val="222222"/>
          <w:vertAlign w:val="superscript"/>
        </w:rPr>
        <w:t>3</w:t>
      </w:r>
      <w:r>
        <w:rPr>
          <w:color w:val="222222"/>
        </w:rPr>
        <w:t>, Yuan Yuan</w:t>
      </w:r>
      <w:r>
        <w:rPr>
          <w:color w:val="222222"/>
          <w:vertAlign w:val="superscript"/>
        </w:rPr>
        <w:t>1</w:t>
      </w:r>
      <w:r>
        <w:rPr>
          <w:color w:val="222222"/>
        </w:rPr>
        <w:t>, Joshua Y. Li</w:t>
      </w:r>
      <w:r>
        <w:rPr>
          <w:color w:val="222222"/>
          <w:vertAlign w:val="superscript"/>
        </w:rPr>
        <w:t>1</w:t>
      </w:r>
      <w:r>
        <w:rPr>
          <w:color w:val="222222"/>
        </w:rPr>
        <w:t>, Ariana Matarangas</w:t>
      </w:r>
      <w:r>
        <w:rPr>
          <w:color w:val="222222"/>
          <w:vertAlign w:val="superscript"/>
        </w:rPr>
        <w:t>1</w:t>
      </w:r>
      <w:r>
        <w:rPr>
          <w:color w:val="222222"/>
        </w:rPr>
        <w:t>, Jonathan Bouvette</w:t>
      </w:r>
      <w:r>
        <w:rPr>
          <w:color w:val="222222"/>
          <w:vertAlign w:val="superscript"/>
        </w:rPr>
        <w:t>3</w:t>
      </w:r>
      <w:r>
        <w:rPr>
          <w:color w:val="222222"/>
        </w:rPr>
        <w:t>, Mario Borgnia</w:t>
      </w:r>
      <w:r>
        <w:rPr>
          <w:color w:val="222222"/>
          <w:vertAlign w:val="superscript"/>
        </w:rPr>
        <w:t>3</w:t>
      </w:r>
      <w:r>
        <w:rPr>
          <w:color w:val="222222"/>
        </w:rPr>
        <w:t>, Alberto Bartesaghi</w:t>
      </w:r>
      <w:r>
        <w:rPr>
          <w:color w:val="222222"/>
          <w:vertAlign w:val="superscript"/>
        </w:rPr>
        <w:t>2,4,5</w:t>
      </w:r>
      <w:r>
        <w:rPr>
          <w:color w:val="222222"/>
          <w:sz w:val="18"/>
          <w:szCs w:val="18"/>
        </w:rPr>
        <w:t>*</w:t>
      </w:r>
      <w:r>
        <w:rPr>
          <w:color w:val="222222"/>
        </w:rPr>
        <w:t>, Andrew West</w:t>
      </w:r>
      <w:r>
        <w:rPr>
          <w:color w:val="222222"/>
          <w:vertAlign w:val="superscript"/>
        </w:rPr>
        <w:t>1,6</w:t>
      </w:r>
      <w:r>
        <w:rPr>
          <w:color w:val="222222"/>
        </w:rPr>
        <w:t>*</w:t>
      </w:r>
    </w:p>
    <w:p w:rsidR="00774117" w:rsidRDefault="00774117">
      <w:pPr>
        <w:rPr>
          <w:color w:val="222222"/>
        </w:rPr>
      </w:pPr>
    </w:p>
    <w:p w:rsidR="00774117" w:rsidRDefault="00C12FEA">
      <w:pPr>
        <w:spacing w:line="240" w:lineRule="auto"/>
        <w:rPr>
          <w:color w:val="222222"/>
          <w:sz w:val="18"/>
          <w:szCs w:val="18"/>
        </w:rPr>
      </w:pPr>
      <w:r>
        <w:rPr>
          <w:color w:val="222222"/>
          <w:sz w:val="18"/>
          <w:szCs w:val="18"/>
          <w:vertAlign w:val="superscript"/>
        </w:rPr>
        <w:t xml:space="preserve">1 </w:t>
      </w:r>
      <w:r>
        <w:rPr>
          <w:color w:val="222222"/>
          <w:sz w:val="18"/>
          <w:szCs w:val="18"/>
        </w:rPr>
        <w:t>Duke Center for Neurodegeneration Research, Department of Pharmacology and Cancer Biology, Duke University, Durham, NC, USA</w:t>
      </w:r>
    </w:p>
    <w:p w:rsidR="00774117" w:rsidRDefault="00C12FEA">
      <w:pPr>
        <w:spacing w:line="240" w:lineRule="auto"/>
        <w:rPr>
          <w:color w:val="222222"/>
          <w:sz w:val="18"/>
          <w:szCs w:val="18"/>
          <w:highlight w:val="white"/>
        </w:rPr>
      </w:pPr>
      <w:r>
        <w:rPr>
          <w:color w:val="222222"/>
          <w:sz w:val="18"/>
          <w:szCs w:val="18"/>
          <w:vertAlign w:val="superscript"/>
        </w:rPr>
        <w:t xml:space="preserve">2 </w:t>
      </w:r>
      <w:r>
        <w:rPr>
          <w:color w:val="222222"/>
          <w:sz w:val="18"/>
          <w:szCs w:val="18"/>
          <w:highlight w:val="white"/>
        </w:rPr>
        <w:t>Department of Computer Science, Duke University, Durham, North Car</w:t>
      </w:r>
      <w:r>
        <w:rPr>
          <w:color w:val="222222"/>
          <w:sz w:val="18"/>
          <w:szCs w:val="18"/>
          <w:highlight w:val="white"/>
        </w:rPr>
        <w:t>olina, USA</w:t>
      </w:r>
    </w:p>
    <w:p w:rsidR="00774117" w:rsidRDefault="00C12FEA">
      <w:pPr>
        <w:shd w:val="clear" w:color="auto" w:fill="FFFFFF"/>
        <w:spacing w:line="240" w:lineRule="auto"/>
        <w:rPr>
          <w:color w:val="222222"/>
          <w:sz w:val="18"/>
          <w:szCs w:val="18"/>
          <w:highlight w:val="white"/>
        </w:rPr>
      </w:pPr>
      <w:r>
        <w:rPr>
          <w:color w:val="222222"/>
          <w:sz w:val="18"/>
          <w:szCs w:val="18"/>
          <w:highlight w:val="white"/>
          <w:vertAlign w:val="superscript"/>
        </w:rPr>
        <w:t>3</w:t>
      </w:r>
      <w:r>
        <w:rPr>
          <w:color w:val="222222"/>
          <w:sz w:val="18"/>
          <w:szCs w:val="18"/>
          <w:highlight w:val="white"/>
        </w:rPr>
        <w:t>Department of Health and Human Services, Genome Integrity and Structural Biology Laboratory, National Institute of Environmental Health Sciences, National Institutes of Health, Durham, NC 27709</w:t>
      </w:r>
    </w:p>
    <w:p w:rsidR="00774117" w:rsidRDefault="00C12FEA">
      <w:pPr>
        <w:spacing w:line="240" w:lineRule="auto"/>
        <w:rPr>
          <w:color w:val="222222"/>
          <w:sz w:val="18"/>
          <w:szCs w:val="18"/>
          <w:highlight w:val="white"/>
        </w:rPr>
      </w:pPr>
      <w:r>
        <w:rPr>
          <w:color w:val="222222"/>
          <w:sz w:val="18"/>
          <w:szCs w:val="18"/>
          <w:highlight w:val="white"/>
          <w:vertAlign w:val="superscript"/>
        </w:rPr>
        <w:t xml:space="preserve">4 </w:t>
      </w:r>
      <w:r>
        <w:rPr>
          <w:color w:val="222222"/>
          <w:sz w:val="18"/>
          <w:szCs w:val="18"/>
          <w:highlight w:val="white"/>
        </w:rPr>
        <w:t>Department of Biochemistry, Duke University Scho</w:t>
      </w:r>
      <w:r>
        <w:rPr>
          <w:color w:val="222222"/>
          <w:sz w:val="18"/>
          <w:szCs w:val="18"/>
          <w:highlight w:val="white"/>
        </w:rPr>
        <w:t xml:space="preserve">ol of Medicine, Durham, NC, </w:t>
      </w:r>
      <w:proofErr w:type="gramStart"/>
      <w:r>
        <w:rPr>
          <w:color w:val="222222"/>
          <w:sz w:val="18"/>
          <w:szCs w:val="18"/>
          <w:highlight w:val="white"/>
        </w:rPr>
        <w:t>27708,USA</w:t>
      </w:r>
      <w:proofErr w:type="gramEnd"/>
    </w:p>
    <w:p w:rsidR="00774117" w:rsidRDefault="00C12FEA">
      <w:pPr>
        <w:shd w:val="clear" w:color="auto" w:fill="FFFFFF"/>
        <w:spacing w:line="240" w:lineRule="auto"/>
        <w:rPr>
          <w:color w:val="222222"/>
          <w:sz w:val="18"/>
          <w:szCs w:val="18"/>
          <w:highlight w:val="white"/>
        </w:rPr>
      </w:pPr>
      <w:r>
        <w:rPr>
          <w:color w:val="222222"/>
          <w:sz w:val="18"/>
          <w:szCs w:val="18"/>
          <w:highlight w:val="white"/>
          <w:vertAlign w:val="superscript"/>
        </w:rPr>
        <w:t xml:space="preserve">5 </w:t>
      </w:r>
      <w:r>
        <w:rPr>
          <w:color w:val="222222"/>
          <w:sz w:val="18"/>
          <w:szCs w:val="18"/>
          <w:highlight w:val="white"/>
        </w:rPr>
        <w:t>Department of Electrical and Computer Engineering, Duke University, Durham, NC, 27708, USA</w:t>
      </w:r>
    </w:p>
    <w:p w:rsidR="00774117" w:rsidRDefault="00C12FEA">
      <w:pPr>
        <w:shd w:val="clear" w:color="auto" w:fill="FFFFFF"/>
        <w:spacing w:line="240" w:lineRule="auto"/>
        <w:rPr>
          <w:color w:val="222222"/>
          <w:sz w:val="18"/>
          <w:szCs w:val="18"/>
          <w:highlight w:val="white"/>
        </w:rPr>
      </w:pPr>
      <w:r>
        <w:rPr>
          <w:color w:val="222222"/>
          <w:sz w:val="18"/>
          <w:szCs w:val="18"/>
          <w:highlight w:val="white"/>
          <w:vertAlign w:val="superscript"/>
        </w:rPr>
        <w:t>6</w:t>
      </w:r>
      <w:r>
        <w:rPr>
          <w:color w:val="222222"/>
          <w:sz w:val="18"/>
          <w:szCs w:val="18"/>
          <w:highlight w:val="white"/>
        </w:rPr>
        <w:t>Aligning Science Across Parkinson’s (ASAP) Collaborative Research Network, Chevy Chase, MD, 20815.</w:t>
      </w:r>
    </w:p>
    <w:p w:rsidR="00774117" w:rsidRDefault="00774117">
      <w:pPr>
        <w:shd w:val="clear" w:color="auto" w:fill="FFFFFF"/>
        <w:spacing w:line="240" w:lineRule="auto"/>
        <w:rPr>
          <w:color w:val="222222"/>
          <w:sz w:val="18"/>
          <w:szCs w:val="18"/>
          <w:highlight w:val="white"/>
        </w:rPr>
      </w:pPr>
    </w:p>
    <w:p w:rsidR="00774117" w:rsidRDefault="00774117">
      <w:pPr>
        <w:rPr>
          <w:rFonts w:ascii="Times New Roman" w:eastAsia="Times New Roman" w:hAnsi="Times New Roman" w:cs="Times New Roman"/>
          <w:color w:val="222222"/>
          <w:vertAlign w:val="superscript"/>
        </w:rPr>
      </w:pPr>
    </w:p>
    <w:p w:rsidR="00774117" w:rsidRDefault="00C12FEA">
      <w:pPr>
        <w:rPr>
          <w:color w:val="222222"/>
          <w:sz w:val="18"/>
          <w:szCs w:val="18"/>
        </w:rPr>
      </w:pPr>
      <w:r>
        <w:rPr>
          <w:rFonts w:ascii="Times New Roman" w:eastAsia="Times New Roman" w:hAnsi="Times New Roman" w:cs="Times New Roman"/>
          <w:color w:val="222222"/>
          <w:vertAlign w:val="superscript"/>
        </w:rPr>
        <w:t>#</w:t>
      </w:r>
      <w:r>
        <w:rPr>
          <w:color w:val="222222"/>
          <w:sz w:val="18"/>
          <w:szCs w:val="18"/>
        </w:rPr>
        <w:t xml:space="preserve">These authors contributed equally to this study.  </w:t>
      </w:r>
      <w:r>
        <w:rPr>
          <w:rFonts w:ascii="Times New Roman" w:eastAsia="Times New Roman" w:hAnsi="Times New Roman" w:cs="Times New Roman"/>
          <w:color w:val="222222"/>
          <w:vertAlign w:val="superscript"/>
        </w:rPr>
        <w:t xml:space="preserve"> </w:t>
      </w:r>
    </w:p>
    <w:p w:rsidR="00774117" w:rsidRDefault="00774117">
      <w:pPr>
        <w:spacing w:line="240" w:lineRule="auto"/>
        <w:rPr>
          <w:color w:val="222222"/>
          <w:sz w:val="18"/>
          <w:szCs w:val="18"/>
        </w:rPr>
      </w:pPr>
    </w:p>
    <w:p w:rsidR="00774117" w:rsidRDefault="00C12FEA">
      <w:pPr>
        <w:spacing w:line="240" w:lineRule="auto"/>
        <w:rPr>
          <w:color w:val="222222"/>
          <w:sz w:val="18"/>
          <w:szCs w:val="18"/>
        </w:rPr>
      </w:pPr>
      <w:r>
        <w:rPr>
          <w:color w:val="222222"/>
          <w:sz w:val="18"/>
          <w:szCs w:val="18"/>
        </w:rPr>
        <w:t xml:space="preserve">*Corresponding authors. Tel: +1 919 684 1656; E-mail: </w:t>
      </w:r>
      <w:hyperlink r:id="rId5">
        <w:r>
          <w:rPr>
            <w:color w:val="1155CC"/>
            <w:sz w:val="18"/>
            <w:szCs w:val="18"/>
            <w:u w:val="single"/>
          </w:rPr>
          <w:t>Andrew.West@Duke.edu</w:t>
        </w:r>
      </w:hyperlink>
      <w:r>
        <w:rPr>
          <w:color w:val="222222"/>
          <w:sz w:val="18"/>
          <w:szCs w:val="18"/>
        </w:rPr>
        <w:t xml:space="preserve"> and </w:t>
      </w:r>
      <w:hyperlink r:id="rId6">
        <w:r>
          <w:rPr>
            <w:color w:val="1155CC"/>
            <w:sz w:val="18"/>
            <w:szCs w:val="18"/>
            <w:u w:val="single"/>
          </w:rPr>
          <w:t>Alberto.Bartesaghi@Duke</w:t>
        </w:r>
        <w:r>
          <w:rPr>
            <w:color w:val="1155CC"/>
            <w:sz w:val="18"/>
            <w:szCs w:val="18"/>
            <w:u w:val="single"/>
          </w:rPr>
          <w:t>.edu</w:t>
        </w:r>
      </w:hyperlink>
    </w:p>
    <w:p w:rsidR="00774117" w:rsidRDefault="00774117">
      <w:pPr>
        <w:spacing w:line="360" w:lineRule="auto"/>
        <w:jc w:val="center"/>
      </w:pPr>
    </w:p>
    <w:p w:rsidR="00774117" w:rsidRDefault="00C12FEA">
      <w:pPr>
        <w:spacing w:before="240" w:after="240" w:line="360" w:lineRule="auto"/>
        <w:rPr>
          <w:b/>
        </w:rPr>
      </w:pPr>
      <w:r>
        <w:rPr>
          <w:b/>
        </w:rPr>
        <w:t>Supplemental Figures</w:t>
      </w:r>
      <w:bookmarkStart w:id="0" w:name="_GoBack"/>
      <w:bookmarkEnd w:id="0"/>
    </w:p>
    <w:p w:rsidR="00774117" w:rsidRDefault="00C12FEA">
      <w:pPr>
        <w:pStyle w:val="Heading5"/>
        <w:spacing w:line="360" w:lineRule="auto"/>
        <w:rPr>
          <w:b/>
          <w:color w:val="333333"/>
        </w:rPr>
      </w:pPr>
      <w:bookmarkStart w:id="1" w:name="_mddl79vs6t3j" w:colFirst="0" w:colLast="0"/>
      <w:bookmarkEnd w:id="1"/>
      <w:r>
        <w:br w:type="page"/>
      </w:r>
    </w:p>
    <w:p w:rsidR="00774117" w:rsidRDefault="00C12FEA">
      <w:pPr>
        <w:spacing w:line="360" w:lineRule="auto"/>
      </w:pPr>
      <w:bookmarkStart w:id="2" w:name="_tnk28may6xj1" w:colFirst="0" w:colLast="0"/>
      <w:bookmarkEnd w:id="2"/>
      <w:r>
        <w:rPr>
          <w:noProof/>
        </w:rPr>
        <w:lastRenderedPageBreak/>
        <w:drawing>
          <wp:inline distT="114300" distB="114300" distL="114300" distR="114300">
            <wp:extent cx="4718143" cy="5784262"/>
            <wp:effectExtent l="0" t="0" r="0" b="0"/>
            <wp:docPr id="1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8143" cy="57842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74117" w:rsidRDefault="00C12FEA">
      <w:pPr>
        <w:spacing w:line="360" w:lineRule="auto"/>
        <w:rPr>
          <w:sz w:val="18"/>
          <w:szCs w:val="18"/>
        </w:rPr>
      </w:pPr>
      <w:r>
        <w:rPr>
          <w:b/>
          <w:sz w:val="18"/>
          <w:szCs w:val="18"/>
        </w:rPr>
        <w:t>Supplemental Figure 1. Validation and quality analysis of α-synuclein monomeric protein used for fibril amplifications</w:t>
      </w:r>
      <w:r>
        <w:rPr>
          <w:sz w:val="18"/>
          <w:szCs w:val="18"/>
        </w:rPr>
        <w:t xml:space="preserve">. </w:t>
      </w:r>
      <w:r>
        <w:rPr>
          <w:b/>
          <w:sz w:val="18"/>
          <w:szCs w:val="18"/>
        </w:rPr>
        <w:t xml:space="preserve">a. </w:t>
      </w:r>
      <w:r>
        <w:rPr>
          <w:sz w:val="18"/>
          <w:szCs w:val="18"/>
        </w:rPr>
        <w:t>Representative Coomassie blue staining of an SDS-PAGE gel highlighting the collected pools of pure (es</w:t>
      </w:r>
      <w:r>
        <w:rPr>
          <w:sz w:val="18"/>
          <w:szCs w:val="18"/>
        </w:rPr>
        <w:t xml:space="preserve">timated &gt;98%) α-synuclein monomer fractions eluted with anion-exchange chromatography on </w:t>
      </w:r>
      <w:proofErr w:type="spellStart"/>
      <w:r>
        <w:rPr>
          <w:sz w:val="18"/>
          <w:szCs w:val="18"/>
        </w:rPr>
        <w:t>HiPrep</w:t>
      </w:r>
      <w:proofErr w:type="spellEnd"/>
      <w:r>
        <w:rPr>
          <w:sz w:val="18"/>
          <w:szCs w:val="18"/>
        </w:rPr>
        <w:t xml:space="preserve"> Q HP 16/10 columns. </w:t>
      </w:r>
      <w:r>
        <w:rPr>
          <w:b/>
          <w:sz w:val="18"/>
          <w:szCs w:val="18"/>
        </w:rPr>
        <w:t xml:space="preserve">b. </w:t>
      </w:r>
      <w:r>
        <w:rPr>
          <w:sz w:val="18"/>
          <w:szCs w:val="18"/>
        </w:rPr>
        <w:t xml:space="preserve">Representative standard curves of endotoxin quantification of α-synuclein preparations after endotoxin depletion. Black data-points show </w:t>
      </w:r>
      <w:r>
        <w:rPr>
          <w:sz w:val="18"/>
          <w:szCs w:val="18"/>
        </w:rPr>
        <w:t>known endotoxin standards against high-concentration (70 µM in the assay) α-synuclein monomer protein, with results from the three batches of protein used in this study shown. Levels of remaining endotoxin were measured at 0.05-0.1 endotoxin units (EU) per</w:t>
      </w:r>
      <w:r>
        <w:rPr>
          <w:sz w:val="18"/>
          <w:szCs w:val="18"/>
        </w:rPr>
        <w:t xml:space="preserve"> milligram of protein using the LAL method. </w:t>
      </w:r>
      <w:r>
        <w:rPr>
          <w:b/>
          <w:sz w:val="18"/>
          <w:szCs w:val="18"/>
        </w:rPr>
        <w:t xml:space="preserve">c. </w:t>
      </w:r>
      <w:r>
        <w:rPr>
          <w:sz w:val="18"/>
          <w:szCs w:val="18"/>
        </w:rPr>
        <w:t xml:space="preserve">Representative negative electron scan micrographs of monomer, sonicated, and full-length fibrils, along with </w:t>
      </w:r>
      <w:r>
        <w:rPr>
          <w:b/>
          <w:sz w:val="18"/>
          <w:szCs w:val="18"/>
        </w:rPr>
        <w:t xml:space="preserve">d. </w:t>
      </w:r>
      <w:r>
        <w:rPr>
          <w:sz w:val="18"/>
          <w:szCs w:val="18"/>
        </w:rPr>
        <w:t>representative histograms of molecular diameter relative to percent of density acquired by dynami</w:t>
      </w:r>
      <w:r>
        <w:rPr>
          <w:sz w:val="18"/>
          <w:szCs w:val="18"/>
        </w:rPr>
        <w:t xml:space="preserve">c light scattering measurements. </w:t>
      </w:r>
      <w:r>
        <w:rPr>
          <w:b/>
          <w:sz w:val="18"/>
          <w:szCs w:val="18"/>
        </w:rPr>
        <w:t>e</w:t>
      </w:r>
      <w:r>
        <w:rPr>
          <w:sz w:val="18"/>
          <w:szCs w:val="18"/>
        </w:rPr>
        <w:t>. Circular dichroism spectra of full-length fibrils and after 5 min incubation in 6M guanidine chloride (</w:t>
      </w:r>
      <w:proofErr w:type="spellStart"/>
      <w:r>
        <w:rPr>
          <w:sz w:val="18"/>
          <w:szCs w:val="18"/>
        </w:rPr>
        <w:t>GuHCL</w:t>
      </w:r>
      <w:proofErr w:type="spellEnd"/>
      <w:r>
        <w:rPr>
          <w:sz w:val="18"/>
          <w:szCs w:val="18"/>
        </w:rPr>
        <w:t xml:space="preserve">). 6M </w:t>
      </w:r>
      <w:proofErr w:type="spellStart"/>
      <w:r>
        <w:rPr>
          <w:sz w:val="18"/>
          <w:szCs w:val="18"/>
        </w:rPr>
        <w:t>GuHCL</w:t>
      </w:r>
      <w:proofErr w:type="spellEnd"/>
      <w:r>
        <w:rPr>
          <w:sz w:val="18"/>
          <w:szCs w:val="18"/>
        </w:rPr>
        <w:t xml:space="preserve"> treatment was always used prior to estimation of protein concentrations via A</w:t>
      </w:r>
      <w:r>
        <w:rPr>
          <w:sz w:val="18"/>
          <w:szCs w:val="18"/>
          <w:vertAlign w:val="subscript"/>
        </w:rPr>
        <w:t>280</w:t>
      </w:r>
      <w:r>
        <w:rPr>
          <w:sz w:val="18"/>
          <w:szCs w:val="18"/>
        </w:rPr>
        <w:t xml:space="preserve">.       </w:t>
      </w:r>
    </w:p>
    <w:p w:rsidR="00774117" w:rsidRDefault="00C12FEA">
      <w:pPr>
        <w:spacing w:line="360" w:lineRule="auto"/>
      </w:pPr>
      <w:r>
        <w:rPr>
          <w:noProof/>
        </w:rPr>
        <w:lastRenderedPageBreak/>
        <w:drawing>
          <wp:inline distT="114300" distB="114300" distL="114300" distR="114300">
            <wp:extent cx="5943600" cy="6273800"/>
            <wp:effectExtent l="0" t="0" r="0" b="0"/>
            <wp:docPr id="1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73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74117" w:rsidRDefault="00774117">
      <w:pPr>
        <w:spacing w:line="360" w:lineRule="auto"/>
        <w:rPr>
          <w:b/>
        </w:rPr>
      </w:pPr>
    </w:p>
    <w:p w:rsidR="00774117" w:rsidRDefault="00C12FEA">
      <w:pPr>
        <w:spacing w:line="360" w:lineRule="auto"/>
      </w:pPr>
      <w:r>
        <w:rPr>
          <w:b/>
          <w:sz w:val="18"/>
          <w:szCs w:val="18"/>
        </w:rPr>
        <w:t xml:space="preserve">Supplemental Figure 2. </w:t>
      </w:r>
      <w:r>
        <w:rPr>
          <w:sz w:val="18"/>
          <w:szCs w:val="18"/>
        </w:rPr>
        <w:t>Resolution estimation and validation of Cryo-EM collected images of procured α-synuclein fibril strains. Fourier shell correlation (FSC) for the 3D reconstruction of the cryo-EM maps. Class A and B fibril strains were identified thro</w:t>
      </w:r>
      <w:r>
        <w:rPr>
          <w:sz w:val="18"/>
          <w:szCs w:val="18"/>
        </w:rPr>
        <w:t>ugh 2D reconstruction and the majority of the DLB-derived fibril preparations contain two populations with distinct structural arrangement. DLB-III is referred to class A accordingly and a lower resolution estimation for both cases is associated with flexi</w:t>
      </w:r>
      <w:r>
        <w:rPr>
          <w:sz w:val="18"/>
          <w:szCs w:val="18"/>
        </w:rPr>
        <w:t>bility of the structure. DLB-VII Class B (v.1 and v.2) are associated with two different assemblies with the same 3D map (</w:t>
      </w:r>
      <w:r>
        <w:rPr>
          <w:b/>
          <w:sz w:val="18"/>
          <w:szCs w:val="18"/>
        </w:rPr>
        <w:t>Fig 2</w:t>
      </w:r>
      <w:r>
        <w:rPr>
          <w:sz w:val="18"/>
          <w:szCs w:val="18"/>
        </w:rPr>
        <w:t xml:space="preserve">). Detailed collection data for the cryo-EM analysis with final resolution is described in </w:t>
      </w:r>
      <w:r>
        <w:rPr>
          <w:b/>
          <w:sz w:val="18"/>
          <w:szCs w:val="18"/>
        </w:rPr>
        <w:t>Table 2</w:t>
      </w:r>
      <w:r>
        <w:rPr>
          <w:sz w:val="18"/>
          <w:szCs w:val="18"/>
        </w:rPr>
        <w:t xml:space="preserve">. </w:t>
      </w:r>
    </w:p>
    <w:p w:rsidR="00774117" w:rsidRDefault="00774117">
      <w:pPr>
        <w:spacing w:line="360" w:lineRule="auto"/>
      </w:pPr>
    </w:p>
    <w:p w:rsidR="00774117" w:rsidRDefault="00774117">
      <w:pPr>
        <w:spacing w:line="360" w:lineRule="auto"/>
      </w:pPr>
    </w:p>
    <w:p w:rsidR="00774117" w:rsidRDefault="00C12FEA">
      <w:pPr>
        <w:spacing w:line="360" w:lineRule="auto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114300" distB="114300" distL="114300" distR="114300">
            <wp:extent cx="5182076" cy="6643688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2076" cy="6643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74117" w:rsidRDefault="00C12FEA">
      <w:pPr>
        <w:spacing w:line="360" w:lineRule="auto"/>
        <w:rPr>
          <w:sz w:val="18"/>
          <w:szCs w:val="18"/>
        </w:rPr>
      </w:pPr>
      <w:r>
        <w:rPr>
          <w:b/>
          <w:sz w:val="18"/>
          <w:szCs w:val="18"/>
        </w:rPr>
        <w:t xml:space="preserve">Supplemental Figure 3. </w:t>
      </w:r>
      <w:r>
        <w:rPr>
          <w:sz w:val="18"/>
          <w:szCs w:val="18"/>
        </w:rPr>
        <w:t xml:space="preserve"> Fitted atomic model of compact and extended in both Type I and Type II β-sheet stacked filaments with variations in bonding caused by different arrangements. </w:t>
      </w:r>
    </w:p>
    <w:p w:rsidR="00774117" w:rsidRDefault="00C12FEA">
      <w:pPr>
        <w:spacing w:line="360" w:lineRule="auto"/>
      </w:pPr>
      <w:r>
        <w:rPr>
          <w:noProof/>
        </w:rPr>
        <w:lastRenderedPageBreak/>
        <w:drawing>
          <wp:inline distT="114300" distB="114300" distL="114300" distR="114300">
            <wp:extent cx="5943600" cy="3606800"/>
            <wp:effectExtent l="0" t="0" r="0" b="0"/>
            <wp:docPr id="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74117" w:rsidRDefault="00C12FEA">
      <w:pPr>
        <w:spacing w:line="360" w:lineRule="auto"/>
        <w:rPr>
          <w:sz w:val="18"/>
          <w:szCs w:val="18"/>
        </w:rPr>
      </w:pPr>
      <w:r>
        <w:rPr>
          <w:b/>
          <w:sz w:val="18"/>
          <w:szCs w:val="18"/>
        </w:rPr>
        <w:t>Supplemental Figure 4.</w:t>
      </w:r>
      <w:r>
        <w:rPr>
          <w:sz w:val="18"/>
          <w:szCs w:val="18"/>
        </w:rPr>
        <w:t xml:space="preserve"> </w:t>
      </w:r>
      <w:r>
        <w:rPr>
          <w:b/>
          <w:sz w:val="18"/>
          <w:szCs w:val="18"/>
        </w:rPr>
        <w:t xml:space="preserve">Overview of cryo-EM structures of α-synuclein fibril classes. </w:t>
      </w:r>
      <w:proofErr w:type="spellStart"/>
      <w:r>
        <w:rPr>
          <w:b/>
          <w:sz w:val="18"/>
          <w:szCs w:val="18"/>
        </w:rPr>
        <w:t>a.b.</w:t>
      </w:r>
      <w:proofErr w:type="spellEnd"/>
      <w:r>
        <w:rPr>
          <w:sz w:val="18"/>
          <w:szCs w:val="18"/>
        </w:rPr>
        <w:t>, Sid</w:t>
      </w:r>
      <w:r>
        <w:rPr>
          <w:sz w:val="18"/>
          <w:szCs w:val="18"/>
        </w:rPr>
        <w:t>e views of cryo-EM reconstructions for Class A and B fibrils, with extended and compact fibril arrangements. Cryo-EM density maps for both classes indicate left-handed helices with a pitch of 116 nm. Above, two protofibrils are colored dark-purple and oran</w:t>
      </w:r>
      <w:r>
        <w:rPr>
          <w:sz w:val="18"/>
          <w:szCs w:val="18"/>
        </w:rPr>
        <w:t xml:space="preserve">ge for class A and light-purple and green for class B. Also shown, </w:t>
      </w:r>
      <w:r>
        <w:rPr>
          <w:b/>
          <w:sz w:val="18"/>
          <w:szCs w:val="18"/>
        </w:rPr>
        <w:t xml:space="preserve">c., d., </w:t>
      </w:r>
      <w:r>
        <w:rPr>
          <w:sz w:val="18"/>
          <w:szCs w:val="18"/>
        </w:rPr>
        <w:t>close-up side views of the density maps of extended and compact arrangements for class A and class B fibrils with intervals indicated between each protofibril stack (common 4.8 nm).</w:t>
      </w:r>
      <w:r>
        <w:rPr>
          <w:sz w:val="18"/>
          <w:szCs w:val="18"/>
        </w:rPr>
        <w:t xml:space="preserve">   </w:t>
      </w:r>
    </w:p>
    <w:p w:rsidR="00774117" w:rsidRDefault="00774117">
      <w:pPr>
        <w:spacing w:line="360" w:lineRule="auto"/>
        <w:rPr>
          <w:sz w:val="18"/>
          <w:szCs w:val="18"/>
        </w:rPr>
      </w:pPr>
    </w:p>
    <w:p w:rsidR="00774117" w:rsidRDefault="00C12FEA">
      <w:pPr>
        <w:spacing w:line="360" w:lineRule="auto"/>
        <w:rPr>
          <w:sz w:val="18"/>
          <w:szCs w:val="18"/>
        </w:rPr>
      </w:pPr>
      <w:r>
        <w:br w:type="page"/>
      </w:r>
    </w:p>
    <w:p w:rsidR="00774117" w:rsidRDefault="00C12FEA">
      <w:pPr>
        <w:spacing w:line="360" w:lineRule="auto"/>
        <w:rPr>
          <w:b/>
          <w:sz w:val="18"/>
          <w:szCs w:val="18"/>
        </w:rPr>
      </w:pPr>
      <w:r>
        <w:rPr>
          <w:b/>
          <w:noProof/>
          <w:sz w:val="18"/>
          <w:szCs w:val="18"/>
        </w:rPr>
        <w:lastRenderedPageBreak/>
        <w:drawing>
          <wp:inline distT="114300" distB="114300" distL="114300" distR="114300">
            <wp:extent cx="5943600" cy="4394200"/>
            <wp:effectExtent l="0" t="0" r="0" b="0"/>
            <wp:docPr id="8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74117" w:rsidRDefault="00C12FEA">
      <w:pPr>
        <w:spacing w:line="360" w:lineRule="auto"/>
        <w:rPr>
          <w:sz w:val="18"/>
          <w:szCs w:val="18"/>
        </w:rPr>
      </w:pPr>
      <w:r>
        <w:rPr>
          <w:b/>
          <w:sz w:val="18"/>
          <w:szCs w:val="18"/>
        </w:rPr>
        <w:t>Supplemental Figure 5.</w:t>
      </w:r>
      <w:r>
        <w:rPr>
          <w:sz w:val="18"/>
          <w:szCs w:val="18"/>
        </w:rPr>
        <w:t xml:space="preserve"> </w:t>
      </w:r>
      <w:r>
        <w:rPr>
          <w:b/>
          <w:sz w:val="18"/>
          <w:szCs w:val="18"/>
        </w:rPr>
        <w:t xml:space="preserve">Close alignment of DLB-VII fibrils with E46K-mutated fibrils (PDB 6UFR). </w:t>
      </w:r>
      <w:r>
        <w:rPr>
          <w:sz w:val="18"/>
          <w:szCs w:val="18"/>
        </w:rPr>
        <w:t>The mutated E46K residue is highlighted above (cyan), together with similarity in alignment from β-strands 3 to 6, centered on positive alignment betwe</w:t>
      </w:r>
      <w:r>
        <w:rPr>
          <w:sz w:val="18"/>
          <w:szCs w:val="18"/>
        </w:rPr>
        <w:t xml:space="preserve">en β-strands 4 and 5, with extended pocket Class B filaments from DLB-VII (purple).  </w:t>
      </w:r>
    </w:p>
    <w:p w:rsidR="00774117" w:rsidRDefault="00C12FEA">
      <w:pPr>
        <w:spacing w:line="360" w:lineRule="auto"/>
        <w:rPr>
          <w:sz w:val="18"/>
          <w:szCs w:val="18"/>
        </w:rPr>
      </w:pPr>
      <w:r>
        <w:br w:type="page"/>
      </w:r>
    </w:p>
    <w:p w:rsidR="00774117" w:rsidRDefault="00C12FEA">
      <w:pPr>
        <w:spacing w:line="360" w:lineRule="auto"/>
      </w:pPr>
      <w:r>
        <w:rPr>
          <w:sz w:val="18"/>
          <w:szCs w:val="18"/>
        </w:rPr>
        <w:lastRenderedPageBreak/>
        <w:t xml:space="preserve"> </w:t>
      </w:r>
      <w:r>
        <w:rPr>
          <w:sz w:val="18"/>
          <w:szCs w:val="18"/>
        </w:rPr>
        <w:br/>
      </w:r>
    </w:p>
    <w:p w:rsidR="00774117" w:rsidRDefault="00C12FEA">
      <w:pPr>
        <w:spacing w:line="360" w:lineRule="auto"/>
        <w:rPr>
          <w:sz w:val="18"/>
          <w:szCs w:val="18"/>
        </w:rPr>
      </w:pPr>
      <w:r>
        <w:rPr>
          <w:noProof/>
        </w:rPr>
        <w:drawing>
          <wp:inline distT="114300" distB="114300" distL="114300" distR="114300">
            <wp:extent cx="5943600" cy="4686300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8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74117" w:rsidRDefault="00C12FEA">
      <w:pPr>
        <w:spacing w:line="360" w:lineRule="auto"/>
        <w:rPr>
          <w:sz w:val="18"/>
          <w:szCs w:val="18"/>
        </w:rPr>
      </w:pPr>
      <w:r>
        <w:rPr>
          <w:b/>
          <w:sz w:val="18"/>
          <w:szCs w:val="18"/>
        </w:rPr>
        <w:t>Supplemental Figure 6. Reproducibility of dye-binding characteristics of amplified α-synuclein fibril products.</w:t>
      </w:r>
      <w:r>
        <w:rPr>
          <w:sz w:val="18"/>
          <w:szCs w:val="18"/>
        </w:rPr>
        <w:t xml:space="preserve"> </w:t>
      </w:r>
      <w:r>
        <w:rPr>
          <w:b/>
          <w:sz w:val="18"/>
          <w:szCs w:val="18"/>
        </w:rPr>
        <w:t xml:space="preserve">a. </w:t>
      </w:r>
      <w:r>
        <w:rPr>
          <w:sz w:val="18"/>
          <w:szCs w:val="18"/>
        </w:rPr>
        <w:t xml:space="preserve">Fluorescence intensity (F.U.) of five different </w:t>
      </w:r>
      <w:r>
        <w:rPr>
          <w:sz w:val="18"/>
          <w:szCs w:val="18"/>
        </w:rPr>
        <w:t xml:space="preserve">batches (b1-5) of DLB-VII CSF (10% w/v) grown at different times and standard BSA preparation in presence of </w:t>
      </w:r>
      <w:proofErr w:type="spellStart"/>
      <w:r>
        <w:rPr>
          <w:sz w:val="18"/>
          <w:szCs w:val="18"/>
        </w:rPr>
        <w:t>ThT</w:t>
      </w:r>
      <w:proofErr w:type="spellEnd"/>
      <w:r>
        <w:rPr>
          <w:sz w:val="18"/>
          <w:szCs w:val="18"/>
        </w:rPr>
        <w:t xml:space="preserve">, </w:t>
      </w:r>
      <w:r>
        <w:rPr>
          <w:b/>
          <w:sz w:val="18"/>
          <w:szCs w:val="18"/>
        </w:rPr>
        <w:t xml:space="preserve">b. </w:t>
      </w:r>
      <w:r>
        <w:rPr>
          <w:sz w:val="18"/>
          <w:szCs w:val="18"/>
        </w:rPr>
        <w:t xml:space="preserve"> NIAD-</w:t>
      </w:r>
      <w:proofErr w:type="gramStart"/>
      <w:r>
        <w:rPr>
          <w:sz w:val="18"/>
          <w:szCs w:val="18"/>
        </w:rPr>
        <w:t>4 ,</w:t>
      </w:r>
      <w:proofErr w:type="gramEnd"/>
      <w:r>
        <w:rPr>
          <w:sz w:val="18"/>
          <w:szCs w:val="18"/>
        </w:rPr>
        <w:t xml:space="preserve"> or </w:t>
      </w:r>
      <w:r>
        <w:rPr>
          <w:b/>
          <w:sz w:val="18"/>
          <w:szCs w:val="18"/>
        </w:rPr>
        <w:t xml:space="preserve">c. </w:t>
      </w:r>
      <w:r>
        <w:rPr>
          <w:sz w:val="18"/>
          <w:szCs w:val="18"/>
        </w:rPr>
        <w:t>Nile Red. Columns show N=3 technical replicates from the same fibril preparation, means shown with error bars as S.E.M., On</w:t>
      </w:r>
      <w:r>
        <w:rPr>
          <w:sz w:val="18"/>
          <w:szCs w:val="18"/>
        </w:rPr>
        <w:t xml:space="preserve">e way ANOVA tests did not reveal batch differences within the spontaneous fibril group or within the DLB-VIII fibril amplification group.  </w:t>
      </w:r>
    </w:p>
    <w:p w:rsidR="00774117" w:rsidRDefault="00C12FEA">
      <w:pPr>
        <w:spacing w:line="360" w:lineRule="auto"/>
      </w:pPr>
      <w:r>
        <w:br w:type="page"/>
      </w:r>
      <w:r>
        <w:rPr>
          <w:noProof/>
        </w:rPr>
        <w:lastRenderedPageBreak/>
        <w:drawing>
          <wp:inline distT="114300" distB="114300" distL="114300" distR="114300">
            <wp:extent cx="5342662" cy="7697200"/>
            <wp:effectExtent l="0" t="0" r="0" b="0"/>
            <wp:docPr id="6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2662" cy="769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74117" w:rsidRDefault="00C12FEA">
      <w:pPr>
        <w:spacing w:line="360" w:lineRule="auto"/>
        <w:rPr>
          <w:sz w:val="18"/>
          <w:szCs w:val="18"/>
        </w:rPr>
      </w:pPr>
      <w:r>
        <w:rPr>
          <w:b/>
          <w:sz w:val="18"/>
          <w:szCs w:val="18"/>
        </w:rPr>
        <w:t>Supplemental Figure 7. Size distributions among shredded DLB-CSF amplified α-synuclein fibrils and fluorescence i</w:t>
      </w:r>
      <w:r>
        <w:rPr>
          <w:b/>
          <w:sz w:val="18"/>
          <w:szCs w:val="18"/>
        </w:rPr>
        <w:t xml:space="preserve">ntensity of </w:t>
      </w:r>
      <w:proofErr w:type="spellStart"/>
      <w:r>
        <w:rPr>
          <w:b/>
          <w:sz w:val="18"/>
          <w:szCs w:val="18"/>
        </w:rPr>
        <w:t>pHrodo</w:t>
      </w:r>
      <w:proofErr w:type="spellEnd"/>
      <w:r>
        <w:rPr>
          <w:b/>
          <w:sz w:val="18"/>
          <w:szCs w:val="18"/>
        </w:rPr>
        <w:t xml:space="preserve">-labeled strains. a. </w:t>
      </w:r>
      <w:r>
        <w:rPr>
          <w:sz w:val="18"/>
          <w:szCs w:val="18"/>
        </w:rPr>
        <w:t>Group analysis of sized populations after water-cooled sonication, with bins corresponding to 0-10 nm (e.g., monomer or small oligomeric α-synuclein</w:t>
      </w:r>
      <w:proofErr w:type="gramStart"/>
      <w:r>
        <w:rPr>
          <w:sz w:val="18"/>
          <w:szCs w:val="18"/>
        </w:rPr>
        <w:t>) ,</w:t>
      </w:r>
      <w:proofErr w:type="gramEnd"/>
      <w:r>
        <w:rPr>
          <w:sz w:val="18"/>
          <w:szCs w:val="18"/>
        </w:rPr>
        <w:t xml:space="preserve"> 10-100 nm (e.g., small α-synuclein fibrils), or particles larger </w:t>
      </w:r>
      <w:r>
        <w:rPr>
          <w:sz w:val="18"/>
          <w:szCs w:val="18"/>
        </w:rPr>
        <w:t xml:space="preserve">than  &gt;100 nm (e.g., longer or aggregated fibrils). One-way ANOVA </w:t>
      </w:r>
      <w:r>
        <w:rPr>
          <w:sz w:val="18"/>
          <w:szCs w:val="18"/>
        </w:rPr>
        <w:lastRenderedPageBreak/>
        <w:t xml:space="preserve">analysis did not reveal any differences across the group in triplicate measures. </w:t>
      </w:r>
      <w:r>
        <w:rPr>
          <w:b/>
          <w:sz w:val="18"/>
          <w:szCs w:val="18"/>
        </w:rPr>
        <w:t xml:space="preserve">b. </w:t>
      </w:r>
      <w:r>
        <w:rPr>
          <w:sz w:val="18"/>
          <w:szCs w:val="18"/>
        </w:rPr>
        <w:t>Selected representative negative stain electron micrographs of the processed small fibril samples prepared</w:t>
      </w:r>
      <w:r>
        <w:rPr>
          <w:sz w:val="18"/>
          <w:szCs w:val="18"/>
        </w:rPr>
        <w:t xml:space="preserve"> prior to addition to cells. Scale bar is 100 nm. </w:t>
      </w:r>
      <w:r>
        <w:rPr>
          <w:b/>
          <w:sz w:val="18"/>
          <w:szCs w:val="18"/>
        </w:rPr>
        <w:t xml:space="preserve">c. </w:t>
      </w:r>
      <w:r>
        <w:rPr>
          <w:sz w:val="18"/>
          <w:szCs w:val="18"/>
        </w:rPr>
        <w:t xml:space="preserve">Fluorescence intensity at 565 nm of </w:t>
      </w:r>
      <w:proofErr w:type="spellStart"/>
      <w:r>
        <w:rPr>
          <w:sz w:val="18"/>
          <w:szCs w:val="18"/>
        </w:rPr>
        <w:t>pHrodo</w:t>
      </w:r>
      <w:proofErr w:type="spellEnd"/>
      <w:r>
        <w:rPr>
          <w:sz w:val="18"/>
          <w:szCs w:val="18"/>
        </w:rPr>
        <w:t xml:space="preserve">-labeled fibril samples incubated at pH 4.0 to maximize </w:t>
      </w:r>
      <w:proofErr w:type="spellStart"/>
      <w:r>
        <w:rPr>
          <w:sz w:val="18"/>
          <w:szCs w:val="18"/>
        </w:rPr>
        <w:t>pHrodo</w:t>
      </w:r>
      <w:proofErr w:type="spellEnd"/>
      <w:r>
        <w:rPr>
          <w:sz w:val="18"/>
          <w:szCs w:val="18"/>
        </w:rPr>
        <w:t xml:space="preserve"> fluorescence emission. Intensities are normalized against concentration estimated by A-280 absorba</w:t>
      </w:r>
      <w:r>
        <w:rPr>
          <w:sz w:val="18"/>
          <w:szCs w:val="18"/>
        </w:rPr>
        <w:t xml:space="preserve">nce </w:t>
      </w:r>
      <w:proofErr w:type="gramStart"/>
      <w:r>
        <w:rPr>
          <w:sz w:val="18"/>
          <w:szCs w:val="18"/>
        </w:rPr>
        <w:t>after  guanidine</w:t>
      </w:r>
      <w:proofErr w:type="gramEnd"/>
      <w:r>
        <w:rPr>
          <w:sz w:val="18"/>
          <w:szCs w:val="18"/>
        </w:rPr>
        <w:t xml:space="preserve"> denaturation (see Methods- “Preparation of α-synuclein fibrils amplified from CSF”). </w:t>
      </w:r>
      <w:r>
        <w:rPr>
          <w:b/>
          <w:sz w:val="18"/>
          <w:szCs w:val="18"/>
        </w:rPr>
        <w:t xml:space="preserve">d. </w:t>
      </w:r>
      <w:r>
        <w:rPr>
          <w:sz w:val="18"/>
          <w:szCs w:val="18"/>
        </w:rPr>
        <w:t xml:space="preserve">Preceding all cellular assays, </w:t>
      </w:r>
      <w:proofErr w:type="spellStart"/>
      <w:r>
        <w:rPr>
          <w:sz w:val="18"/>
          <w:szCs w:val="18"/>
        </w:rPr>
        <w:t>pHrodo</w:t>
      </w:r>
      <w:proofErr w:type="spellEnd"/>
      <w:r>
        <w:rPr>
          <w:sz w:val="18"/>
          <w:szCs w:val="18"/>
        </w:rPr>
        <w:t xml:space="preserve"> fibril preparations were standardized between preparations to achieve similar fluorescence for each mg of fib</w:t>
      </w:r>
      <w:r>
        <w:rPr>
          <w:sz w:val="18"/>
          <w:szCs w:val="18"/>
        </w:rPr>
        <w:t>ril product. Results from three preparations are indicated as mean fluorescent values with S.E.M. as error bars.</w:t>
      </w:r>
      <w:r>
        <w:br w:type="page"/>
      </w:r>
    </w:p>
    <w:p w:rsidR="00774117" w:rsidRDefault="00774117">
      <w:pPr>
        <w:spacing w:line="360" w:lineRule="auto"/>
        <w:rPr>
          <w:sz w:val="18"/>
          <w:szCs w:val="18"/>
        </w:rPr>
      </w:pPr>
    </w:p>
    <w:p w:rsidR="00774117" w:rsidRDefault="00C12FEA">
      <w:pPr>
        <w:spacing w:line="360" w:lineRule="auto"/>
      </w:pPr>
      <w:r>
        <w:t xml:space="preserve"> </w:t>
      </w:r>
      <w:r>
        <w:rPr>
          <w:noProof/>
        </w:rPr>
        <w:drawing>
          <wp:inline distT="114300" distB="114300" distL="114300" distR="114300">
            <wp:extent cx="5943600" cy="5829300"/>
            <wp:effectExtent l="0" t="0" r="0" b="0"/>
            <wp:docPr id="1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2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74117" w:rsidRDefault="00C12FEA">
      <w:pPr>
        <w:spacing w:line="360" w:lineRule="auto"/>
      </w:pPr>
      <w:r>
        <w:rPr>
          <w:b/>
          <w:sz w:val="18"/>
          <w:szCs w:val="18"/>
        </w:rPr>
        <w:t>Supplemental Figure 8. Internalization of different α-synuclein DLB-CSF amplified fibril products in primary microglia.</w:t>
      </w:r>
      <w:r>
        <w:rPr>
          <w:sz w:val="18"/>
          <w:szCs w:val="18"/>
        </w:rPr>
        <w:t xml:space="preserve"> Amplified fibril products were labeled with the pH-sensitive dye </w:t>
      </w:r>
      <w:proofErr w:type="spellStart"/>
      <w:r>
        <w:rPr>
          <w:sz w:val="18"/>
          <w:szCs w:val="18"/>
        </w:rPr>
        <w:t>pHrodo</w:t>
      </w:r>
      <w:proofErr w:type="spellEnd"/>
      <w:r>
        <w:rPr>
          <w:sz w:val="18"/>
          <w:szCs w:val="18"/>
        </w:rPr>
        <w:t xml:space="preserve"> and applied to microglia (cultured for ten days) for a period of six hours prior to widefield immunofluorescence in the living cells to resolve the </w:t>
      </w:r>
      <w:proofErr w:type="gramStart"/>
      <w:r>
        <w:rPr>
          <w:sz w:val="18"/>
          <w:szCs w:val="18"/>
        </w:rPr>
        <w:t>amount</w:t>
      </w:r>
      <w:proofErr w:type="gramEnd"/>
      <w:r>
        <w:rPr>
          <w:sz w:val="18"/>
          <w:szCs w:val="18"/>
        </w:rPr>
        <w:t xml:space="preserve"> of fibrils internalized into</w:t>
      </w:r>
      <w:r>
        <w:rPr>
          <w:sz w:val="18"/>
          <w:szCs w:val="18"/>
        </w:rPr>
        <w:t xml:space="preserve"> the </w:t>
      </w:r>
      <w:proofErr w:type="spellStart"/>
      <w:r>
        <w:rPr>
          <w:sz w:val="18"/>
          <w:szCs w:val="18"/>
        </w:rPr>
        <w:t>endolysosomal</w:t>
      </w:r>
      <w:proofErr w:type="spellEnd"/>
      <w:r>
        <w:rPr>
          <w:sz w:val="18"/>
          <w:szCs w:val="18"/>
        </w:rPr>
        <w:t xml:space="preserve"> system of the cells. </w:t>
      </w:r>
      <w:r>
        <w:rPr>
          <w:b/>
          <w:sz w:val="18"/>
          <w:szCs w:val="18"/>
        </w:rPr>
        <w:t>a.</w:t>
      </w:r>
      <w:r>
        <w:rPr>
          <w:sz w:val="18"/>
          <w:szCs w:val="18"/>
        </w:rPr>
        <w:t xml:space="preserve"> Representative immunofluorescence images (red, scale bar is 20 um) with phase-contrast overlays (grey) and </w:t>
      </w:r>
      <w:r>
        <w:rPr>
          <w:b/>
          <w:sz w:val="18"/>
          <w:szCs w:val="18"/>
        </w:rPr>
        <w:t xml:space="preserve">b. </w:t>
      </w:r>
      <w:r>
        <w:rPr>
          <w:sz w:val="18"/>
          <w:szCs w:val="18"/>
        </w:rPr>
        <w:t>group analysis of fibril products. One-way ANOVA of differences between experimental conditions (N=3 in</w:t>
      </w:r>
      <w:r>
        <w:rPr>
          <w:sz w:val="18"/>
          <w:szCs w:val="18"/>
        </w:rPr>
        <w:t xml:space="preserve">dependent wells per fibril treatment) did not reveal differences between DLB-I through DLB-X groups. </w:t>
      </w:r>
      <w:r>
        <w:rPr>
          <w:b/>
          <w:sz w:val="18"/>
          <w:szCs w:val="18"/>
        </w:rPr>
        <w:t xml:space="preserve">c. </w:t>
      </w:r>
      <w:r>
        <w:rPr>
          <w:sz w:val="18"/>
          <w:szCs w:val="18"/>
        </w:rPr>
        <w:t>Correlation analysis where each dot represents the mean value for fibril uptake (panel b) and stimulated TNF (</w:t>
      </w:r>
      <w:r>
        <w:rPr>
          <w:b/>
          <w:sz w:val="18"/>
          <w:szCs w:val="18"/>
        </w:rPr>
        <w:t>Fig. 6</w:t>
      </w:r>
      <w:r>
        <w:rPr>
          <w:sz w:val="18"/>
          <w:szCs w:val="18"/>
        </w:rPr>
        <w:t xml:space="preserve">).   </w:t>
      </w:r>
    </w:p>
    <w:p w:rsidR="00774117" w:rsidRDefault="00C12FEA">
      <w:pPr>
        <w:spacing w:line="360" w:lineRule="auto"/>
      </w:pPr>
      <w:r>
        <w:rPr>
          <w:noProof/>
        </w:rPr>
        <w:lastRenderedPageBreak/>
        <w:drawing>
          <wp:inline distT="114300" distB="114300" distL="114300" distR="114300">
            <wp:extent cx="5943600" cy="5651500"/>
            <wp:effectExtent l="0" t="0" r="0" b="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5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74117" w:rsidRDefault="00774117">
      <w:pPr>
        <w:spacing w:line="360" w:lineRule="auto"/>
      </w:pPr>
    </w:p>
    <w:p w:rsidR="00774117" w:rsidRDefault="00C12FEA">
      <w:pPr>
        <w:spacing w:line="360" w:lineRule="auto"/>
        <w:rPr>
          <w:sz w:val="18"/>
          <w:szCs w:val="18"/>
        </w:rPr>
      </w:pPr>
      <w:r>
        <w:rPr>
          <w:b/>
          <w:sz w:val="18"/>
          <w:szCs w:val="18"/>
        </w:rPr>
        <w:t>Supplemental Figure 9. Inte</w:t>
      </w:r>
      <w:r>
        <w:rPr>
          <w:b/>
          <w:sz w:val="18"/>
          <w:szCs w:val="18"/>
        </w:rPr>
        <w:t>rnalization of different α-synuclein DLB-CSF amplified fibril products in primary cultured neurons.</w:t>
      </w:r>
      <w:r>
        <w:rPr>
          <w:sz w:val="18"/>
          <w:szCs w:val="18"/>
        </w:rPr>
        <w:t xml:space="preserve"> Amplified fibril products were labeled with the pH-sensitive dye </w:t>
      </w:r>
      <w:proofErr w:type="spellStart"/>
      <w:r>
        <w:rPr>
          <w:sz w:val="18"/>
          <w:szCs w:val="18"/>
        </w:rPr>
        <w:t>pHrodo</w:t>
      </w:r>
      <w:proofErr w:type="spellEnd"/>
      <w:r>
        <w:rPr>
          <w:sz w:val="18"/>
          <w:szCs w:val="18"/>
        </w:rPr>
        <w:t xml:space="preserve"> and applied to neurons (cultured for seven days) for a period of six hours prior to </w:t>
      </w:r>
      <w:r>
        <w:rPr>
          <w:sz w:val="18"/>
          <w:szCs w:val="18"/>
        </w:rPr>
        <w:t xml:space="preserve">widefield immunofluorescence in the living cells to resolve the </w:t>
      </w:r>
      <w:proofErr w:type="gramStart"/>
      <w:r>
        <w:rPr>
          <w:sz w:val="18"/>
          <w:szCs w:val="18"/>
        </w:rPr>
        <w:t>amount</w:t>
      </w:r>
      <w:proofErr w:type="gramEnd"/>
      <w:r>
        <w:rPr>
          <w:sz w:val="18"/>
          <w:szCs w:val="18"/>
        </w:rPr>
        <w:t xml:space="preserve"> of fibrils internalized into the </w:t>
      </w:r>
      <w:proofErr w:type="spellStart"/>
      <w:r>
        <w:rPr>
          <w:sz w:val="18"/>
          <w:szCs w:val="18"/>
        </w:rPr>
        <w:t>endolysosomal</w:t>
      </w:r>
      <w:proofErr w:type="spellEnd"/>
      <w:r>
        <w:rPr>
          <w:sz w:val="18"/>
          <w:szCs w:val="18"/>
        </w:rPr>
        <w:t xml:space="preserve"> system of the neurons. </w:t>
      </w:r>
      <w:r>
        <w:rPr>
          <w:b/>
          <w:sz w:val="18"/>
          <w:szCs w:val="18"/>
        </w:rPr>
        <w:t xml:space="preserve">a. </w:t>
      </w:r>
      <w:r>
        <w:rPr>
          <w:sz w:val="18"/>
          <w:szCs w:val="18"/>
        </w:rPr>
        <w:t xml:space="preserve">Representative immunofluorescence images (red, scale bar is 20 um) with phase-contrast overlays (grey) and </w:t>
      </w:r>
      <w:r>
        <w:rPr>
          <w:b/>
          <w:sz w:val="18"/>
          <w:szCs w:val="18"/>
        </w:rPr>
        <w:t xml:space="preserve">b. </w:t>
      </w:r>
      <w:r>
        <w:rPr>
          <w:sz w:val="18"/>
          <w:szCs w:val="18"/>
        </w:rPr>
        <w:t>gr</w:t>
      </w:r>
      <w:r>
        <w:rPr>
          <w:sz w:val="18"/>
          <w:szCs w:val="18"/>
        </w:rPr>
        <w:t xml:space="preserve">oup analysis of fibril products. One-way ANOVA of differences between experimental conditions (N=3 independent wells per fibril treatment) did not reveal differences between DLB-I through DLB-X groups. </w:t>
      </w:r>
      <w:r>
        <w:rPr>
          <w:b/>
          <w:sz w:val="18"/>
          <w:szCs w:val="18"/>
        </w:rPr>
        <w:t xml:space="preserve">c. </w:t>
      </w:r>
      <w:r>
        <w:rPr>
          <w:sz w:val="18"/>
          <w:szCs w:val="18"/>
        </w:rPr>
        <w:t xml:space="preserve">Correlation analysis where each dot represents the </w:t>
      </w:r>
      <w:r>
        <w:rPr>
          <w:sz w:val="18"/>
          <w:szCs w:val="18"/>
        </w:rPr>
        <w:t xml:space="preserve">mean value for fibril uptake (panel b) and potency in pS129-α-synuclein inclusion seeding (see </w:t>
      </w:r>
      <w:r>
        <w:rPr>
          <w:b/>
          <w:sz w:val="18"/>
          <w:szCs w:val="18"/>
        </w:rPr>
        <w:t>Fig. 7</w:t>
      </w:r>
      <w:r>
        <w:rPr>
          <w:sz w:val="18"/>
          <w:szCs w:val="18"/>
        </w:rPr>
        <w:t xml:space="preserve">).   </w:t>
      </w:r>
    </w:p>
    <w:p w:rsidR="00774117" w:rsidRDefault="00774117">
      <w:pPr>
        <w:spacing w:line="360" w:lineRule="auto"/>
        <w:rPr>
          <w:sz w:val="18"/>
          <w:szCs w:val="18"/>
        </w:rPr>
      </w:pPr>
    </w:p>
    <w:p w:rsidR="00774117" w:rsidRDefault="00C12FEA">
      <w:pPr>
        <w:spacing w:line="360" w:lineRule="auto"/>
        <w:rPr>
          <w:sz w:val="18"/>
          <w:szCs w:val="18"/>
        </w:rPr>
      </w:pPr>
      <w:r>
        <w:br w:type="page"/>
      </w:r>
    </w:p>
    <w:p w:rsidR="00774117" w:rsidRDefault="00774117">
      <w:pPr>
        <w:spacing w:line="360" w:lineRule="auto"/>
        <w:rPr>
          <w:sz w:val="18"/>
          <w:szCs w:val="18"/>
        </w:rPr>
      </w:pPr>
    </w:p>
    <w:p w:rsidR="00774117" w:rsidRDefault="00C12FEA">
      <w:pPr>
        <w:spacing w:line="360" w:lineRule="auto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>
            <wp:extent cx="5943600" cy="5676900"/>
            <wp:effectExtent l="0" t="0" r="0" b="0"/>
            <wp:docPr id="1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7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74117" w:rsidRDefault="00774117">
      <w:pPr>
        <w:spacing w:line="360" w:lineRule="auto"/>
        <w:rPr>
          <w:sz w:val="18"/>
          <w:szCs w:val="18"/>
        </w:rPr>
      </w:pPr>
    </w:p>
    <w:p w:rsidR="00774117" w:rsidRDefault="00C12FEA">
      <w:p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 </w:t>
      </w:r>
      <w:r>
        <w:rPr>
          <w:b/>
          <w:sz w:val="18"/>
          <w:szCs w:val="18"/>
        </w:rPr>
        <w:t xml:space="preserve">Supplemental Figure 10. Overall correlation matrix variables associated with DLB-I through DLB-X amplified α-synuclein fibrils. </w:t>
      </w:r>
      <w:r>
        <w:rPr>
          <w:sz w:val="18"/>
          <w:szCs w:val="18"/>
        </w:rPr>
        <w:t>Pearson's cor</w:t>
      </w:r>
      <w:r>
        <w:rPr>
          <w:sz w:val="18"/>
          <w:szCs w:val="18"/>
        </w:rPr>
        <w:t xml:space="preserve">relation coefficients are given with darker colors showing stronger correlations, with dark red showing negative correlation and dark blue showing positive correlations. </w:t>
      </w:r>
    </w:p>
    <w:p w:rsidR="00774117" w:rsidRDefault="00C12FEA">
      <w:pPr>
        <w:spacing w:line="360" w:lineRule="auto"/>
        <w:rPr>
          <w:sz w:val="18"/>
          <w:szCs w:val="18"/>
        </w:rPr>
      </w:pPr>
      <w:r>
        <w:br w:type="page"/>
      </w:r>
    </w:p>
    <w:p w:rsidR="00774117" w:rsidRDefault="00C12FEA">
      <w:pPr>
        <w:spacing w:line="360" w:lineRule="auto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114300" distB="114300" distL="114300" distR="114300">
            <wp:extent cx="3214688" cy="2411016"/>
            <wp:effectExtent l="0" t="0" r="0" b="0"/>
            <wp:docPr id="1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4688" cy="24110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74117" w:rsidRDefault="00774117">
      <w:pPr>
        <w:spacing w:line="360" w:lineRule="auto"/>
        <w:rPr>
          <w:sz w:val="18"/>
          <w:szCs w:val="18"/>
        </w:rPr>
      </w:pPr>
    </w:p>
    <w:p w:rsidR="00774117" w:rsidRDefault="00C12FEA">
      <w:pPr>
        <w:spacing w:line="360" w:lineRule="auto"/>
        <w:rPr>
          <w:sz w:val="18"/>
          <w:szCs w:val="18"/>
        </w:rPr>
      </w:pPr>
      <w:r>
        <w:rPr>
          <w:b/>
          <w:sz w:val="18"/>
          <w:szCs w:val="18"/>
        </w:rPr>
        <w:t>Supplemental Figure 11.</w:t>
      </w:r>
      <w:r>
        <w:rPr>
          <w:sz w:val="18"/>
          <w:szCs w:val="18"/>
        </w:rPr>
        <w:t xml:space="preserve"> </w:t>
      </w:r>
      <w:r>
        <w:rPr>
          <w:b/>
          <w:sz w:val="18"/>
          <w:szCs w:val="18"/>
        </w:rPr>
        <w:t xml:space="preserve">Principal component analysis (PCA) of structural and functional variabilities observed with amplified α-synuclein fibrils. </w:t>
      </w:r>
      <w:r>
        <w:rPr>
          <w:sz w:val="18"/>
          <w:szCs w:val="18"/>
        </w:rPr>
        <w:t xml:space="preserve"> PC1 and 2 show 42% and 21% proportion of variance, respectively. PC1 variances are color coded above, with variables that include dy</w:t>
      </w:r>
      <w:r>
        <w:rPr>
          <w:sz w:val="18"/>
          <w:szCs w:val="18"/>
        </w:rPr>
        <w:t xml:space="preserve">e binding profiles, seeding capacity in neurons, and immunogenic potential in microglia. </w:t>
      </w:r>
    </w:p>
    <w:p w:rsidR="00774117" w:rsidRDefault="00774117">
      <w:pPr>
        <w:spacing w:line="360" w:lineRule="auto"/>
        <w:rPr>
          <w:sz w:val="18"/>
          <w:szCs w:val="18"/>
        </w:rPr>
      </w:pPr>
    </w:p>
    <w:p w:rsidR="00774117" w:rsidRDefault="00774117">
      <w:pPr>
        <w:spacing w:line="360" w:lineRule="auto"/>
      </w:pPr>
    </w:p>
    <w:p w:rsidR="00774117" w:rsidRDefault="00774117">
      <w:pPr>
        <w:spacing w:line="360" w:lineRule="auto"/>
        <w:rPr>
          <w:b/>
        </w:rPr>
      </w:pPr>
    </w:p>
    <w:sectPr w:rsidR="00774117">
      <w:pgSz w:w="12240" w:h="15840"/>
      <w:pgMar w:top="72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4117"/>
    <w:rsid w:val="00774117"/>
    <w:rsid w:val="00C12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425A52"/>
  <w15:docId w15:val="{FEA885E6-46E6-44BD-90D5-3037F98A2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28"/>
      <w:szCs w:val="2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hyperlink" Target="mailto:Alberto.Bartesaghi@duke.edu" TargetMode="External"/><Relationship Id="rId11" Type="http://schemas.openxmlformats.org/officeDocument/2006/relationships/image" Target="media/image5.png"/><Relationship Id="rId5" Type="http://schemas.openxmlformats.org/officeDocument/2006/relationships/hyperlink" Target="mailto:Andrew.West@Duke.edu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StyleName="MLA" SelectedStyle="/MLASeventhEditionOfficeOnline.xsl" Version="7">
  <b:Source>
    <b:Tag>source1</b:Tag>
    <b:SourceType>JournalArticle</b:SourceType>
    <b:Gdcea>{"AccessedType":"Website"}</b:Gdcea>
    <b:Author>
      <b:Author>
        <b:NameList>
          <b:Person>
            <b:First>ss</b:First>
          </b:Person>
        </b:NameList>
      </b:Author>
    </b:Author>
  </b:Source>
</b:Sources>
</file>

<file path=customXml/itemProps1.xml><?xml version="1.0" encoding="utf-8"?>
<ds:datastoreItem xmlns:ds="http://schemas.openxmlformats.org/officeDocument/2006/customXml" ds:itemID="{7B443105-6022-45C0-AECC-F011D8EF1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1297</Words>
  <Characters>7393</Characters>
  <Application>Microsoft Office Word</Application>
  <DocSecurity>0</DocSecurity>
  <Lines>61</Lines>
  <Paragraphs>17</Paragraphs>
  <ScaleCrop>false</ScaleCrop>
  <Company/>
  <LinksUpToDate>false</LinksUpToDate>
  <CharactersWithSpaces>8673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Andrew West</cp:lastModifiedBy>
  <cp:revision>3</cp:revision>
  <dcterms:created xsi:type="dcterms:W3CDTF">2022-05-31T14:10:00Z</dcterms:created>
  <dcterms:modified xsi:type="dcterms:W3CDTF">2022-07-06T19:37:00Z</dcterms:modified>
</cp:coreProperties>
</file>