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8C31E" w14:textId="6981F466" w:rsidR="00873E87" w:rsidRPr="00E91825" w:rsidRDefault="00873E87" w:rsidP="00873E87">
      <w:pPr>
        <w:spacing w:line="480" w:lineRule="auto"/>
        <w:rPr>
          <w:rFonts w:eastAsia="游明朝"/>
          <w:b/>
          <w:bCs/>
          <w:szCs w:val="22"/>
        </w:rPr>
      </w:pPr>
      <w:r w:rsidRPr="00E91825">
        <w:rPr>
          <w:rFonts w:eastAsia="游明朝"/>
          <w:b/>
          <w:bCs/>
          <w:szCs w:val="22"/>
        </w:rPr>
        <w:t>Supplementary Method</w:t>
      </w:r>
      <w:r w:rsidRPr="00E91825">
        <w:rPr>
          <w:rFonts w:eastAsia="游明朝"/>
          <w:b/>
          <w:bCs/>
          <w:szCs w:val="22"/>
        </w:rPr>
        <w:t>s</w:t>
      </w:r>
    </w:p>
    <w:p w14:paraId="0EE21A63" w14:textId="77777777" w:rsidR="00873E87" w:rsidRPr="00E91825" w:rsidRDefault="00873E87" w:rsidP="00873E87">
      <w:pPr>
        <w:spacing w:line="480" w:lineRule="auto"/>
        <w:rPr>
          <w:rFonts w:eastAsia="游明朝"/>
          <w:szCs w:val="22"/>
        </w:rPr>
      </w:pPr>
    </w:p>
    <w:p w14:paraId="131AFC31" w14:textId="77777777" w:rsidR="00873E87" w:rsidRPr="00E91825" w:rsidRDefault="00873E87" w:rsidP="00873E87">
      <w:pPr>
        <w:spacing w:line="480" w:lineRule="auto"/>
        <w:rPr>
          <w:b/>
          <w:bCs/>
        </w:rPr>
      </w:pPr>
      <w:r w:rsidRPr="00E91825">
        <w:rPr>
          <w:b/>
          <w:bCs/>
        </w:rPr>
        <w:t>Target amplicon sequencing</w:t>
      </w:r>
    </w:p>
    <w:p w14:paraId="0D49AE6F" w14:textId="426A4352" w:rsidR="00873E87" w:rsidRPr="00E91825" w:rsidRDefault="00873E87" w:rsidP="00873E87">
      <w:pPr>
        <w:spacing w:line="480" w:lineRule="auto"/>
      </w:pPr>
      <w:r w:rsidRPr="00E91825">
        <w:t xml:space="preserve">A biliary tract cancer (BTC)-associated gene panel (Ion </w:t>
      </w:r>
      <w:proofErr w:type="spellStart"/>
      <w:r w:rsidRPr="00E91825">
        <w:t>AmpliSeqTM</w:t>
      </w:r>
      <w:proofErr w:type="spellEnd"/>
      <w:r w:rsidRPr="00E91825">
        <w:t xml:space="preserve"> Custom DNA Panel) was designed using Ion </w:t>
      </w:r>
      <w:proofErr w:type="spellStart"/>
      <w:r w:rsidRPr="00E91825">
        <w:t>AmpliSeq</w:t>
      </w:r>
      <w:proofErr w:type="spellEnd"/>
      <w:r w:rsidRPr="00E91825">
        <w:t xml:space="preserve"> Designer 3.6, to analyze the sequences of coding DNA sequences +0 bp from the intronic flanking regions for 31 genes, namely </w:t>
      </w:r>
      <w:r w:rsidRPr="00E91825">
        <w:rPr>
          <w:i/>
          <w:iCs/>
        </w:rPr>
        <w:t>ACVR2A</w:t>
      </w:r>
      <w:r w:rsidRPr="00E91825">
        <w:t xml:space="preserve">, </w:t>
      </w:r>
      <w:r w:rsidRPr="00E91825">
        <w:rPr>
          <w:i/>
          <w:iCs/>
        </w:rPr>
        <w:t>APC</w:t>
      </w:r>
      <w:r w:rsidRPr="00E91825">
        <w:t xml:space="preserve">, </w:t>
      </w:r>
      <w:r w:rsidRPr="00E91825">
        <w:rPr>
          <w:i/>
          <w:iCs/>
        </w:rPr>
        <w:t>ARID1A</w:t>
      </w:r>
      <w:r w:rsidRPr="00E91825">
        <w:t xml:space="preserve">, </w:t>
      </w:r>
      <w:r w:rsidRPr="00E91825">
        <w:rPr>
          <w:i/>
          <w:iCs/>
        </w:rPr>
        <w:t>ARID2</w:t>
      </w:r>
      <w:r w:rsidRPr="00E91825">
        <w:t xml:space="preserve">, </w:t>
      </w:r>
      <w:r w:rsidRPr="00E91825">
        <w:rPr>
          <w:i/>
          <w:iCs/>
        </w:rPr>
        <w:t>BAP1</w:t>
      </w:r>
      <w:r w:rsidRPr="00E91825">
        <w:t xml:space="preserve">, </w:t>
      </w:r>
      <w:r w:rsidRPr="00E91825">
        <w:rPr>
          <w:i/>
          <w:iCs/>
        </w:rPr>
        <w:t>BRAF</w:t>
      </w:r>
      <w:r w:rsidRPr="00E91825">
        <w:t xml:space="preserve">, </w:t>
      </w:r>
      <w:r w:rsidRPr="00E91825">
        <w:rPr>
          <w:i/>
          <w:iCs/>
        </w:rPr>
        <w:t>CDKN2A</w:t>
      </w:r>
      <w:r w:rsidRPr="00E91825">
        <w:t xml:space="preserve">, </w:t>
      </w:r>
      <w:r w:rsidRPr="00E91825">
        <w:rPr>
          <w:i/>
          <w:iCs/>
        </w:rPr>
        <w:t>CTNNB1</w:t>
      </w:r>
      <w:r w:rsidRPr="00E91825">
        <w:t xml:space="preserve">, </w:t>
      </w:r>
      <w:r w:rsidRPr="00E91825">
        <w:rPr>
          <w:i/>
          <w:iCs/>
        </w:rPr>
        <w:t>EGFR</w:t>
      </w:r>
      <w:r w:rsidRPr="00E91825">
        <w:t xml:space="preserve">, </w:t>
      </w:r>
      <w:r w:rsidRPr="00E91825">
        <w:rPr>
          <w:i/>
          <w:iCs/>
        </w:rPr>
        <w:t>ELF3</w:t>
      </w:r>
      <w:r w:rsidRPr="00E91825">
        <w:t xml:space="preserve">, </w:t>
      </w:r>
      <w:r w:rsidRPr="00E91825">
        <w:rPr>
          <w:i/>
          <w:iCs/>
        </w:rPr>
        <w:t>EPHA6</w:t>
      </w:r>
      <w:r w:rsidRPr="00E91825">
        <w:t xml:space="preserve">, </w:t>
      </w:r>
      <w:r w:rsidRPr="00E91825">
        <w:rPr>
          <w:i/>
          <w:iCs/>
        </w:rPr>
        <w:t>ERBB2</w:t>
      </w:r>
      <w:r w:rsidRPr="00E91825">
        <w:t xml:space="preserve">, </w:t>
      </w:r>
      <w:r w:rsidRPr="00E91825">
        <w:rPr>
          <w:i/>
          <w:iCs/>
        </w:rPr>
        <w:t>ERBB3</w:t>
      </w:r>
      <w:r w:rsidRPr="00E91825">
        <w:t xml:space="preserve">, </w:t>
      </w:r>
      <w:r w:rsidRPr="00E91825">
        <w:rPr>
          <w:i/>
          <w:iCs/>
        </w:rPr>
        <w:t>FBXW7</w:t>
      </w:r>
      <w:r w:rsidRPr="00E91825">
        <w:t xml:space="preserve">, </w:t>
      </w:r>
      <w:r w:rsidRPr="00E91825">
        <w:rPr>
          <w:i/>
          <w:iCs/>
        </w:rPr>
        <w:t>GNAS</w:t>
      </w:r>
      <w:r w:rsidRPr="00E91825">
        <w:t xml:space="preserve">, </w:t>
      </w:r>
      <w:r w:rsidRPr="00E91825">
        <w:rPr>
          <w:i/>
          <w:iCs/>
        </w:rPr>
        <w:t>IDH1</w:t>
      </w:r>
      <w:r w:rsidRPr="00E91825">
        <w:t xml:space="preserve">, </w:t>
      </w:r>
      <w:r w:rsidRPr="00E91825">
        <w:rPr>
          <w:i/>
          <w:iCs/>
        </w:rPr>
        <w:t>KMT2C</w:t>
      </w:r>
      <w:r w:rsidRPr="00E91825">
        <w:t xml:space="preserve">, </w:t>
      </w:r>
      <w:r w:rsidRPr="00E91825">
        <w:rPr>
          <w:i/>
          <w:iCs/>
        </w:rPr>
        <w:t>KMT2D</w:t>
      </w:r>
      <w:r w:rsidRPr="00E91825">
        <w:t>,</w:t>
      </w:r>
      <w:r w:rsidRPr="00E91825">
        <w:rPr>
          <w:i/>
          <w:iCs/>
        </w:rPr>
        <w:t xml:space="preserve"> KRAS</w:t>
      </w:r>
      <w:r w:rsidRPr="00E91825">
        <w:t xml:space="preserve">, </w:t>
      </w:r>
      <w:r w:rsidRPr="00E91825">
        <w:rPr>
          <w:i/>
          <w:iCs/>
        </w:rPr>
        <w:t>NF1</w:t>
      </w:r>
      <w:r w:rsidRPr="00E91825">
        <w:t xml:space="preserve">, </w:t>
      </w:r>
      <w:r w:rsidRPr="00E91825">
        <w:rPr>
          <w:i/>
          <w:iCs/>
        </w:rPr>
        <w:t>PBRM1</w:t>
      </w:r>
      <w:r w:rsidRPr="00E91825">
        <w:t xml:space="preserve">, </w:t>
      </w:r>
      <w:r w:rsidRPr="00E91825">
        <w:rPr>
          <w:i/>
          <w:iCs/>
        </w:rPr>
        <w:t>PIK3CA</w:t>
      </w:r>
      <w:r w:rsidRPr="00E91825">
        <w:t xml:space="preserve">, </w:t>
      </w:r>
      <w:r w:rsidRPr="00E91825">
        <w:rPr>
          <w:i/>
          <w:iCs/>
        </w:rPr>
        <w:t>PTEN</w:t>
      </w:r>
      <w:r w:rsidRPr="00E91825">
        <w:t xml:space="preserve">, </w:t>
      </w:r>
      <w:r w:rsidRPr="00E91825">
        <w:rPr>
          <w:i/>
          <w:iCs/>
        </w:rPr>
        <w:t>RNF43</w:t>
      </w:r>
      <w:r w:rsidRPr="00E91825">
        <w:t>,</w:t>
      </w:r>
      <w:r w:rsidRPr="00E91825">
        <w:rPr>
          <w:i/>
          <w:iCs/>
        </w:rPr>
        <w:t xml:space="preserve"> SMAD4</w:t>
      </w:r>
      <w:r w:rsidRPr="00E91825">
        <w:t xml:space="preserve">, </w:t>
      </w:r>
      <w:r w:rsidRPr="00E91825">
        <w:rPr>
          <w:i/>
          <w:iCs/>
        </w:rPr>
        <w:t>SOX9</w:t>
      </w:r>
      <w:r w:rsidRPr="00E91825">
        <w:t xml:space="preserve">, </w:t>
      </w:r>
      <w:r w:rsidRPr="00E91825">
        <w:rPr>
          <w:i/>
          <w:iCs/>
        </w:rPr>
        <w:t>STK11</w:t>
      </w:r>
      <w:r w:rsidRPr="00E91825">
        <w:t xml:space="preserve">, </w:t>
      </w:r>
      <w:r w:rsidRPr="00E91825">
        <w:rPr>
          <w:i/>
          <w:iCs/>
        </w:rPr>
        <w:t>TGFBR1</w:t>
      </w:r>
      <w:r w:rsidRPr="00E91825">
        <w:t xml:space="preserve">, </w:t>
      </w:r>
      <w:r w:rsidRPr="00E91825">
        <w:rPr>
          <w:i/>
          <w:iCs/>
        </w:rPr>
        <w:t>TGFBR2</w:t>
      </w:r>
      <w:r w:rsidRPr="00E91825">
        <w:t xml:space="preserve">, </w:t>
      </w:r>
      <w:r w:rsidRPr="00E91825">
        <w:rPr>
          <w:i/>
          <w:iCs/>
        </w:rPr>
        <w:t>TP53</w:t>
      </w:r>
      <w:r w:rsidRPr="00E91825">
        <w:t xml:space="preserve">, and </w:t>
      </w:r>
      <w:r w:rsidRPr="00E91825">
        <w:rPr>
          <w:i/>
          <w:iCs/>
        </w:rPr>
        <w:t>WNT5B</w:t>
      </w:r>
      <w:r w:rsidRPr="00E91825">
        <w:t>. The customized panel consisted of 1,847 amplicons divided into 2 primer pools totaling 164.6 kb of DNA and covered 98.2% of the regions of interest</w:t>
      </w:r>
      <w:r w:rsidRPr="00E91825">
        <w:t xml:space="preserve"> as previously described </w:t>
      </w:r>
      <w:r w:rsidR="00E91825" w:rsidRPr="00E91825">
        <w:t>[</w:t>
      </w:r>
      <w:r w:rsidR="00E91825" w:rsidRPr="00E91825">
        <w:t>1</w:t>
      </w:r>
      <w:r w:rsidR="00E91825" w:rsidRPr="00E91825">
        <w:t>]</w:t>
      </w:r>
      <w:r w:rsidRPr="00E91825">
        <w:t xml:space="preserve">. DNA (100 ng) was amplified using this panel, and a sequencing library was prepared </w:t>
      </w:r>
      <w:r w:rsidRPr="00E91825">
        <w:rPr>
          <w:rFonts w:eastAsia="游明朝"/>
          <w:color w:val="000000"/>
        </w:rPr>
        <w:t>using Ion </w:t>
      </w:r>
      <w:proofErr w:type="spellStart"/>
      <w:r w:rsidRPr="00E91825">
        <w:rPr>
          <w:rFonts w:eastAsia="游明朝"/>
          <w:color w:val="000000"/>
        </w:rPr>
        <w:t>AmpliSeq</w:t>
      </w:r>
      <w:proofErr w:type="spellEnd"/>
      <w:r w:rsidRPr="00E91825">
        <w:rPr>
          <w:rFonts w:eastAsia="游明朝"/>
          <w:color w:val="000000"/>
        </w:rPr>
        <w:t> Library Kit Plus kit (</w:t>
      </w:r>
      <w:proofErr w:type="spellStart"/>
      <w:r w:rsidRPr="00E91825">
        <w:rPr>
          <w:rFonts w:eastAsia="游明朝"/>
          <w:color w:val="000000"/>
        </w:rPr>
        <w:t>Thermo</w:t>
      </w:r>
      <w:proofErr w:type="spellEnd"/>
      <w:r w:rsidRPr="00E91825">
        <w:rPr>
          <w:rFonts w:eastAsia="游明朝"/>
          <w:color w:val="000000"/>
        </w:rPr>
        <w:t xml:space="preserve"> Fisher Scientific</w:t>
      </w:r>
      <w:r w:rsidRPr="00E91825">
        <w:t>, Waltham, MA, USA</w:t>
      </w:r>
      <w:r w:rsidRPr="00E91825">
        <w:rPr>
          <w:rFonts w:eastAsia="游明朝"/>
          <w:color w:val="000000"/>
        </w:rPr>
        <w:t>)</w:t>
      </w:r>
      <w:r w:rsidRPr="00E91825">
        <w:t xml:space="preserve">. Sequencing and data analyses were performed using the Ion S5 </w:t>
      </w:r>
      <w:proofErr w:type="spellStart"/>
      <w:r w:rsidRPr="00E91825">
        <w:t>GeneStudio</w:t>
      </w:r>
      <w:proofErr w:type="spellEnd"/>
      <w:r w:rsidRPr="00E91825">
        <w:t xml:space="preserve"> system (</w:t>
      </w:r>
      <w:proofErr w:type="spellStart"/>
      <w:r w:rsidRPr="00E91825">
        <w:t>Thermo</w:t>
      </w:r>
      <w:proofErr w:type="spellEnd"/>
      <w:r w:rsidRPr="00E91825">
        <w:t xml:space="preserve"> Fisher Scientific).</w:t>
      </w:r>
    </w:p>
    <w:p w14:paraId="5EB58880" w14:textId="77777777" w:rsidR="00873E87" w:rsidRPr="00E91825" w:rsidRDefault="00873E87" w:rsidP="00873E87">
      <w:pPr>
        <w:spacing w:line="480" w:lineRule="auto"/>
      </w:pPr>
    </w:p>
    <w:p w14:paraId="75428ED5" w14:textId="77777777" w:rsidR="00873E87" w:rsidRPr="00E91825" w:rsidRDefault="00873E87" w:rsidP="00873E87">
      <w:pPr>
        <w:spacing w:line="480" w:lineRule="auto"/>
        <w:rPr>
          <w:rFonts w:eastAsia="游明朝"/>
          <w:color w:val="000000"/>
        </w:rPr>
      </w:pPr>
      <w:r w:rsidRPr="00E91825">
        <w:rPr>
          <w:rFonts w:eastAsia="游明朝"/>
          <w:color w:val="000000"/>
        </w:rPr>
        <w:t xml:space="preserve">Sequenced reads were demultiplexed, quality-filtered, and aligned to the human reference genome (GRCh37) by Torrent Suite software package (ver. 5.12.1; </w:t>
      </w:r>
      <w:proofErr w:type="spellStart"/>
      <w:r w:rsidRPr="00E91825">
        <w:rPr>
          <w:rFonts w:eastAsia="游明朝"/>
          <w:color w:val="000000"/>
        </w:rPr>
        <w:t>Thermo</w:t>
      </w:r>
      <w:proofErr w:type="spellEnd"/>
      <w:r w:rsidRPr="00E91825">
        <w:rPr>
          <w:rFonts w:eastAsia="游明朝"/>
          <w:color w:val="000000"/>
        </w:rPr>
        <w:t xml:space="preserve"> Fisher Scientific). The mapping module (Torrent Mapping Alignment Program) is a sequence alignment software </w:t>
      </w:r>
      <w:r w:rsidRPr="00E91825">
        <w:rPr>
          <w:rFonts w:eastAsia="游明朝"/>
          <w:color w:val="000000"/>
        </w:rPr>
        <w:lastRenderedPageBreak/>
        <w:t xml:space="preserve">program optimized specifically for Ion Torrent data and includes several mapping algorithms, each with its own best application. Mapping was completed with its default parameter values. Variants were identified using the Variant Caller plugin (ver. 5.12.0.4; </w:t>
      </w:r>
      <w:proofErr w:type="spellStart"/>
      <w:r w:rsidRPr="00E91825">
        <w:rPr>
          <w:rFonts w:eastAsia="游明朝"/>
          <w:color w:val="000000"/>
        </w:rPr>
        <w:t>Thermo</w:t>
      </w:r>
      <w:proofErr w:type="spellEnd"/>
      <w:r w:rsidRPr="00E91825">
        <w:rPr>
          <w:rFonts w:eastAsia="游明朝"/>
          <w:color w:val="000000"/>
        </w:rPr>
        <w:t xml:space="preserve"> Fisher Scientific) included in the Torrent Suite Package, which is optimized to exploit the underlying flow signal information. Variant calling analysis was completed using the somatic variant calling mode, which is optimized to detect low-frequency variants. The parameters were set as follows: minimum allele frequency, 0.02; minimum coverage, 40. To identify somatic mutations, independent genotyping results for both tumor and normal (duodenum or liver) samples were subtracted, and variants found in normal samples were excluded from the molecular profiling. Putative false-negative variants were excluded by analyzing the </w:t>
      </w:r>
      <w:proofErr w:type="spellStart"/>
      <w:r w:rsidRPr="00E91825">
        <w:rPr>
          <w:rFonts w:eastAsia="游明朝"/>
          <w:color w:val="000000"/>
        </w:rPr>
        <w:t>Phred</w:t>
      </w:r>
      <w:proofErr w:type="spellEnd"/>
      <w:r w:rsidRPr="00E91825">
        <w:rPr>
          <w:rFonts w:eastAsia="游明朝"/>
          <w:color w:val="000000"/>
        </w:rPr>
        <w:t xml:space="preserve">-scaled quality score calculated by this plugin. Generated </w:t>
      </w:r>
      <w:proofErr w:type="spellStart"/>
      <w:r w:rsidRPr="00E91825">
        <w:rPr>
          <w:rFonts w:eastAsia="游明朝"/>
          <w:color w:val="000000"/>
        </w:rPr>
        <w:t>vcf</w:t>
      </w:r>
      <w:proofErr w:type="spellEnd"/>
      <w:r w:rsidRPr="00E91825">
        <w:rPr>
          <w:rFonts w:eastAsia="游明朝"/>
          <w:color w:val="000000"/>
        </w:rPr>
        <w:t xml:space="preserve"> files were also used for annotation using </w:t>
      </w:r>
      <w:proofErr w:type="spellStart"/>
      <w:r w:rsidRPr="00E91825">
        <w:rPr>
          <w:rFonts w:eastAsia="游明朝"/>
          <w:color w:val="000000"/>
        </w:rPr>
        <w:t>wANNOVAR</w:t>
      </w:r>
      <w:proofErr w:type="spellEnd"/>
      <w:r w:rsidRPr="00E91825">
        <w:rPr>
          <w:rFonts w:eastAsia="游明朝"/>
          <w:color w:val="000000"/>
        </w:rPr>
        <w:t xml:space="preserve"> (</w:t>
      </w:r>
      <w:hyperlink r:id="rId4" w:history="1">
        <w:r w:rsidRPr="00E91825">
          <w:rPr>
            <w:rFonts w:eastAsia="游明朝"/>
            <w:color w:val="000000"/>
            <w:u w:val="single"/>
          </w:rPr>
          <w:t>http://wannovar.wglab.org)</w:t>
        </w:r>
      </w:hyperlink>
      <w:r w:rsidRPr="00E91825">
        <w:rPr>
          <w:rFonts w:eastAsia="游明朝"/>
          <w:color w:val="000000"/>
        </w:rPr>
        <w:t xml:space="preserve">. The including criteria were as follows: genotype quality ≥100, quality by depth ≥1, and allele frequency ≥0.05. Alignment of all somatic mutations was manually confirmed by IGV software (version 2.8.2; </w:t>
      </w:r>
      <w:hyperlink r:id="rId5" w:history="1">
        <w:r w:rsidRPr="00E91825">
          <w:rPr>
            <w:rFonts w:eastAsia="游明朝"/>
            <w:color w:val="000000"/>
            <w:u w:val="single"/>
          </w:rPr>
          <w:t>http://software.broadinstitute.org/software/igv/</w:t>
        </w:r>
      </w:hyperlink>
      <w:r w:rsidRPr="00E91825">
        <w:rPr>
          <w:rFonts w:eastAsia="游明朝"/>
          <w:color w:val="000000"/>
        </w:rPr>
        <w:t xml:space="preserve">). </w:t>
      </w:r>
    </w:p>
    <w:p w14:paraId="156E76A5" w14:textId="77777777" w:rsidR="00873E87" w:rsidRPr="00E91825" w:rsidRDefault="00873E87" w:rsidP="00873E87">
      <w:pPr>
        <w:spacing w:line="480" w:lineRule="auto"/>
        <w:rPr>
          <w:rFonts w:eastAsia="游明朝"/>
          <w:color w:val="000000"/>
        </w:rPr>
      </w:pPr>
    </w:p>
    <w:p w14:paraId="49CA55C2" w14:textId="77777777" w:rsidR="00873E87" w:rsidRPr="00E91825" w:rsidRDefault="00873E87" w:rsidP="00873E87">
      <w:pPr>
        <w:spacing w:line="480" w:lineRule="auto"/>
        <w:rPr>
          <w:rFonts w:eastAsia="游明朝"/>
          <w:color w:val="000000"/>
        </w:rPr>
      </w:pPr>
      <w:r w:rsidRPr="00E91825">
        <w:rPr>
          <w:rFonts w:eastAsia="游明朝"/>
          <w:color w:val="000000"/>
        </w:rPr>
        <w:t>For variants, consisting of novel exonic non-synonymous and frameshift variants, as well as intronic splicing variants, the COSMIC (</w:t>
      </w:r>
      <w:hyperlink r:id="rId6" w:history="1">
        <w:r w:rsidRPr="00E91825">
          <w:rPr>
            <w:rFonts w:eastAsia="游明朝"/>
            <w:color w:val="000000"/>
            <w:u w:val="single"/>
          </w:rPr>
          <w:t>http://cancer.sanger.ac.uk/cosmic</w:t>
        </w:r>
      </w:hyperlink>
      <w:r w:rsidRPr="00E91825">
        <w:rPr>
          <w:rFonts w:eastAsia="游明朝"/>
          <w:color w:val="000000"/>
        </w:rPr>
        <w:t xml:space="preserve">) and </w:t>
      </w:r>
      <w:proofErr w:type="spellStart"/>
      <w:r w:rsidRPr="00E91825">
        <w:rPr>
          <w:rFonts w:eastAsia="游明朝"/>
          <w:color w:val="000000"/>
        </w:rPr>
        <w:t>ClinVar</w:t>
      </w:r>
      <w:proofErr w:type="spellEnd"/>
      <w:r w:rsidRPr="00E91825">
        <w:rPr>
          <w:rFonts w:eastAsia="游明朝"/>
          <w:color w:val="000000"/>
        </w:rPr>
        <w:t xml:space="preserve"> </w:t>
      </w:r>
      <w:r w:rsidRPr="00E91825">
        <w:rPr>
          <w:rFonts w:eastAsia="游明朝"/>
          <w:color w:val="000000"/>
        </w:rPr>
        <w:lastRenderedPageBreak/>
        <w:t>database (</w:t>
      </w:r>
      <w:hyperlink r:id="rId7" w:history="1">
        <w:r w:rsidRPr="00E91825">
          <w:rPr>
            <w:rFonts w:eastAsia="游明朝"/>
            <w:color w:val="000000"/>
            <w:u w:val="single"/>
          </w:rPr>
          <w:t>https://www.ncbi.nlm.nih.gov/clinvar/</w:t>
        </w:r>
      </w:hyperlink>
      <w:r w:rsidRPr="00E91825">
        <w:rPr>
          <w:rFonts w:eastAsia="游明朝"/>
          <w:color w:val="000000"/>
        </w:rPr>
        <w:t>) was consulted for the classification as either pathogenic or variant of unknown significance. Prediction of the functional effect of amino acid substitutions and indels was calculated using PROVEAN (</w:t>
      </w:r>
      <w:hyperlink r:id="rId8" w:history="1">
        <w:r w:rsidRPr="00E91825">
          <w:rPr>
            <w:rFonts w:eastAsia="游明朝"/>
            <w:color w:val="000000"/>
            <w:u w:val="single"/>
          </w:rPr>
          <w:t>http://provean.jcvi.org/index.php</w:t>
        </w:r>
      </w:hyperlink>
      <w:r w:rsidRPr="00E91825">
        <w:rPr>
          <w:rFonts w:eastAsia="游明朝"/>
          <w:color w:val="000000"/>
        </w:rPr>
        <w:t xml:space="preserve">) </w:t>
      </w:r>
      <w:r w:rsidRPr="00E91825">
        <w:rPr>
          <w:rFonts w:eastAsia="游明朝"/>
          <w:noProof/>
          <w:color w:val="000000"/>
        </w:rPr>
        <w:t>and/or</w:t>
      </w:r>
      <w:r w:rsidRPr="00E91825">
        <w:rPr>
          <w:rFonts w:eastAsia="游明朝"/>
          <w:color w:val="000000"/>
        </w:rPr>
        <w:t xml:space="preserve"> SIFT (</w:t>
      </w:r>
      <w:hyperlink r:id="rId9" w:history="1">
        <w:r w:rsidRPr="00E91825">
          <w:rPr>
            <w:rFonts w:eastAsia="游明朝"/>
            <w:color w:val="000000"/>
            <w:u w:val="single"/>
          </w:rPr>
          <w:t>http://sift.jcvi.org</w:t>
        </w:r>
      </w:hyperlink>
      <w:r w:rsidRPr="00E91825">
        <w:rPr>
          <w:rFonts w:eastAsia="游明朝"/>
          <w:color w:val="000000"/>
        </w:rPr>
        <w:t>).</w:t>
      </w:r>
    </w:p>
    <w:p w14:paraId="7248C7B1" w14:textId="77777777" w:rsidR="00873E87" w:rsidRPr="00E91825" w:rsidRDefault="00873E87" w:rsidP="00873E87">
      <w:pPr>
        <w:spacing w:line="480" w:lineRule="auto"/>
        <w:rPr>
          <w:rFonts w:eastAsia="游明朝"/>
          <w:color w:val="000000"/>
        </w:rPr>
      </w:pPr>
    </w:p>
    <w:p w14:paraId="6D21D7CB" w14:textId="77777777" w:rsidR="00873E87" w:rsidRPr="00E91825" w:rsidRDefault="00873E87" w:rsidP="00873E87">
      <w:pPr>
        <w:spacing w:line="480" w:lineRule="auto"/>
        <w:rPr>
          <w:rFonts w:eastAsia="游明朝"/>
          <w:b/>
          <w:bCs/>
          <w:color w:val="000000"/>
        </w:rPr>
      </w:pPr>
      <w:r w:rsidRPr="00E91825">
        <w:rPr>
          <w:rFonts w:eastAsia="游明朝"/>
          <w:b/>
          <w:bCs/>
          <w:color w:val="000000"/>
        </w:rPr>
        <w:t>Copy number analysis</w:t>
      </w:r>
    </w:p>
    <w:p w14:paraId="466088BF" w14:textId="0799A282" w:rsidR="00873E87" w:rsidRPr="00E91825" w:rsidRDefault="00873E87" w:rsidP="00873E87">
      <w:pPr>
        <w:spacing w:line="480" w:lineRule="auto"/>
      </w:pPr>
      <w:r w:rsidRPr="00E91825">
        <w:t>We undertook an assessment of copy number alteration (CNA) detection in sequencing data generated from the amplicon-based libraries. First, the read counts of each amplicon were scaled with the total number of mapped reads for each primer pool of multiplex PCR of each sample, using a formula known as reads per million mapped reads (RPM). Logarithmic transformation of RPM+1 with base 2, and then GC bias was corrected as described [</w:t>
      </w:r>
      <w:r w:rsidR="00E91825" w:rsidRPr="00E91825">
        <w:t>2</w:t>
      </w:r>
      <w:r w:rsidRPr="00E91825">
        <w:t xml:space="preserve">], except that the correction was carried out in the logarithmic axis, and the smoothness parameter of span=0.7 was provided using the &lt;loess&gt; function of R (version 3.4.2; The R Foundation). After the normalized logarithmic values were reverse transformed into the copy number ratio axis, the distribution parameters of the control sample set, comprising 40 samples from histologically normal tissues (duodenum or liver) for formalin-fixed paraffin-embedded samples, were calculated for evaluating the statistical significance of CNA for each region; the control sample average and the standard deviation of the sum of each five neighboring amplicons within a gene. </w:t>
      </w:r>
      <w:r w:rsidRPr="00E91825">
        <w:lastRenderedPageBreak/>
        <w:t xml:space="preserve">Using the sample average and the sample standard deviation in the control set as distribution parameters, we supposed a normal distribution and calculated the p-value, as the possibility of observing a deviation equals to or greater than a given value. We primarily focused on high losses (deep deletion) of tumor suppressor genes; CNAs are called when passing the significance threshold of p-value &lt; 0.000152, where </w:t>
      </w:r>
      <w:proofErr w:type="spellStart"/>
      <w:r w:rsidRPr="00E91825">
        <w:t>Bonferoni</w:t>
      </w:r>
      <w:proofErr w:type="spellEnd"/>
      <w:r w:rsidRPr="00E91825">
        <w:t xml:space="preserve"> correction was applied to the threshold value (=0.05/329).</w:t>
      </w:r>
    </w:p>
    <w:p w14:paraId="006AE6ED" w14:textId="77777777" w:rsidR="00873E87" w:rsidRPr="00E91825" w:rsidRDefault="00873E87" w:rsidP="00873E87">
      <w:pPr>
        <w:spacing w:line="480" w:lineRule="auto"/>
      </w:pPr>
    </w:p>
    <w:p w14:paraId="2029B5EA" w14:textId="686623C1" w:rsidR="00873E87" w:rsidRPr="00E91825" w:rsidRDefault="00873E87" w:rsidP="00873E87">
      <w:pPr>
        <w:spacing w:line="480" w:lineRule="auto"/>
        <w:rPr>
          <w:b/>
          <w:bCs/>
        </w:rPr>
      </w:pPr>
      <w:r w:rsidRPr="00E91825">
        <w:rPr>
          <w:b/>
          <w:bCs/>
        </w:rPr>
        <w:t>Supplementary Reference</w:t>
      </w:r>
    </w:p>
    <w:p w14:paraId="31769F6C" w14:textId="3C8242B0" w:rsidR="00E91825" w:rsidRPr="00E91825" w:rsidRDefault="00E91825" w:rsidP="00873E87">
      <w:pPr>
        <w:spacing w:line="480" w:lineRule="auto"/>
      </w:pPr>
      <w:r w:rsidRPr="00E91825">
        <w:t xml:space="preserve">1. </w:t>
      </w:r>
      <w:r w:rsidRPr="00E91825">
        <w:t xml:space="preserve">Aoki Y, </w:t>
      </w:r>
      <w:proofErr w:type="spellStart"/>
      <w:r w:rsidRPr="00E91825">
        <w:t>Mizuma</w:t>
      </w:r>
      <w:proofErr w:type="spellEnd"/>
      <w:r w:rsidRPr="00E91825">
        <w:t xml:space="preserve"> M, </w:t>
      </w:r>
      <w:proofErr w:type="spellStart"/>
      <w:r w:rsidRPr="00E91825">
        <w:t>Hata</w:t>
      </w:r>
      <w:proofErr w:type="spellEnd"/>
      <w:r w:rsidRPr="00E91825">
        <w:t xml:space="preserve"> T, Aoki T, Omori Y, Ono Y, </w:t>
      </w:r>
      <w:r w:rsidRPr="00E91825">
        <w:t xml:space="preserve">et al. </w:t>
      </w:r>
      <w:r w:rsidRPr="00E91825">
        <w:t xml:space="preserve">Intraductal papillary neoplasms of the bile duct consist of two distinct types specifically associated with clinicopathological features and molecular phenotypes. </w:t>
      </w:r>
      <w:r w:rsidRPr="00E91825">
        <w:rPr>
          <w:i/>
          <w:iCs/>
        </w:rPr>
        <w:t xml:space="preserve">J </w:t>
      </w:r>
      <w:proofErr w:type="spellStart"/>
      <w:r w:rsidRPr="00E91825">
        <w:rPr>
          <w:i/>
          <w:iCs/>
        </w:rPr>
        <w:t>Pathol</w:t>
      </w:r>
      <w:proofErr w:type="spellEnd"/>
      <w:r w:rsidRPr="00E91825">
        <w:rPr>
          <w:i/>
          <w:iCs/>
        </w:rPr>
        <w:t xml:space="preserve"> </w:t>
      </w:r>
      <w:r w:rsidRPr="00E91825">
        <w:rPr>
          <w:b/>
          <w:bCs/>
        </w:rPr>
        <w:t>251</w:t>
      </w:r>
      <w:r w:rsidRPr="00E91825">
        <w:t xml:space="preserve">, </w:t>
      </w:r>
      <w:r w:rsidRPr="00E91825">
        <w:t>38-48</w:t>
      </w:r>
      <w:r w:rsidRPr="00E91825">
        <w:t>(2020)</w:t>
      </w:r>
      <w:r w:rsidRPr="00E91825">
        <w:t xml:space="preserve">. </w:t>
      </w:r>
    </w:p>
    <w:p w14:paraId="7B34A51A" w14:textId="2F7AD120" w:rsidR="00873E87" w:rsidRPr="00E91825" w:rsidRDefault="00E91825" w:rsidP="00873E87">
      <w:pPr>
        <w:spacing w:line="480" w:lineRule="auto"/>
      </w:pPr>
      <w:r w:rsidRPr="00E91825">
        <w:t>2</w:t>
      </w:r>
      <w:r w:rsidR="00873E87" w:rsidRPr="00E91825">
        <w:t xml:space="preserve">. </w:t>
      </w:r>
      <w:proofErr w:type="spellStart"/>
      <w:r w:rsidR="00873E87" w:rsidRPr="00E91825">
        <w:t>Benjamini</w:t>
      </w:r>
      <w:proofErr w:type="spellEnd"/>
      <w:r w:rsidR="00873E87" w:rsidRPr="00E91825">
        <w:t xml:space="preserve"> Y, Speed TP. Summarizing and correcting the GC content bias in high-throughput sequencing. </w:t>
      </w:r>
      <w:r w:rsidR="00873E87" w:rsidRPr="00E91825">
        <w:rPr>
          <w:i/>
          <w:iCs/>
        </w:rPr>
        <w:t>Nucleic Acids Res</w:t>
      </w:r>
      <w:r w:rsidR="00873E87" w:rsidRPr="00E91825">
        <w:t xml:space="preserve"> </w:t>
      </w:r>
      <w:r w:rsidR="00873E87" w:rsidRPr="00E91825">
        <w:rPr>
          <w:b/>
          <w:bCs/>
        </w:rPr>
        <w:t>40</w:t>
      </w:r>
      <w:r w:rsidR="00873E87" w:rsidRPr="00E91825">
        <w:t>: e72</w:t>
      </w:r>
      <w:r w:rsidRPr="00E91825">
        <w:t>(2012).</w:t>
      </w:r>
    </w:p>
    <w:p w14:paraId="1F214DD8" w14:textId="15B5922B" w:rsidR="00E91825" w:rsidRPr="00E91825" w:rsidRDefault="00E91825"/>
    <w:sectPr w:rsidR="00E91825" w:rsidRPr="00E91825">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87"/>
    <w:rsid w:val="00057D38"/>
    <w:rsid w:val="00873E87"/>
    <w:rsid w:val="00E918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E861EEB"/>
  <w15:chartTrackingRefBased/>
  <w15:docId w15:val="{7E10F868-FB3E-45CE-947F-7D4C9E1BC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3E87"/>
    <w:rPr>
      <w:rFonts w:ascii="Times New Roman" w:hAnsi="Times New Roman" w:cs="Times New Roman"/>
      <w:color w:val="000000" w:themeColor="text1"/>
      <w:kern w:val="0"/>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vean.jcvi.org/index.php" TargetMode="External"/><Relationship Id="rId3" Type="http://schemas.openxmlformats.org/officeDocument/2006/relationships/webSettings" Target="webSettings.xml"/><Relationship Id="rId7" Type="http://schemas.openxmlformats.org/officeDocument/2006/relationships/hyperlink" Target="https://www.ncbi.nlm.nih.gov/clinva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ancer.sanger.ac.uk/cosmic" TargetMode="External"/><Relationship Id="rId11" Type="http://schemas.openxmlformats.org/officeDocument/2006/relationships/theme" Target="theme/theme1.xml"/><Relationship Id="rId5" Type="http://schemas.openxmlformats.org/officeDocument/2006/relationships/hyperlink" Target="http://software.broadinstitute.org/software/igv/" TargetMode="External"/><Relationship Id="rId10" Type="http://schemas.openxmlformats.org/officeDocument/2006/relationships/fontTable" Target="fontTable.xml"/><Relationship Id="rId4" Type="http://schemas.openxmlformats.org/officeDocument/2006/relationships/hyperlink" Target="http://wannovar.wglab.org)a" TargetMode="External"/><Relationship Id="rId9" Type="http://schemas.openxmlformats.org/officeDocument/2006/relationships/hyperlink" Target="http://sift.jcvi.org"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798</Words>
  <Characters>4549</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OMORI YUKO</dc:creator>
  <cp:keywords/>
  <dc:description/>
  <cp:lastModifiedBy>OMORI YUKO</cp:lastModifiedBy>
  <cp:revision>1</cp:revision>
  <dcterms:created xsi:type="dcterms:W3CDTF">2022-05-29T06:26:00Z</dcterms:created>
  <dcterms:modified xsi:type="dcterms:W3CDTF">2022-05-29T06:36:00Z</dcterms:modified>
</cp:coreProperties>
</file>