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33BA9" w14:textId="77777777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b/>
          <w:bCs/>
          <w:sz w:val="28"/>
          <w:szCs w:val="28"/>
          <w:lang w:bidi="fa-IR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fa-IR"/>
        </w:rPr>
        <w:t>Appendix:</w:t>
      </w:r>
    </w:p>
    <w:p w14:paraId="5A64B27C" w14:textId="77777777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b/>
          <w:bCs/>
          <w:sz w:val="28"/>
          <w:szCs w:val="28"/>
          <w:rtl/>
          <w:lang w:bidi="fa-IR"/>
        </w:rPr>
      </w:pPr>
    </w:p>
    <w:p w14:paraId="6420350F" w14:textId="3ADBAABB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</w:rPr>
        <w:t xml:space="preserve">Table </w:t>
      </w:r>
      <w:r w:rsidR="00B11305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>1. Database Search Strategies.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326"/>
        <w:gridCol w:w="1231"/>
        <w:gridCol w:w="7793"/>
      </w:tblGrid>
      <w:tr w:rsidR="0012715C" w14:paraId="5AA847C3" w14:textId="77777777" w:rsidTr="0012715C"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05D83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034FF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</w:rPr>
              <w:t>Databases/ search engine</w:t>
            </w:r>
          </w:p>
        </w:tc>
        <w:tc>
          <w:tcPr>
            <w:tcW w:w="4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DDC46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lang w:bidi="fa-IR"/>
              </w:rPr>
              <w:t>Search strategy</w:t>
            </w:r>
          </w:p>
        </w:tc>
      </w:tr>
      <w:tr w:rsidR="0012715C" w14:paraId="6796772B" w14:textId="77777777" w:rsidTr="0012715C"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5F7FC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lang w:bidi="fa-IR"/>
              </w:rPr>
              <w:t>1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7207E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Google scholar</w:t>
            </w:r>
          </w:p>
        </w:tc>
        <w:tc>
          <w:tcPr>
            <w:tcW w:w="4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401E" w14:textId="77777777" w:rsidR="0012715C" w:rsidRDefault="0012715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(“end stage renal disease” OR “end stage kidney disease” OR ESRD OR ESKD OR dialysis) AND (payment OR reimbursement OR financing OR "pay for performance")</w:t>
            </w:r>
          </w:p>
        </w:tc>
      </w:tr>
      <w:tr w:rsidR="0012715C" w14:paraId="5E6226B0" w14:textId="77777777" w:rsidTr="0012715C"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69646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lang w:bidi="fa-IR"/>
              </w:rPr>
              <w:t>2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FB341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PubMed</w:t>
            </w:r>
          </w:p>
        </w:tc>
        <w:tc>
          <w:tcPr>
            <w:tcW w:w="4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C8473" w14:textId="77777777" w:rsidR="0012715C" w:rsidRDefault="0012715C">
            <w:pPr>
              <w:tabs>
                <w:tab w:val="left" w:pos="5956"/>
              </w:tabs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val="en"/>
              </w:rPr>
              <w:t>("end stage renal disease"[tiab] OR "end stage kidney disease"[ tiab] OR esrd[tiab] OR eskd[tiab] OR dialysis[tiab]) AND (payment[tiab] OR reimbursement[tiab] OR financing[tiab] OR "pay for performance"[ tiab])</w:t>
            </w:r>
          </w:p>
        </w:tc>
      </w:tr>
      <w:tr w:rsidR="0012715C" w14:paraId="021535CF" w14:textId="77777777" w:rsidTr="0012715C"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311F7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lang w:bidi="fa-IR"/>
              </w:rPr>
              <w:t>3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51D61" w14:textId="77777777" w:rsidR="0012715C" w:rsidRDefault="0012715C">
            <w:pPr>
              <w:spacing w:line="276" w:lineRule="auto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Scopus</w:t>
            </w:r>
          </w:p>
        </w:tc>
        <w:tc>
          <w:tcPr>
            <w:tcW w:w="4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4D467" w14:textId="77777777" w:rsidR="0012715C" w:rsidRDefault="0012715C">
            <w:pPr>
              <w:tabs>
                <w:tab w:val="left" w:pos="1795"/>
              </w:tabs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</w:rPr>
              <w:t>( TITLE-ABS-KEY ( "end stage renal disease"  OR  "end stage kidney disease"  OR  esrd  OR  eskd  OR  dialysis )  AND  TITLE-ABS-KEY ( payment  OR  reimbursement  OR  financing  OR  "pay for performance" ) )  AND  ( LIMIT-TO ( PUBYEAR ,  2020 )  OR  LIMIT-TO ( PUBYEAR ,  2019 )  OR  LIMIT-TO ( PUBYEAR ,  2018 )  OR  LIMIT-TO ( PUBYEAR ,  2017 )  OR  LIMIT-TO ( PUBYEAR ,  2016 )  OR  LIMIT-TO ( PUBYEAR ,  2015 )  OR  LIMIT-TO ( PUBYEAR ,  2014 )  OR  LIMIT-TO ( PUBYEAR ,  2013 )  OR  LIMIT-TO ( PUBYEAR ,  2012 )  OR  LIMIT-TO ( PUBYEAR ,  2011 )  OR  LIMIT-TO ( PUBYEAR ,  2010 )  OR  LIMIT-TO ( PUBYEAR ,  2009 )  OR  LIMIT-TO ( PUBYEAR ,  2008 )  OR  LIMIT-TO ( PUBYEAR ,  2007 )  OR  LIMIT-TO ( PUBYEAR ,  2006 )  OR  LIMIT-TO ( PUBYEAR ,  2005 )  OR  LIMIT-TO ( PUBYEAR ,  2004 )  OR  LIMIT-TO ( PUBYEAR ,  2003 )  OR  LIMIT-TO ( PUBYEAR ,  2002 )  OR  LIMIT-TO ( PUBYEAR ,  2001 )  OR  LIMIT-TO ( PUBYEAR ,  2000 ) )  AND  ( LIMIT-TO ( DOCTYPE ,  "ar" )  OR  LIMIT-TO ( DOCTYPE ,  "re" )  OR  LIMIT-TO ( DOCTYPE ,  "ed" )  OR  LIMIT-TO ( DOCTYPE ,  "cp" )  OR  LIMIT-TO ( DOCTYPE ,  "no" )  OR  LIMIT-TO ( DOCTYPE ,  "le" )  OR  LIMIT-TO ( DOCTYPE ,  "sh" )  OR  LIMIT-TO ( DOCTYPE ,  "cr" ) )</w:t>
            </w:r>
          </w:p>
        </w:tc>
      </w:tr>
    </w:tbl>
    <w:p w14:paraId="02BDF722" w14:textId="77777777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4CBE77EB" w14:textId="7385D001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6F89ACE6" w14:textId="0FBADB2F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0E7755A5" w14:textId="131D5DEE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68A935C5" w14:textId="3E80BD41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6BE935A9" w14:textId="6CBC866F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177E3BD9" w14:textId="60CAC07B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5D4727EB" w14:textId="0DD3382B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7B1E7C45" w14:textId="5B925B2D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18C0ADC8" w14:textId="32D7A2BB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158AA7F1" w14:textId="03599163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1E2B255C" w14:textId="7844FC35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098C6987" w14:textId="6AB925A6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5BE647B1" w14:textId="2C592AD7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47D8E760" w14:textId="08EC55F3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lastRenderedPageBreak/>
        <w:t xml:space="preserve">Table </w:t>
      </w:r>
      <w:r w:rsidR="00B11305">
        <w:rPr>
          <w:rFonts w:asciiTheme="majorBidi" w:hAnsiTheme="majorBidi" w:cstheme="majorBidi"/>
          <w:sz w:val="24"/>
          <w:szCs w:val="24"/>
          <w:lang w:bidi="fa-IR"/>
        </w:rPr>
        <w:t>S2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. articles description </w:t>
      </w:r>
    </w:p>
    <w:tbl>
      <w:tblPr>
        <w:tblStyle w:val="PlainTable2"/>
        <w:tblW w:w="4787" w:type="dxa"/>
        <w:tblInd w:w="0" w:type="dxa"/>
        <w:tblLook w:val="04A0" w:firstRow="1" w:lastRow="0" w:firstColumn="1" w:lastColumn="0" w:noHBand="0" w:noVBand="1"/>
      </w:tblPr>
      <w:tblGrid>
        <w:gridCol w:w="3261"/>
        <w:gridCol w:w="962"/>
        <w:gridCol w:w="643"/>
      </w:tblGrid>
      <w:tr w:rsidR="0012715C" w14:paraId="33DAC3ED" w14:textId="77777777" w:rsidTr="001271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6731313A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study design</w:t>
            </w:r>
          </w:p>
        </w:tc>
        <w:tc>
          <w:tcPr>
            <w:tcW w:w="883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653A78BA" w14:textId="77777777" w:rsidR="0012715C" w:rsidRDefault="0012715C">
            <w:pPr>
              <w:spacing w:line="276" w:lineRule="auto"/>
              <w:ind w:left="720" w:hanging="7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number</w:t>
            </w:r>
          </w:p>
        </w:tc>
        <w:tc>
          <w:tcPr>
            <w:tcW w:w="643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0F365EAD" w14:textId="77777777" w:rsidR="0012715C" w:rsidRDefault="0012715C">
            <w:pPr>
              <w:spacing w:line="276" w:lineRule="auto"/>
              <w:ind w:left="720" w:hanging="7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%</w:t>
            </w:r>
          </w:p>
        </w:tc>
      </w:tr>
      <w:tr w:rsidR="0012715C" w14:paraId="6380B1A6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6A9B33F6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quantitative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5F254E8A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36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3542ECBC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0/61</w:t>
            </w:r>
          </w:p>
        </w:tc>
      </w:tr>
      <w:tr w:rsidR="0012715C" w14:paraId="1635CD19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C26D6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review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AD169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071AD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0/19</w:t>
            </w:r>
          </w:p>
        </w:tc>
      </w:tr>
      <w:tr w:rsidR="0012715C" w14:paraId="7127E8E9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2909E3FE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mixed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7B7C4BAE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12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6A704C31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0/20</w:t>
            </w:r>
          </w:p>
        </w:tc>
      </w:tr>
      <w:tr w:rsidR="0012715C" w14:paraId="0350295B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F2F2D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topics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1A6FD" w14:textId="77777777" w:rsidR="0012715C" w:rsidRDefault="00127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12715C" w14:paraId="55CB2662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354F3BD6" w14:textId="77777777" w:rsidR="0012715C" w:rsidRDefault="0012715C">
            <w:pPr>
              <w:spacing w:line="276" w:lineRule="auto"/>
              <w:ind w:left="720" w:hanging="720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payment system introduction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3BB747ED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17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014F2F03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0/29</w:t>
            </w:r>
          </w:p>
        </w:tc>
      </w:tr>
      <w:tr w:rsidR="0012715C" w14:paraId="494B4FA0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C6274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payment system effects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9F42D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42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93BE3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0/71</w:t>
            </w:r>
          </w:p>
        </w:tc>
      </w:tr>
      <w:tr w:rsidR="0012715C" w14:paraId="3122E1D1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693A96FF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studied intervention/event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07BFA7BB" w14:textId="77777777" w:rsidR="0012715C" w:rsidRDefault="00127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5E926468" w14:textId="77777777" w:rsidR="0012715C" w:rsidRDefault="0012715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2715C" w14:paraId="54FE0636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DE851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2011 PPS</w:t>
            </w:r>
            <w:r>
              <w:rPr>
                <w:rStyle w:val="FootnoteReference"/>
                <w:rFonts w:asciiTheme="majorBidi" w:hAnsiTheme="majorBidi" w:cstheme="majorBidi"/>
                <w:b w:val="0"/>
                <w:bCs w:val="0"/>
              </w:rPr>
              <w:footnoteReference w:id="1"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639A7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E876B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0/42</w:t>
            </w:r>
          </w:p>
        </w:tc>
      </w:tr>
      <w:tr w:rsidR="0012715C" w14:paraId="477AB3F2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30412680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2004 reform on dialysis in the US</w:t>
            </w:r>
            <w:r>
              <w:rPr>
                <w:rStyle w:val="FootnoteReference"/>
                <w:rFonts w:asciiTheme="majorBidi" w:hAnsiTheme="majorBidi" w:cstheme="majorBidi"/>
                <w:b w:val="0"/>
                <w:bCs w:val="0"/>
              </w:rPr>
              <w:footnoteReference w:id="2"/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4E6ED105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4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0C558277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0/07</w:t>
            </w:r>
          </w:p>
        </w:tc>
      </w:tr>
      <w:tr w:rsidR="0012715C" w14:paraId="6F3E5BC6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624E7" w14:textId="77777777" w:rsidR="0012715C" w:rsidRDefault="0012715C">
            <w:pPr>
              <w:spacing w:line="276" w:lineRule="auto"/>
              <w:ind w:left="720" w:hanging="720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 xml:space="preserve">Other dialysis payment systems 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29188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25B932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0/29</w:t>
            </w:r>
          </w:p>
        </w:tc>
      </w:tr>
      <w:tr w:rsidR="0012715C" w14:paraId="413E83FA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4653A601" w14:textId="77777777" w:rsidR="0012715C" w:rsidRDefault="0012715C">
            <w:pPr>
              <w:spacing w:line="276" w:lineRule="auto"/>
              <w:ind w:left="720" w:hanging="720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other policies and reforms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12143D92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14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2D8ACF46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0/22</w:t>
            </w:r>
          </w:p>
        </w:tc>
      </w:tr>
      <w:tr w:rsidR="0012715C" w14:paraId="164085EB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9D59B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country: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44F3D" w14:textId="77777777" w:rsidR="0012715C" w:rsidRDefault="00127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12715C" w14:paraId="0F18129B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445E4909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U.S.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7024AEBD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38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4A508C02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0/64</w:t>
            </w:r>
          </w:p>
        </w:tc>
      </w:tr>
      <w:tr w:rsidR="0012715C" w14:paraId="590AC70A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E6AAC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Canada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F2253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49BD4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0/08</w:t>
            </w:r>
          </w:p>
        </w:tc>
      </w:tr>
      <w:tr w:rsidR="0012715C" w14:paraId="7F5FD27F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0D82BF3A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Japan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6BEEB975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4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404DAFD8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0/07</w:t>
            </w:r>
          </w:p>
        </w:tc>
      </w:tr>
      <w:tr w:rsidR="0012715C" w14:paraId="7A93AA65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B5AF5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Germany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D368E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2BF5A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0/07</w:t>
            </w:r>
          </w:p>
        </w:tc>
      </w:tr>
      <w:tr w:rsidR="0012715C" w14:paraId="354AF602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0DFCE892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others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3A72D087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15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61B69A51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0/25</w:t>
            </w:r>
          </w:p>
        </w:tc>
      </w:tr>
      <w:tr w:rsidR="0012715C" w14:paraId="07D1B86D" w14:textId="77777777" w:rsidTr="0012715C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C89BD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publication date: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CCD76D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713A2D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12715C" w14:paraId="2AA5B833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139CEC9E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2000-2005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062E13A9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30B4FEF5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0/03</w:t>
            </w:r>
          </w:p>
        </w:tc>
      </w:tr>
      <w:tr w:rsidR="0012715C" w14:paraId="1B318720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84309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2006-2010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08730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F0AE4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0/31</w:t>
            </w:r>
          </w:p>
        </w:tc>
      </w:tr>
      <w:tr w:rsidR="0012715C" w14:paraId="1A49FEF5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left w:val="nil"/>
              <w:right w:val="nil"/>
            </w:tcBorders>
            <w:noWrap/>
            <w:hideMark/>
          </w:tcPr>
          <w:p w14:paraId="5619963D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2011-2015</w:t>
            </w:r>
          </w:p>
        </w:tc>
        <w:tc>
          <w:tcPr>
            <w:tcW w:w="883" w:type="dxa"/>
            <w:tcBorders>
              <w:left w:val="nil"/>
              <w:right w:val="nil"/>
            </w:tcBorders>
            <w:noWrap/>
            <w:hideMark/>
          </w:tcPr>
          <w:p w14:paraId="2EA5842B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24</w:t>
            </w:r>
          </w:p>
        </w:tc>
        <w:tc>
          <w:tcPr>
            <w:tcW w:w="643" w:type="dxa"/>
            <w:tcBorders>
              <w:left w:val="nil"/>
              <w:right w:val="nil"/>
            </w:tcBorders>
            <w:noWrap/>
            <w:hideMark/>
          </w:tcPr>
          <w:p w14:paraId="1ECC2F94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0/41</w:t>
            </w:r>
          </w:p>
        </w:tc>
      </w:tr>
      <w:tr w:rsidR="0012715C" w14:paraId="0291F516" w14:textId="77777777" w:rsidTr="001271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23C6CDB4" w14:textId="77777777" w:rsidR="0012715C" w:rsidRDefault="0012715C">
            <w:pPr>
              <w:spacing w:line="276" w:lineRule="auto"/>
              <w:ind w:left="720" w:hanging="720"/>
              <w:jc w:val="both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2016-2020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1CCE3DEC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2F2A3DCF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0/25</w:t>
            </w:r>
          </w:p>
        </w:tc>
      </w:tr>
    </w:tbl>
    <w:p w14:paraId="3473FA06" w14:textId="77777777" w:rsidR="0012715C" w:rsidRDefault="0012715C" w:rsidP="0012715C">
      <w:pPr>
        <w:bidi/>
        <w:spacing w:after="0" w:line="276" w:lineRule="auto"/>
        <w:ind w:left="720" w:hanging="720"/>
        <w:jc w:val="both"/>
        <w:rPr>
          <w:rFonts w:cs="B Nazanin"/>
          <w:sz w:val="24"/>
          <w:szCs w:val="24"/>
          <w:lang w:bidi="fa-IR"/>
        </w:rPr>
      </w:pPr>
    </w:p>
    <w:p w14:paraId="604B9863" w14:textId="77777777" w:rsidR="0012715C" w:rsidRDefault="0012715C" w:rsidP="0012715C">
      <w:pPr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4F22077F" w14:textId="27735894" w:rsidR="0012715C" w:rsidRDefault="0012715C" w:rsidP="0012715C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0F19F292" w14:textId="717B857B" w:rsidR="0012715C" w:rsidRDefault="0012715C" w:rsidP="0012715C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2ABCB399" w14:textId="2442CE6C" w:rsidR="0012715C" w:rsidRDefault="0012715C" w:rsidP="0012715C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31F5D6E8" w14:textId="3F425BAC" w:rsidR="0012715C" w:rsidRDefault="0012715C" w:rsidP="0012715C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6FC3A3B5" w14:textId="3F6C48DF" w:rsidR="0012715C" w:rsidRDefault="0012715C" w:rsidP="0012715C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38345F11" w14:textId="4C2FD0AA" w:rsidR="0012715C" w:rsidRDefault="0012715C" w:rsidP="0012715C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40652807" w14:textId="77777777" w:rsidR="0012715C" w:rsidRDefault="0012715C" w:rsidP="0012715C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678684CD" w14:textId="20E1E100" w:rsidR="0012715C" w:rsidRDefault="0012715C" w:rsidP="0012715C">
      <w:pPr>
        <w:spacing w:after="0" w:line="276" w:lineRule="auto"/>
        <w:ind w:left="720" w:hanging="720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lastRenderedPageBreak/>
        <w:t xml:space="preserve">Table </w:t>
      </w:r>
      <w:r w:rsidR="00B11305">
        <w:rPr>
          <w:rFonts w:asciiTheme="majorBidi" w:hAnsiTheme="majorBidi" w:cstheme="majorBidi"/>
          <w:sz w:val="24"/>
          <w:szCs w:val="24"/>
          <w:lang w:bidi="fa-IR"/>
        </w:rPr>
        <w:t>S3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. indicators classifications 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1984"/>
        <w:gridCol w:w="3828"/>
      </w:tblGrid>
      <w:tr w:rsidR="0012715C" w14:paraId="67C98CB2" w14:textId="77777777" w:rsidTr="001271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vMerge w:val="restart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EA19B5E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Service utilization</w:t>
            </w:r>
          </w:p>
          <w:p w14:paraId="08D23866" w14:textId="77777777" w:rsidR="0012715C" w:rsidRDefault="0012715C">
            <w:pPr>
              <w:spacing w:line="276" w:lineRule="auto"/>
              <w:ind w:left="720" w:hanging="720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52</w:t>
            </w:r>
            <w:r>
              <w:rPr>
                <w:rFonts w:asciiTheme="majorBidi" w:eastAsia="Times New Roman" w:hAnsiTheme="majorBidi" w:cstheme="majorBidi" w:hint="cs"/>
                <w:rtl/>
              </w:rPr>
              <w:t>%</w:t>
            </w:r>
          </w:p>
        </w:tc>
        <w:tc>
          <w:tcPr>
            <w:tcW w:w="3828" w:type="dxa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03CA4CF7" w14:textId="77777777" w:rsidR="0012715C" w:rsidRDefault="0012715C">
            <w:pPr>
              <w:spacing w:line="276" w:lineRule="auto"/>
              <w:ind w:left="720" w:hanging="7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 xml:space="preserve">Medication use (EPO, Iron, </w:t>
            </w:r>
          </w:p>
          <w:p w14:paraId="02F76425" w14:textId="77777777" w:rsidR="0012715C" w:rsidRDefault="0012715C">
            <w:pPr>
              <w:spacing w:line="276" w:lineRule="auto"/>
              <w:ind w:left="720" w:hanging="7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bidi="fa-IR"/>
              </w:rPr>
              <w:t>vitamin D, phosphate binder)</w:t>
            </w:r>
          </w:p>
        </w:tc>
      </w:tr>
      <w:tr w:rsidR="0012715C" w14:paraId="654A29A8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A277DC8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18112877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Red Blood Cell (RBC) transfusions</w:t>
            </w:r>
          </w:p>
        </w:tc>
      </w:tr>
      <w:tr w:rsidR="0012715C" w14:paraId="26DCEB6B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692CF65C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F40993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 xml:space="preserve">arteriovenous fistula (AVF), </w:t>
            </w:r>
          </w:p>
          <w:p w14:paraId="39204AA8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 xml:space="preserve">hemodialysis catheter </w:t>
            </w:r>
          </w:p>
        </w:tc>
      </w:tr>
      <w:tr w:rsidR="0012715C" w14:paraId="025BA6DB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440404A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2FEF173F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 xml:space="preserve">AVF/AVG rate at first hemodialysis </w:t>
            </w:r>
          </w:p>
        </w:tc>
      </w:tr>
      <w:tr w:rsidR="0012715C" w14:paraId="7D379246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111CC04E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A3247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visits (number)</w:t>
            </w:r>
          </w:p>
        </w:tc>
      </w:tr>
      <w:tr w:rsidR="0012715C" w14:paraId="59CDA7D8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7F38861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34C3E24E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 xml:space="preserve">shortened or skipped treatments </w:t>
            </w:r>
          </w:p>
        </w:tc>
      </w:tr>
      <w:tr w:rsidR="0012715C" w14:paraId="472EAB84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41ACFDAF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modality related indicators</w:t>
            </w:r>
          </w:p>
          <w:p w14:paraId="248CF1DA" w14:textId="77777777" w:rsidR="0012715C" w:rsidRDefault="0012715C">
            <w:pPr>
              <w:spacing w:line="240" w:lineRule="auto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eastAsia="Times New Roman" w:hAnsiTheme="majorBidi" w:cstheme="majorBidi"/>
              </w:rPr>
              <w:t>36</w:t>
            </w:r>
            <w:r>
              <w:rPr>
                <w:rFonts w:asciiTheme="majorBidi" w:eastAsia="Times New Roman" w:hAnsiTheme="majorBidi" w:cstheme="majorBidi" w:hint="cs"/>
                <w:rtl/>
              </w:rPr>
              <w:t>%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6F26A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transplant waiting-list</w:t>
            </w:r>
          </w:p>
        </w:tc>
      </w:tr>
      <w:tr w:rsidR="0012715C" w14:paraId="56F8A154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476CD14" w14:textId="77777777" w:rsidR="0012715C" w:rsidRDefault="0012715C">
            <w:pPr>
              <w:spacing w:line="240" w:lineRule="auto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3CA66836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modality switch</w:t>
            </w:r>
          </w:p>
        </w:tc>
      </w:tr>
      <w:tr w:rsidR="0012715C" w14:paraId="0B5E6199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1B51F8D2" w14:textId="77777777" w:rsidR="0012715C" w:rsidRDefault="0012715C">
            <w:pPr>
              <w:spacing w:line="240" w:lineRule="auto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359F2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Peritoneal dialysis (PD) use, facility provision of PD</w:t>
            </w:r>
          </w:p>
        </w:tc>
      </w:tr>
      <w:tr w:rsidR="0012715C" w14:paraId="067B82F1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ED2E567" w14:textId="77777777" w:rsidR="0012715C" w:rsidRDefault="0012715C">
            <w:pPr>
              <w:spacing w:line="240" w:lineRule="auto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3BB76A73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home dialysis use</w:t>
            </w:r>
          </w:p>
        </w:tc>
      </w:tr>
      <w:tr w:rsidR="0012715C" w14:paraId="33CC0C0C" w14:textId="77777777" w:rsidTr="0012715C">
        <w:trPr>
          <w:trHeight w:val="7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AFDC4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Serum related indicators</w:t>
            </w:r>
          </w:p>
          <w:p w14:paraId="7CC6141A" w14:textId="77777777" w:rsidR="0012715C" w:rsidRDefault="0012715C">
            <w:pPr>
              <w:spacing w:line="240" w:lineRule="auto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eastAsia="Times New Roman" w:hAnsiTheme="majorBidi" w:cstheme="majorBidi"/>
              </w:rPr>
              <w:t>34</w:t>
            </w:r>
            <w:r>
              <w:rPr>
                <w:rFonts w:asciiTheme="majorBidi" w:eastAsia="Times New Roman" w:hAnsiTheme="majorBidi" w:cstheme="majorBidi" w:hint="cs"/>
                <w:rtl/>
              </w:rPr>
              <w:t>%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E29B9" w14:textId="77777777" w:rsidR="0012715C" w:rsidRDefault="0012715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(Kt/V, albumin level, hemoglobin level, </w:t>
            </w:r>
          </w:p>
          <w:p w14:paraId="129376DA" w14:textId="77777777" w:rsidR="0012715C" w:rsidRDefault="0012715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Parathyroid Hormone, phosphorus level,</w:t>
            </w:r>
          </w:p>
          <w:p w14:paraId="3E43381A" w14:textId="77777777" w:rsidR="0012715C" w:rsidRDefault="0012715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 calcium level, ferritin level)</w:t>
            </w:r>
          </w:p>
        </w:tc>
      </w:tr>
      <w:tr w:rsidR="0012715C" w14:paraId="0AB37EF3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vMerge w:val="restart"/>
            <w:tcBorders>
              <w:left w:val="nil"/>
              <w:right w:val="nil"/>
            </w:tcBorders>
            <w:hideMark/>
          </w:tcPr>
          <w:p w14:paraId="35F6F097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Other clinical indicators</w:t>
            </w:r>
          </w:p>
          <w:p w14:paraId="5D78AE97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16</w:t>
            </w:r>
            <w:r>
              <w:rPr>
                <w:rFonts w:asciiTheme="majorBidi" w:eastAsia="Times New Roman" w:hAnsiTheme="majorBidi" w:cstheme="majorBidi" w:hint="cs"/>
                <w:rtl/>
              </w:rPr>
              <w:t>%</w:t>
            </w: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79CEB99C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mortality/survival</w:t>
            </w:r>
          </w:p>
        </w:tc>
      </w:tr>
      <w:tr w:rsidR="0012715C" w14:paraId="5D74B4D1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2319EBB3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3E714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venous thromboembolism</w:t>
            </w:r>
          </w:p>
        </w:tc>
      </w:tr>
      <w:tr w:rsidR="0012715C" w14:paraId="281B3EC4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149ABDC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62531360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Major adverse cardiovascular events</w:t>
            </w:r>
          </w:p>
        </w:tc>
      </w:tr>
      <w:tr w:rsidR="0012715C" w14:paraId="7BDDAF87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3843A677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non-clinical</w:t>
            </w:r>
          </w:p>
          <w:p w14:paraId="16560517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23</w:t>
            </w:r>
            <w:r>
              <w:rPr>
                <w:rFonts w:asciiTheme="majorBidi" w:eastAsia="Times New Roman" w:hAnsiTheme="majorBidi" w:cstheme="majorBidi" w:hint="cs"/>
                <w:rtl/>
              </w:rPr>
              <w:t>%</w:t>
            </w:r>
          </w:p>
          <w:p w14:paraId="7D0DFF5F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D0ACC4F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424CC2A6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5D42CE1" w14:textId="77777777" w:rsidR="0012715C" w:rsidRDefault="0012715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A6DA9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dialysis facility closures</w:t>
            </w:r>
          </w:p>
        </w:tc>
      </w:tr>
      <w:tr w:rsidR="0012715C" w14:paraId="5084ED35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2A3C4A9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5FBC2930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Cherry picking</w:t>
            </w:r>
          </w:p>
        </w:tc>
      </w:tr>
      <w:tr w:rsidR="0012715C" w14:paraId="5A3A891B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168CE1C6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E2267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access to dialysis services</w:t>
            </w:r>
          </w:p>
        </w:tc>
      </w:tr>
      <w:tr w:rsidR="0012715C" w14:paraId="113AA520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2AAB9C9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3AA619DA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costs (budget impact)</w:t>
            </w:r>
          </w:p>
        </w:tc>
      </w:tr>
      <w:tr w:rsidR="0012715C" w14:paraId="3E32A3C9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11DD89CE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C5AC1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sites of anemia management</w:t>
            </w:r>
          </w:p>
        </w:tc>
      </w:tr>
      <w:tr w:rsidR="0012715C" w14:paraId="525F79FC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7C231A8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2FF7D97E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patient compliance</w:t>
            </w:r>
          </w:p>
        </w:tc>
      </w:tr>
      <w:tr w:rsidR="0012715C" w14:paraId="4466196E" w14:textId="77777777" w:rsidTr="0012715C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33D78FC4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31629" w14:textId="77777777" w:rsidR="0012715C" w:rsidRDefault="0012715C">
            <w:pPr>
              <w:spacing w:line="276" w:lineRule="auto"/>
              <w:ind w:left="720" w:hanging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Health Related Quality of Life (HRQoL)</w:t>
            </w:r>
          </w:p>
        </w:tc>
      </w:tr>
      <w:tr w:rsidR="0012715C" w14:paraId="444ADCB7" w14:textId="77777777" w:rsidTr="0012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BEA7897" w14:textId="77777777" w:rsidR="0012715C" w:rsidRDefault="0012715C">
            <w:pPr>
              <w:spacing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828" w:type="dxa"/>
            <w:tcBorders>
              <w:left w:val="nil"/>
              <w:right w:val="nil"/>
            </w:tcBorders>
            <w:noWrap/>
            <w:hideMark/>
          </w:tcPr>
          <w:p w14:paraId="0D20F45A" w14:textId="77777777" w:rsidR="0012715C" w:rsidRDefault="0012715C">
            <w:pPr>
              <w:spacing w:line="276" w:lineRule="auto"/>
              <w:ind w:left="720" w:hanging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hospitalizations/ rehospitalizations</w:t>
            </w:r>
          </w:p>
        </w:tc>
      </w:tr>
    </w:tbl>
    <w:p w14:paraId="07021EEB" w14:textId="77777777" w:rsidR="0012715C" w:rsidRDefault="0012715C" w:rsidP="0012715C"/>
    <w:p w14:paraId="1C8766BF" w14:textId="77777777" w:rsidR="002E47D4" w:rsidRDefault="00B11305"/>
    <w:sectPr w:rsidR="002E47D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E78B8" w14:textId="77777777" w:rsidR="0012715C" w:rsidRDefault="0012715C" w:rsidP="0012715C">
      <w:pPr>
        <w:spacing w:after="0" w:line="240" w:lineRule="auto"/>
      </w:pPr>
      <w:r>
        <w:separator/>
      </w:r>
    </w:p>
  </w:endnote>
  <w:endnote w:type="continuationSeparator" w:id="0">
    <w:p w14:paraId="2F71ADC4" w14:textId="77777777" w:rsidR="0012715C" w:rsidRDefault="0012715C" w:rsidP="00127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DDD55" w14:textId="77777777" w:rsidR="0012715C" w:rsidRDefault="0012715C" w:rsidP="0012715C">
      <w:pPr>
        <w:spacing w:after="0" w:line="240" w:lineRule="auto"/>
      </w:pPr>
      <w:r>
        <w:separator/>
      </w:r>
    </w:p>
  </w:footnote>
  <w:footnote w:type="continuationSeparator" w:id="0">
    <w:p w14:paraId="27695AE0" w14:textId="77777777" w:rsidR="0012715C" w:rsidRDefault="0012715C" w:rsidP="0012715C">
      <w:pPr>
        <w:spacing w:after="0" w:line="240" w:lineRule="auto"/>
      </w:pPr>
      <w:r>
        <w:continuationSeparator/>
      </w:r>
    </w:p>
  </w:footnote>
  <w:footnote w:id="1">
    <w:p w14:paraId="7768C6F4" w14:textId="77777777" w:rsidR="0012715C" w:rsidRDefault="0012715C" w:rsidP="0012715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Theme="majorBidi" w:hAnsiTheme="majorBidi" w:cstheme="majorBidi"/>
        </w:rPr>
        <w:t>The 2011 Prospective Payment System (PPS) reform. It introduced some core services as the expanded bundle, and case-mixed indicators for payment adjustments</w:t>
      </w:r>
    </w:p>
  </w:footnote>
  <w:footnote w:id="2">
    <w:p w14:paraId="09A57794" w14:textId="77777777" w:rsidR="0012715C" w:rsidRDefault="0012715C" w:rsidP="0012715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Theme="majorBidi" w:hAnsiTheme="majorBidi" w:cstheme="majorBidi"/>
        </w:rPr>
        <w:t>A reform in physician payment for in-center HD care from a capitated to a tiered fee-for-service approach, in which nephrologists are paid more for each additional face-to-face visit up to 4 visits per month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60"/>
    <w:rsid w:val="000D04D5"/>
    <w:rsid w:val="0012715C"/>
    <w:rsid w:val="00327314"/>
    <w:rsid w:val="007D1660"/>
    <w:rsid w:val="00B11305"/>
    <w:rsid w:val="00FF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5CAE37C"/>
  <w15:chartTrackingRefBased/>
  <w15:docId w15:val="{89B1EABC-0AAE-4228-BC04-7DB60B64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15C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0D04D5"/>
    <w:pPr>
      <w:bidi/>
      <w:spacing w:line="240" w:lineRule="auto"/>
    </w:pPr>
    <w:rPr>
      <w:rFonts w:ascii="Calibri" w:hAnsi="Calibri" w:cs="Calibri"/>
      <w:noProof/>
      <w:lang w:bidi="fa-IR"/>
    </w:rPr>
  </w:style>
  <w:style w:type="character" w:customStyle="1" w:styleId="EndNoteBibliographyChar">
    <w:name w:val="EndNote Bibliography Char"/>
    <w:basedOn w:val="DefaultParagraphFont"/>
    <w:link w:val="EndNoteBibliography"/>
    <w:rsid w:val="000D04D5"/>
    <w:rPr>
      <w:rFonts w:ascii="Calibri" w:hAnsi="Calibri" w:cs="Calibri"/>
      <w:noProof/>
      <w:lang w:bidi="fa-IR"/>
    </w:rPr>
  </w:style>
  <w:style w:type="paragraph" w:customStyle="1" w:styleId="EndNoteBibliographyTitle">
    <w:name w:val="EndNote Bibliography Title"/>
    <w:basedOn w:val="Normal"/>
    <w:link w:val="EndNoteBibliographyTitleChar"/>
    <w:rsid w:val="000D04D5"/>
    <w:pPr>
      <w:spacing w:after="0" w:line="240" w:lineRule="auto"/>
      <w:jc w:val="center"/>
    </w:pPr>
    <w:rPr>
      <w:rFonts w:ascii="Calibri" w:eastAsia="Calibri" w:hAnsi="Calibri" w:cs="Times New Roman"/>
      <w:noProof/>
      <w:lang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D04D5"/>
    <w:rPr>
      <w:rFonts w:ascii="Calibri" w:eastAsia="Calibri" w:hAnsi="Calibri" w:cs="Times New Roman"/>
      <w:noProof/>
      <w:lang w:bidi="fa-I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271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71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2715C"/>
    <w:rPr>
      <w:vertAlign w:val="superscript"/>
    </w:rPr>
  </w:style>
  <w:style w:type="table" w:styleId="TableGrid">
    <w:name w:val="Table Grid"/>
    <w:basedOn w:val="TableNormal"/>
    <w:uiPriority w:val="39"/>
    <w:rsid w:val="0012715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2715C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2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emrani</dc:creator>
  <cp:keywords/>
  <dc:description/>
  <cp:lastModifiedBy>emrani</cp:lastModifiedBy>
  <cp:revision>3</cp:revision>
  <dcterms:created xsi:type="dcterms:W3CDTF">2022-06-15T12:57:00Z</dcterms:created>
  <dcterms:modified xsi:type="dcterms:W3CDTF">2022-08-10T04:56:00Z</dcterms:modified>
</cp:coreProperties>
</file>