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A1F48" w14:textId="21909CB8" w:rsidR="00746A65" w:rsidRDefault="00746A65" w:rsidP="00735EE0">
      <w:pPr>
        <w:pStyle w:val="SMHeading"/>
        <w:jc w:val="both"/>
      </w:pPr>
      <w:r w:rsidRPr="00B43B31">
        <w:t>Materials and Methods</w:t>
      </w:r>
    </w:p>
    <w:p w14:paraId="11C34730" w14:textId="77777777" w:rsidR="008C05EE" w:rsidRPr="008C05EE" w:rsidRDefault="008C05EE" w:rsidP="00735EE0">
      <w:pPr>
        <w:pStyle w:val="SMText"/>
        <w:ind w:firstLine="0"/>
        <w:jc w:val="both"/>
        <w:rPr>
          <w:u w:val="single"/>
        </w:rPr>
      </w:pPr>
      <w:r w:rsidRPr="008C05EE">
        <w:rPr>
          <w:u w:val="single"/>
        </w:rPr>
        <w:t xml:space="preserve">Reagents </w:t>
      </w:r>
    </w:p>
    <w:p w14:paraId="0B8EC0A0" w14:textId="5597ED64" w:rsidR="008C05EE" w:rsidRDefault="008C05EE" w:rsidP="00ED50E1">
      <w:pPr>
        <w:pStyle w:val="SMText"/>
        <w:jc w:val="both"/>
      </w:pPr>
      <w:r>
        <w:rPr>
          <w:rFonts w:hint="eastAsia"/>
        </w:rPr>
        <w:t>7,12-dimethylbenz[</w:t>
      </w:r>
      <w:r w:rsidR="00D3621D">
        <w:t>α</w:t>
      </w:r>
      <w:r>
        <w:rPr>
          <w:rFonts w:hint="eastAsia"/>
        </w:rPr>
        <w:t>]anthracene (DMBA</w:t>
      </w:r>
      <w:r w:rsidR="00A22E7D">
        <w:t>) was</w:t>
      </w:r>
      <w:r>
        <w:rPr>
          <w:rFonts w:hint="eastAsia"/>
        </w:rPr>
        <w:t xml:space="preserve"> purchased from Sigma (St. Louis, MO, USA). Dr. </w:t>
      </w:r>
      <w:proofErr w:type="spellStart"/>
      <w:r>
        <w:rPr>
          <w:rFonts w:hint="eastAsia"/>
        </w:rPr>
        <w:t>Sanghee</w:t>
      </w:r>
      <w:proofErr w:type="spellEnd"/>
      <w:r>
        <w:rPr>
          <w:rFonts w:hint="eastAsia"/>
        </w:rPr>
        <w:t xml:space="preserve"> Kim generously provided the 2,2</w:t>
      </w:r>
      <w:r>
        <w:rPr>
          <w:rFonts w:hint="eastAsia"/>
        </w:rPr>
        <w:t>′</w:t>
      </w:r>
      <w:r>
        <w:rPr>
          <w:rFonts w:hint="eastAsia"/>
        </w:rPr>
        <w:t>,4,6</w:t>
      </w:r>
      <w:r>
        <w:rPr>
          <w:rFonts w:hint="eastAsia"/>
        </w:rPr>
        <w:t>′</w:t>
      </w:r>
      <w:r>
        <w:rPr>
          <w:rFonts w:hint="eastAsia"/>
        </w:rPr>
        <w:t>-tetramethoxysti</w:t>
      </w:r>
      <w:r>
        <w:t xml:space="preserve">lbene (TMS) (Seoul National University, Seoul, Korea). Moloney murine leukemia virus (M-MLV) reverse transcriptase and RNase inhibitor were obtained from Promega (Madison, WI, USA). SYBR green was purchased from QIAGEN (Hilden, Germany). Rabbit polyclonal antibodies for CYP1B1 and GAPDH; mouse monoclonal antibodies for β-actin; Texas Red-conjugated goat anti-rabbit IgG; and Ultra </w:t>
      </w:r>
      <w:proofErr w:type="spellStart"/>
      <w:r>
        <w:t>Cruz</w:t>
      </w:r>
      <w:r w:rsidRPr="00A5022B">
        <w:rPr>
          <w:vertAlign w:val="superscript"/>
        </w:rPr>
        <w:t>TM</w:t>
      </w:r>
      <w:proofErr w:type="spellEnd"/>
      <w:r>
        <w:t xml:space="preserve"> Mounting Medium were purchased from Santa Cruz Biotechnology (Santa Cruz, CA, USA). </w:t>
      </w:r>
      <w:r w:rsidR="009B4DE5">
        <w:t>M</w:t>
      </w:r>
      <w:r>
        <w:t xml:space="preserve">ouse monoclonal antibody for p53 were purchased from Millipore (Bedford, MA, USA). Rabbit polyclonal antibodies for </w:t>
      </w:r>
      <w:r w:rsidR="00D3621D">
        <w:t>p-p53</w:t>
      </w:r>
      <w:r>
        <w:t xml:space="preserve"> (Ser</w:t>
      </w:r>
      <w:r w:rsidR="00D3621D">
        <w:t>15</w:t>
      </w:r>
      <w:r>
        <w:t>), Integrin α5, and Integrin β1 were purchased from Cell Signaling Technology (Beverly, MA, USA). HRP-conjugated goat anti-rabbit IgG</w:t>
      </w:r>
      <w:r w:rsidR="009B4DE5">
        <w:t>, Texas Red-conjugated mouse anti-rabbit IgG,</w:t>
      </w:r>
      <w:r>
        <w:t xml:space="preserve"> and </w:t>
      </w:r>
      <w:proofErr w:type="spellStart"/>
      <w:r>
        <w:t>DyLight</w:t>
      </w:r>
      <w:proofErr w:type="spellEnd"/>
      <w:r>
        <w:t xml:space="preserve">® 594-conjugated goat anti-mouse </w:t>
      </w:r>
      <w:proofErr w:type="gramStart"/>
      <w:r>
        <w:t>were</w:t>
      </w:r>
      <w:proofErr w:type="gramEnd"/>
      <w:r>
        <w:t xml:space="preserve"> obtained from </w:t>
      </w:r>
      <w:proofErr w:type="spellStart"/>
      <w:r>
        <w:t>Bethyl</w:t>
      </w:r>
      <w:proofErr w:type="spellEnd"/>
      <w:r>
        <w:t xml:space="preserve"> (Montgomery, TX, USA). HRP-conjugated goat anti-mouse IgG and newly synthesized rabbit polyclonal antibodies for uPAR were purchased from </w:t>
      </w:r>
      <w:proofErr w:type="spellStart"/>
      <w:r>
        <w:t>Abclon</w:t>
      </w:r>
      <w:proofErr w:type="spellEnd"/>
      <w:r>
        <w:t xml:space="preserve"> (</w:t>
      </w:r>
      <w:proofErr w:type="spellStart"/>
      <w:r>
        <w:t>Guro</w:t>
      </w:r>
      <w:proofErr w:type="spellEnd"/>
      <w:r>
        <w:t xml:space="preserve">, Seoul, South Korea). </w:t>
      </w:r>
    </w:p>
    <w:p w14:paraId="517495E9" w14:textId="00A7EF87" w:rsidR="00ED50E1" w:rsidRDefault="00ED50E1" w:rsidP="00ED50E1">
      <w:pPr>
        <w:pStyle w:val="SMText"/>
        <w:jc w:val="both"/>
      </w:pPr>
    </w:p>
    <w:p w14:paraId="6A6FFB96" w14:textId="77777777" w:rsidR="00ED50E1" w:rsidRPr="00ED50E1" w:rsidRDefault="00ED50E1" w:rsidP="00ED50E1">
      <w:pPr>
        <w:jc w:val="both"/>
        <w:rPr>
          <w:i/>
          <w:szCs w:val="24"/>
          <w:u w:val="single"/>
        </w:rPr>
      </w:pPr>
      <w:r w:rsidRPr="00ED50E1">
        <w:rPr>
          <w:i/>
          <w:szCs w:val="24"/>
          <w:u w:val="single"/>
        </w:rPr>
        <w:t>Adenovirus infection</w:t>
      </w:r>
    </w:p>
    <w:p w14:paraId="6513A5CC" w14:textId="57908F8C" w:rsidR="00ED50E1" w:rsidRPr="0072393D" w:rsidRDefault="00ED50E1" w:rsidP="00656405">
      <w:pPr>
        <w:ind w:firstLine="720"/>
        <w:jc w:val="both"/>
        <w:rPr>
          <w:iCs/>
          <w:szCs w:val="24"/>
        </w:rPr>
      </w:pPr>
      <w:r w:rsidRPr="0072393D">
        <w:rPr>
          <w:iCs/>
          <w:szCs w:val="24"/>
        </w:rPr>
        <w:t>The infection of MCF-7 cells with adenovirus carrying CYP1B1-ORF genes (</w:t>
      </w:r>
      <w:proofErr w:type="spellStart"/>
      <w:r w:rsidRPr="0072393D">
        <w:rPr>
          <w:iCs/>
          <w:szCs w:val="24"/>
        </w:rPr>
        <w:t>ViGene</w:t>
      </w:r>
      <w:proofErr w:type="spellEnd"/>
      <w:r w:rsidRPr="0072393D">
        <w:rPr>
          <w:iCs/>
          <w:szCs w:val="24"/>
        </w:rPr>
        <w:t xml:space="preserve"> Biosciences Inc., Rockville, MD, USA) was </w:t>
      </w:r>
      <w:r w:rsidR="008F79FB">
        <w:rPr>
          <w:iCs/>
          <w:szCs w:val="24"/>
        </w:rPr>
        <w:t>conducted</w:t>
      </w:r>
      <w:r w:rsidRPr="0072393D">
        <w:rPr>
          <w:iCs/>
          <w:szCs w:val="24"/>
        </w:rPr>
        <w:t xml:space="preserve"> in serum-free media at a multiplicity of infection (MOI) of 750 virus particles (</w:t>
      </w:r>
      <w:proofErr w:type="spellStart"/>
      <w:r w:rsidRPr="0072393D">
        <w:rPr>
          <w:iCs/>
          <w:szCs w:val="24"/>
        </w:rPr>
        <w:t>vp</w:t>
      </w:r>
      <w:proofErr w:type="spellEnd"/>
      <w:r w:rsidRPr="0072393D">
        <w:rPr>
          <w:iCs/>
          <w:szCs w:val="24"/>
        </w:rPr>
        <w:t>)/cell. After 24 hours, the media was replaced with fresh media</w:t>
      </w:r>
      <w:r w:rsidR="008F79FB">
        <w:rPr>
          <w:iCs/>
          <w:szCs w:val="24"/>
        </w:rPr>
        <w:t xml:space="preserve"> containing serum</w:t>
      </w:r>
      <w:r w:rsidRPr="0072393D">
        <w:rPr>
          <w:iCs/>
          <w:szCs w:val="24"/>
        </w:rPr>
        <w:t xml:space="preserve">. Cells were maintained </w:t>
      </w:r>
      <w:r w:rsidR="008F79FB" w:rsidRPr="0072393D">
        <w:rPr>
          <w:iCs/>
          <w:szCs w:val="24"/>
        </w:rPr>
        <w:t xml:space="preserve">in a humidified atmosphere </w:t>
      </w:r>
      <w:r w:rsidRPr="0072393D">
        <w:rPr>
          <w:iCs/>
          <w:szCs w:val="24"/>
        </w:rPr>
        <w:t>at 37°C with 5% CO</w:t>
      </w:r>
      <w:r w:rsidRPr="00F40B69">
        <w:rPr>
          <w:iCs/>
          <w:szCs w:val="24"/>
          <w:vertAlign w:val="subscript"/>
        </w:rPr>
        <w:t>2</w:t>
      </w:r>
      <w:r w:rsidRPr="0072393D">
        <w:rPr>
          <w:iCs/>
          <w:szCs w:val="24"/>
        </w:rPr>
        <w:t xml:space="preserve"> for 24 h before being </w:t>
      </w:r>
      <w:r w:rsidR="008F79FB">
        <w:rPr>
          <w:iCs/>
          <w:szCs w:val="24"/>
        </w:rPr>
        <w:t>fixed</w:t>
      </w:r>
      <w:r w:rsidRPr="0072393D">
        <w:rPr>
          <w:iCs/>
          <w:szCs w:val="24"/>
        </w:rPr>
        <w:t xml:space="preserve"> or </w:t>
      </w:r>
      <w:r w:rsidR="008F79FB">
        <w:rPr>
          <w:iCs/>
          <w:szCs w:val="24"/>
        </w:rPr>
        <w:t>harvested</w:t>
      </w:r>
      <w:r w:rsidRPr="0072393D">
        <w:rPr>
          <w:iCs/>
          <w:szCs w:val="24"/>
        </w:rPr>
        <w:t xml:space="preserve"> for further studies. Under these conditions, the transduction efficiency of the </w:t>
      </w:r>
      <w:r w:rsidRPr="00F40B69">
        <w:rPr>
          <w:i/>
          <w:szCs w:val="24"/>
        </w:rPr>
        <w:t xml:space="preserve">CYP1B1 </w:t>
      </w:r>
      <w:r w:rsidRPr="0072393D">
        <w:rPr>
          <w:iCs/>
          <w:szCs w:val="24"/>
        </w:rPr>
        <w:t>gene-carrying adenovirus was nearly 100%.</w:t>
      </w:r>
    </w:p>
    <w:p w14:paraId="59D7F2D3" w14:textId="77777777" w:rsidR="00ED50E1" w:rsidRDefault="00ED50E1" w:rsidP="00ED50E1">
      <w:pPr>
        <w:jc w:val="both"/>
        <w:rPr>
          <w:i/>
          <w:szCs w:val="24"/>
        </w:rPr>
      </w:pPr>
    </w:p>
    <w:p w14:paraId="3DCC6A10" w14:textId="1341AEB4" w:rsidR="00ED50E1" w:rsidRPr="00ED50E1" w:rsidRDefault="00ED50E1" w:rsidP="00ED50E1">
      <w:pPr>
        <w:jc w:val="both"/>
        <w:rPr>
          <w:i/>
          <w:szCs w:val="24"/>
          <w:u w:val="single"/>
        </w:rPr>
      </w:pPr>
      <w:r w:rsidRPr="00ED50E1">
        <w:rPr>
          <w:i/>
          <w:szCs w:val="24"/>
          <w:u w:val="single"/>
        </w:rPr>
        <w:t>Construction and transduction of CYP1B1 short hairpin RNA (shRNA) lentivirus</w:t>
      </w:r>
    </w:p>
    <w:p w14:paraId="660DB151" w14:textId="4952768B" w:rsidR="00ED50E1" w:rsidRPr="0072393D" w:rsidRDefault="00ED50E1" w:rsidP="00656405">
      <w:pPr>
        <w:ind w:firstLine="720"/>
        <w:jc w:val="both"/>
        <w:rPr>
          <w:iCs/>
          <w:szCs w:val="24"/>
        </w:rPr>
      </w:pPr>
      <w:r w:rsidRPr="0072393D">
        <w:rPr>
          <w:iCs/>
          <w:szCs w:val="24"/>
        </w:rPr>
        <w:t xml:space="preserve">The </w:t>
      </w:r>
      <w:r w:rsidR="00AA7D82">
        <w:rPr>
          <w:iCs/>
          <w:szCs w:val="24"/>
        </w:rPr>
        <w:t>plasmid</w:t>
      </w:r>
      <w:r w:rsidR="00AA7D82" w:rsidRPr="00AA7D82">
        <w:rPr>
          <w:iCs/>
          <w:szCs w:val="24"/>
        </w:rPr>
        <w:t xml:space="preserve"> </w:t>
      </w:r>
      <w:r w:rsidR="00AA7D82" w:rsidRPr="0072393D">
        <w:rPr>
          <w:iCs/>
          <w:szCs w:val="24"/>
        </w:rPr>
        <w:t xml:space="preserve">pLKO.1 that encodes a human immunodeficiency virus (HIV)-derived lentiviral vector </w:t>
      </w:r>
      <w:r w:rsidR="00AA7D82">
        <w:rPr>
          <w:iCs/>
          <w:szCs w:val="24"/>
        </w:rPr>
        <w:t>adequate for</w:t>
      </w:r>
      <w:r w:rsidR="00AA7D82" w:rsidRPr="0072393D">
        <w:rPr>
          <w:iCs/>
          <w:szCs w:val="24"/>
        </w:rPr>
        <w:t xml:space="preserve"> the insertion of shRNA constructs driven by an upstream U6 promoter</w:t>
      </w:r>
      <w:r w:rsidR="00AA7D82">
        <w:rPr>
          <w:iCs/>
          <w:szCs w:val="24"/>
        </w:rPr>
        <w:t xml:space="preserve"> was cloned with the </w:t>
      </w:r>
      <w:r w:rsidRPr="0072393D">
        <w:rPr>
          <w:iCs/>
          <w:szCs w:val="24"/>
        </w:rPr>
        <w:t>optimal s</w:t>
      </w:r>
      <w:r w:rsidR="00454A05">
        <w:rPr>
          <w:iCs/>
          <w:szCs w:val="24"/>
        </w:rPr>
        <w:t>hort</w:t>
      </w:r>
      <w:r w:rsidRPr="0072393D">
        <w:rPr>
          <w:iCs/>
          <w:szCs w:val="24"/>
        </w:rPr>
        <w:t xml:space="preserve"> </w:t>
      </w:r>
      <w:r w:rsidR="00454A05">
        <w:rPr>
          <w:iCs/>
          <w:szCs w:val="24"/>
        </w:rPr>
        <w:t>hairpin</w:t>
      </w:r>
      <w:r w:rsidRPr="0072393D">
        <w:rPr>
          <w:iCs/>
          <w:szCs w:val="24"/>
        </w:rPr>
        <w:t xml:space="preserve"> RNA (s</w:t>
      </w:r>
      <w:r w:rsidR="00454A05">
        <w:rPr>
          <w:iCs/>
          <w:szCs w:val="24"/>
        </w:rPr>
        <w:t>h</w:t>
      </w:r>
      <w:r w:rsidRPr="0072393D">
        <w:rPr>
          <w:iCs/>
          <w:szCs w:val="24"/>
        </w:rPr>
        <w:t xml:space="preserve">RNA) sequence targeting human </w:t>
      </w:r>
      <w:r w:rsidRPr="00F40B69">
        <w:rPr>
          <w:i/>
          <w:szCs w:val="24"/>
        </w:rPr>
        <w:t>CYP1B1</w:t>
      </w:r>
      <w:r w:rsidRPr="0072393D">
        <w:rPr>
          <w:iCs/>
          <w:szCs w:val="24"/>
        </w:rPr>
        <w:t xml:space="preserve"> (5</w:t>
      </w:r>
      <w:r>
        <w:rPr>
          <w:iCs/>
          <w:szCs w:val="24"/>
        </w:rPr>
        <w:t>′</w:t>
      </w:r>
      <w:r w:rsidRPr="0072393D">
        <w:rPr>
          <w:iCs/>
          <w:szCs w:val="24"/>
        </w:rPr>
        <w:t>-GCGACATGATGGACGCCTTTAT-3</w:t>
      </w:r>
      <w:r>
        <w:rPr>
          <w:iCs/>
          <w:szCs w:val="24"/>
        </w:rPr>
        <w:t>′</w:t>
      </w:r>
      <w:r w:rsidRPr="0072393D">
        <w:rPr>
          <w:iCs/>
          <w:szCs w:val="24"/>
        </w:rPr>
        <w:t>). This modified plasmid or empty vector was then co</w:t>
      </w:r>
      <w:r>
        <w:rPr>
          <w:iCs/>
          <w:szCs w:val="24"/>
        </w:rPr>
        <w:t>-</w:t>
      </w:r>
      <w:r w:rsidRPr="0072393D">
        <w:rPr>
          <w:iCs/>
          <w:szCs w:val="24"/>
        </w:rPr>
        <w:t>transfected into HEK293T cells with plasmids</w:t>
      </w:r>
      <w:r w:rsidR="00AA7D82">
        <w:rPr>
          <w:iCs/>
          <w:szCs w:val="24"/>
        </w:rPr>
        <w:t xml:space="preserve"> for lentiviral packaging</w:t>
      </w:r>
      <w:r w:rsidRPr="0072393D">
        <w:rPr>
          <w:iCs/>
          <w:szCs w:val="24"/>
        </w:rPr>
        <w:t xml:space="preserve"> to produce </w:t>
      </w:r>
      <w:r w:rsidR="00AA7D82">
        <w:rPr>
          <w:iCs/>
          <w:szCs w:val="24"/>
        </w:rPr>
        <w:t xml:space="preserve">control </w:t>
      </w:r>
      <w:r w:rsidRPr="0072393D">
        <w:rPr>
          <w:iCs/>
          <w:szCs w:val="24"/>
        </w:rPr>
        <w:t xml:space="preserve">or </w:t>
      </w:r>
      <w:r w:rsidR="00AA7D82" w:rsidRPr="00F40B69">
        <w:rPr>
          <w:i/>
          <w:szCs w:val="24"/>
        </w:rPr>
        <w:t>CYP1B1</w:t>
      </w:r>
      <w:r w:rsidRPr="0072393D">
        <w:rPr>
          <w:iCs/>
          <w:szCs w:val="24"/>
        </w:rPr>
        <w:t xml:space="preserve"> shRNA lentivirus. </w:t>
      </w:r>
      <w:r w:rsidR="00C013F5">
        <w:rPr>
          <w:iCs/>
          <w:szCs w:val="24"/>
        </w:rPr>
        <w:t>T</w:t>
      </w:r>
      <w:r w:rsidR="00C013F5" w:rsidRPr="0072393D">
        <w:rPr>
          <w:iCs/>
          <w:szCs w:val="24"/>
        </w:rPr>
        <w:t xml:space="preserve">he constructed control or </w:t>
      </w:r>
      <w:r w:rsidR="00C013F5" w:rsidRPr="00F40B69">
        <w:rPr>
          <w:i/>
          <w:szCs w:val="24"/>
        </w:rPr>
        <w:t>CYP1B1</w:t>
      </w:r>
      <w:r w:rsidR="00C013F5" w:rsidRPr="0072393D">
        <w:rPr>
          <w:iCs/>
          <w:szCs w:val="24"/>
        </w:rPr>
        <w:t xml:space="preserve"> shRNA lentivirus</w:t>
      </w:r>
      <w:r w:rsidR="00C013F5" w:rsidRPr="0072393D">
        <w:rPr>
          <w:iCs/>
          <w:szCs w:val="24"/>
        </w:rPr>
        <w:t xml:space="preserve"> </w:t>
      </w:r>
      <w:r w:rsidR="00C013F5">
        <w:rPr>
          <w:iCs/>
          <w:szCs w:val="24"/>
        </w:rPr>
        <w:t>were added to cells for virus infection and gene transduction</w:t>
      </w:r>
      <w:r w:rsidRPr="0072393D">
        <w:rPr>
          <w:iCs/>
          <w:szCs w:val="24"/>
        </w:rPr>
        <w:t xml:space="preserve">, and </w:t>
      </w:r>
      <w:r w:rsidR="00C013F5">
        <w:rPr>
          <w:iCs/>
          <w:szCs w:val="24"/>
        </w:rPr>
        <w:t xml:space="preserve">after 24 h, </w:t>
      </w:r>
      <w:r w:rsidRPr="0072393D">
        <w:rPr>
          <w:iCs/>
          <w:szCs w:val="24"/>
        </w:rPr>
        <w:t>infected cells were</w:t>
      </w:r>
      <w:r w:rsidR="00C013F5">
        <w:rPr>
          <w:iCs/>
          <w:szCs w:val="24"/>
        </w:rPr>
        <w:t xml:space="preserve"> treated with </w:t>
      </w:r>
      <w:r w:rsidRPr="0072393D">
        <w:rPr>
          <w:iCs/>
          <w:szCs w:val="24"/>
        </w:rPr>
        <w:t xml:space="preserve">puromycin </w:t>
      </w:r>
      <w:r w:rsidR="00C013F5">
        <w:rPr>
          <w:iCs/>
          <w:szCs w:val="24"/>
        </w:rPr>
        <w:t>for selection</w:t>
      </w:r>
      <w:r w:rsidRPr="0072393D">
        <w:rPr>
          <w:iCs/>
          <w:szCs w:val="24"/>
        </w:rPr>
        <w:t>. After 24 h, the media was replaced with growth media</w:t>
      </w:r>
      <w:r w:rsidR="00C013F5">
        <w:rPr>
          <w:iCs/>
          <w:szCs w:val="24"/>
        </w:rPr>
        <w:t xml:space="preserve"> without puromycin</w:t>
      </w:r>
      <w:r w:rsidRPr="0072393D">
        <w:rPr>
          <w:iCs/>
          <w:szCs w:val="24"/>
        </w:rPr>
        <w:t xml:space="preserve">, and cells were cultured for further </w:t>
      </w:r>
      <w:r w:rsidRPr="00F40B69">
        <w:rPr>
          <w:i/>
          <w:szCs w:val="24"/>
        </w:rPr>
        <w:t xml:space="preserve">CYP1B1 </w:t>
      </w:r>
      <w:r w:rsidRPr="0072393D">
        <w:rPr>
          <w:iCs/>
          <w:szCs w:val="24"/>
        </w:rPr>
        <w:t>knockdown studies.</w:t>
      </w:r>
    </w:p>
    <w:p w14:paraId="63FECD73" w14:textId="77777777" w:rsidR="00ED50E1" w:rsidRDefault="00ED50E1" w:rsidP="00ED50E1">
      <w:pPr>
        <w:jc w:val="both"/>
        <w:rPr>
          <w:i/>
          <w:szCs w:val="24"/>
        </w:rPr>
      </w:pPr>
    </w:p>
    <w:p w14:paraId="36585189" w14:textId="64066287" w:rsidR="00ED50E1" w:rsidRPr="00ED50E1" w:rsidRDefault="00ED50E1" w:rsidP="00ED50E1">
      <w:pPr>
        <w:jc w:val="both"/>
        <w:rPr>
          <w:i/>
          <w:szCs w:val="24"/>
          <w:u w:val="single"/>
        </w:rPr>
      </w:pPr>
      <w:r w:rsidRPr="00ED50E1">
        <w:rPr>
          <w:i/>
          <w:szCs w:val="24"/>
          <w:u w:val="single"/>
        </w:rPr>
        <w:t>Transient transfection of plasmid DNA and siRNA</w:t>
      </w:r>
    </w:p>
    <w:p w14:paraId="753CB7D4" w14:textId="20465616" w:rsidR="00ED50E1" w:rsidRPr="0072393D" w:rsidRDefault="00DE4FD1" w:rsidP="00656405">
      <w:pPr>
        <w:ind w:firstLine="720"/>
        <w:jc w:val="both"/>
        <w:rPr>
          <w:i/>
          <w:szCs w:val="24"/>
        </w:rPr>
      </w:pPr>
      <w:r>
        <w:rPr>
          <w:iCs/>
          <w:szCs w:val="24"/>
        </w:rPr>
        <w:t>T</w:t>
      </w:r>
      <w:r w:rsidRPr="0072393D">
        <w:rPr>
          <w:iCs/>
          <w:szCs w:val="24"/>
        </w:rPr>
        <w:t xml:space="preserve">he </w:t>
      </w:r>
      <w:r>
        <w:rPr>
          <w:iCs/>
          <w:szCs w:val="24"/>
        </w:rPr>
        <w:t>plasmid</w:t>
      </w:r>
      <w:r w:rsidRPr="0072393D">
        <w:rPr>
          <w:iCs/>
          <w:szCs w:val="24"/>
        </w:rPr>
        <w:t xml:space="preserve"> </w:t>
      </w:r>
      <w:proofErr w:type="spellStart"/>
      <w:r w:rsidRPr="0072393D">
        <w:rPr>
          <w:iCs/>
          <w:szCs w:val="24"/>
        </w:rPr>
        <w:t>pcDNA</w:t>
      </w:r>
      <w:proofErr w:type="spellEnd"/>
      <w:r w:rsidRPr="0072393D">
        <w:rPr>
          <w:iCs/>
          <w:szCs w:val="24"/>
        </w:rPr>
        <w:t xml:space="preserve"> 3.1/</w:t>
      </w:r>
      <w:proofErr w:type="spellStart"/>
      <w:r w:rsidRPr="0072393D">
        <w:rPr>
          <w:iCs/>
          <w:szCs w:val="24"/>
        </w:rPr>
        <w:t>Zeo</w:t>
      </w:r>
      <w:proofErr w:type="spellEnd"/>
      <w:r w:rsidRPr="0072393D">
        <w:rPr>
          <w:iCs/>
          <w:szCs w:val="24"/>
        </w:rPr>
        <w:t xml:space="preserve"> </w:t>
      </w:r>
      <w:r>
        <w:rPr>
          <w:iCs/>
          <w:szCs w:val="24"/>
        </w:rPr>
        <w:t>carrying</w:t>
      </w:r>
      <w:r w:rsidRPr="0072393D">
        <w:rPr>
          <w:iCs/>
          <w:szCs w:val="24"/>
        </w:rPr>
        <w:t xml:space="preserve"> the CYP1B1-encoding sequence</w:t>
      </w:r>
      <w:r>
        <w:rPr>
          <w:iCs/>
          <w:szCs w:val="24"/>
        </w:rPr>
        <w:t xml:space="preserve"> for CYP1B1 overexpression and</w:t>
      </w:r>
      <w:r w:rsidRPr="0072393D">
        <w:rPr>
          <w:iCs/>
          <w:szCs w:val="24"/>
        </w:rPr>
        <w:t xml:space="preserve"> </w:t>
      </w:r>
      <w:r w:rsidR="00ED50E1" w:rsidRPr="00F40B69">
        <w:rPr>
          <w:i/>
          <w:szCs w:val="24"/>
        </w:rPr>
        <w:t>CYP1B1</w:t>
      </w:r>
      <w:r w:rsidR="00ED50E1" w:rsidRPr="0072393D">
        <w:rPr>
          <w:iCs/>
          <w:szCs w:val="24"/>
        </w:rPr>
        <w:t>-specific siRNA (target sequence: CAGCATGATGCGCAACTTCTT, QIAGEN</w:t>
      </w:r>
      <w:r w:rsidR="00ED50E1">
        <w:rPr>
          <w:iCs/>
          <w:szCs w:val="24"/>
        </w:rPr>
        <w:t xml:space="preserve">, </w:t>
      </w:r>
      <w:r w:rsidR="00ED50E1" w:rsidRPr="001B79CD">
        <w:rPr>
          <w:iCs/>
          <w:szCs w:val="24"/>
        </w:rPr>
        <w:t>Hilden, Germany</w:t>
      </w:r>
      <w:r w:rsidR="00ED50E1" w:rsidRPr="0072393D">
        <w:rPr>
          <w:iCs/>
          <w:szCs w:val="24"/>
        </w:rPr>
        <w:t>) were used in transfections. Cells (1×10</w:t>
      </w:r>
      <w:r w:rsidR="00ED50E1" w:rsidRPr="00DE4FD1">
        <w:rPr>
          <w:iCs/>
          <w:szCs w:val="24"/>
          <w:vertAlign w:val="superscript"/>
        </w:rPr>
        <w:t>6</w:t>
      </w:r>
      <w:r w:rsidR="00ED50E1" w:rsidRPr="0072393D">
        <w:rPr>
          <w:iCs/>
          <w:szCs w:val="24"/>
        </w:rPr>
        <w:t xml:space="preserve"> cells/dish) were transfected with </w:t>
      </w:r>
      <w:r w:rsidRPr="0072393D">
        <w:rPr>
          <w:iCs/>
          <w:szCs w:val="24"/>
        </w:rPr>
        <w:t>3 µg plasmid</w:t>
      </w:r>
      <w:r>
        <w:rPr>
          <w:iCs/>
          <w:szCs w:val="24"/>
        </w:rPr>
        <w:t xml:space="preserve"> or</w:t>
      </w:r>
      <w:r w:rsidRPr="0072393D">
        <w:rPr>
          <w:iCs/>
          <w:szCs w:val="24"/>
        </w:rPr>
        <w:t xml:space="preserve"> </w:t>
      </w:r>
      <w:r w:rsidR="00ED50E1" w:rsidRPr="0072393D">
        <w:rPr>
          <w:iCs/>
          <w:szCs w:val="24"/>
        </w:rPr>
        <w:t xml:space="preserve">37.5 </w:t>
      </w:r>
      <w:proofErr w:type="spellStart"/>
      <w:r w:rsidR="00ED50E1" w:rsidRPr="0072393D">
        <w:rPr>
          <w:iCs/>
          <w:szCs w:val="24"/>
        </w:rPr>
        <w:t>nM</w:t>
      </w:r>
      <w:proofErr w:type="spellEnd"/>
      <w:r w:rsidR="00ED50E1" w:rsidRPr="0072393D">
        <w:rPr>
          <w:iCs/>
          <w:szCs w:val="24"/>
        </w:rPr>
        <w:t xml:space="preserve"> siRNA at room temperature with the Neon Transfection System (Invitrogen, Carlsbad, CA, USA) and cultured in </w:t>
      </w:r>
      <w:r>
        <w:rPr>
          <w:iCs/>
          <w:szCs w:val="24"/>
        </w:rPr>
        <w:t xml:space="preserve">60- or </w:t>
      </w:r>
      <w:r w:rsidR="00ED50E1" w:rsidRPr="0072393D">
        <w:rPr>
          <w:iCs/>
          <w:szCs w:val="24"/>
        </w:rPr>
        <w:t>100-mm dishes in RPMI</w:t>
      </w:r>
      <w:r>
        <w:rPr>
          <w:iCs/>
          <w:szCs w:val="24"/>
        </w:rPr>
        <w:t xml:space="preserve"> containing</w:t>
      </w:r>
      <w:r w:rsidR="00ED50E1" w:rsidRPr="0072393D">
        <w:rPr>
          <w:iCs/>
          <w:szCs w:val="24"/>
        </w:rPr>
        <w:t xml:space="preserve"> 10% FBS</w:t>
      </w:r>
      <w:r>
        <w:rPr>
          <w:iCs/>
          <w:szCs w:val="24"/>
        </w:rPr>
        <w:t xml:space="preserve"> without antibiotics</w:t>
      </w:r>
      <w:r w:rsidR="00ED50E1" w:rsidRPr="0072393D">
        <w:rPr>
          <w:iCs/>
          <w:szCs w:val="24"/>
        </w:rPr>
        <w:t>. Cells were harvested or treated with agents after 48 hours for further studies.</w:t>
      </w:r>
      <w:r w:rsidR="00ED50E1" w:rsidRPr="0072393D">
        <w:rPr>
          <w:i/>
          <w:szCs w:val="24"/>
        </w:rPr>
        <w:t xml:space="preserve"> </w:t>
      </w:r>
    </w:p>
    <w:p w14:paraId="459CC664" w14:textId="77777777" w:rsidR="00ED50E1" w:rsidRDefault="00ED50E1" w:rsidP="00ED50E1">
      <w:pPr>
        <w:pStyle w:val="SMText"/>
        <w:jc w:val="both"/>
      </w:pPr>
    </w:p>
    <w:p w14:paraId="0307BF9A" w14:textId="77777777" w:rsidR="00656405" w:rsidRPr="00656405" w:rsidRDefault="00656405" w:rsidP="00656405">
      <w:pPr>
        <w:pStyle w:val="SMText"/>
        <w:ind w:firstLine="0"/>
        <w:jc w:val="both"/>
        <w:rPr>
          <w:i/>
          <w:iCs/>
          <w:u w:val="single"/>
        </w:rPr>
      </w:pPr>
      <w:r w:rsidRPr="00656405">
        <w:rPr>
          <w:i/>
          <w:iCs/>
          <w:u w:val="single"/>
        </w:rPr>
        <w:lastRenderedPageBreak/>
        <w:t>Western blot analysis</w:t>
      </w:r>
    </w:p>
    <w:p w14:paraId="5B4E1A4F" w14:textId="55E96D27" w:rsidR="00656405" w:rsidRDefault="00656405" w:rsidP="00656405">
      <w:pPr>
        <w:pStyle w:val="SMText"/>
        <w:jc w:val="both"/>
      </w:pPr>
      <w:r>
        <w:t xml:space="preserve"> Whole cells were </w:t>
      </w:r>
      <w:r w:rsidR="00087F80">
        <w:t xml:space="preserve">scrapped for </w:t>
      </w:r>
      <w:r>
        <w:t xml:space="preserve">harvest and lysed for 30 min in 50 mM Tris-HCl (pH 8.0) </w:t>
      </w:r>
      <w:r w:rsidR="00087F80">
        <w:t>with</w:t>
      </w:r>
      <w:r>
        <w:t xml:space="preserve"> </w:t>
      </w:r>
      <w:r w:rsidR="00087F80">
        <w:t>1 mM PMSF</w:t>
      </w:r>
      <w:r w:rsidR="00087F80">
        <w:t xml:space="preserve">, </w:t>
      </w:r>
      <w:r w:rsidR="00087F80">
        <w:t>1 µg/mL leupeptin</w:t>
      </w:r>
      <w:r w:rsidR="00087F80">
        <w:t xml:space="preserve">, </w:t>
      </w:r>
      <w:r w:rsidR="00087F80">
        <w:t xml:space="preserve">1% </w:t>
      </w:r>
      <w:proofErr w:type="spellStart"/>
      <w:r w:rsidR="00087F80">
        <w:t>nonidet</w:t>
      </w:r>
      <w:proofErr w:type="spellEnd"/>
      <w:r w:rsidR="00087F80">
        <w:t xml:space="preserve"> P-40</w:t>
      </w:r>
      <w:r w:rsidR="00087F80">
        <w:t xml:space="preserve">, </w:t>
      </w:r>
      <w:r w:rsidR="00087F80">
        <w:t>1 µg/mL aprotinin</w:t>
      </w:r>
      <w:r w:rsidR="00087F80">
        <w:t xml:space="preserve">, and </w:t>
      </w:r>
      <w:r>
        <w:t>150 mM NaCl</w:t>
      </w:r>
      <w:r w:rsidR="00087F80">
        <w:t xml:space="preserve">, and subsequently </w:t>
      </w:r>
      <w:r>
        <w:t>centrifug</w:t>
      </w:r>
      <w:r w:rsidR="00087F80">
        <w:t>ed</w:t>
      </w:r>
      <w:r>
        <w:t xml:space="preserve"> at</w:t>
      </w:r>
      <w:r w:rsidR="00087F80">
        <w:t xml:space="preserve"> </w:t>
      </w:r>
      <w:r w:rsidR="00087F80">
        <w:t>4°C</w:t>
      </w:r>
      <w:r>
        <w:t xml:space="preserve"> for 15 min at</w:t>
      </w:r>
      <w:r w:rsidR="00087F80">
        <w:t xml:space="preserve"> </w:t>
      </w:r>
      <w:r w:rsidR="00087F80">
        <w:t>22000 g</w:t>
      </w:r>
      <w:r>
        <w:t xml:space="preserve">. </w:t>
      </w:r>
      <w:r w:rsidR="00863C1A">
        <w:t>The b</w:t>
      </w:r>
      <w:r w:rsidR="00863C1A">
        <w:t>icinchoninic acid (BCA) Protein Assay Reagents (</w:t>
      </w:r>
      <w:proofErr w:type="spellStart"/>
      <w:r w:rsidR="00863C1A">
        <w:t>Thermo</w:t>
      </w:r>
      <w:proofErr w:type="spellEnd"/>
      <w:r w:rsidR="00863C1A">
        <w:t xml:space="preserve"> Fisher Scientific)</w:t>
      </w:r>
      <w:r w:rsidR="00863C1A">
        <w:t xml:space="preserve"> were used for determination of p</w:t>
      </w:r>
      <w:r>
        <w:t xml:space="preserve">rotein concentrations. </w:t>
      </w:r>
      <w:r w:rsidR="00863C1A">
        <w:t>20 µg</w:t>
      </w:r>
      <w:r w:rsidR="00863C1A">
        <w:t xml:space="preserve"> of e</w:t>
      </w:r>
      <w:r>
        <w:t>xtracted proteins</w:t>
      </w:r>
      <w:r w:rsidR="00863C1A">
        <w:t xml:space="preserve"> </w:t>
      </w:r>
      <w:r>
        <w:t>were separated using SDS-PAGE on 10–1</w:t>
      </w:r>
      <w:r w:rsidR="00863C1A">
        <w:t>5</w:t>
      </w:r>
      <w:r>
        <w:t>% polyacrylamide gels and</w:t>
      </w:r>
      <w:r w:rsidR="00863C1A">
        <w:t xml:space="preserve"> </w:t>
      </w:r>
      <w:r>
        <w:t>transferred onto PVDF membranes</w:t>
      </w:r>
      <w:r w:rsidR="00863C1A">
        <w:t xml:space="preserve"> </w:t>
      </w:r>
      <w:proofErr w:type="spellStart"/>
      <w:r w:rsidR="00863C1A">
        <w:t>electrophoreticall</w:t>
      </w:r>
      <w:r w:rsidR="00863C1A">
        <w:t>y</w:t>
      </w:r>
      <w:proofErr w:type="spellEnd"/>
      <w:r>
        <w:t xml:space="preserve">. </w:t>
      </w:r>
      <w:r w:rsidR="009E78FD">
        <w:t>Incubation with specific antibodies was performed overnight for membranes following b</w:t>
      </w:r>
      <w:r>
        <w:t xml:space="preserve">locking </w:t>
      </w:r>
      <w:r w:rsidR="009E78FD">
        <w:t>process with</w:t>
      </w:r>
      <w:r>
        <w:t xml:space="preserve"> 5% nonfat milk in Tris-buffered saline containing 0.1% Tween-20</w:t>
      </w:r>
      <w:r w:rsidR="00863C1A">
        <w:t xml:space="preserve"> (TBS-T)</w:t>
      </w:r>
      <w:r>
        <w:t xml:space="preserve"> for 1 h at 4°C. Proteins were visualized </w:t>
      </w:r>
      <w:r w:rsidR="00C13269">
        <w:t>by</w:t>
      </w:r>
      <w:r>
        <w:t xml:space="preserve"> enhanced chemiluminescence reagents after 2 h of incubation with secondary antibodies (</w:t>
      </w:r>
      <w:proofErr w:type="spellStart"/>
      <w:r>
        <w:t>Thermo</w:t>
      </w:r>
      <w:proofErr w:type="spellEnd"/>
      <w:r>
        <w:t xml:space="preserve"> Fisher Scientific). Quantitative data was obtained using Quantity One software (Bio-Rad, Hercules, CA, USA).</w:t>
      </w:r>
    </w:p>
    <w:p w14:paraId="3C0025B6" w14:textId="77777777" w:rsidR="00656405" w:rsidRDefault="00656405" w:rsidP="00656405">
      <w:pPr>
        <w:pStyle w:val="SMText"/>
        <w:jc w:val="both"/>
      </w:pPr>
    </w:p>
    <w:p w14:paraId="5E543EB6" w14:textId="77777777" w:rsidR="00656405" w:rsidRPr="00656405" w:rsidRDefault="00656405" w:rsidP="00656405">
      <w:pPr>
        <w:pStyle w:val="SMText"/>
        <w:ind w:firstLine="0"/>
        <w:jc w:val="both"/>
        <w:rPr>
          <w:i/>
          <w:iCs/>
          <w:u w:val="single"/>
        </w:rPr>
      </w:pPr>
      <w:r w:rsidRPr="00656405">
        <w:rPr>
          <w:i/>
          <w:iCs/>
          <w:u w:val="single"/>
        </w:rPr>
        <w:t>Real-time PCR (Quantitative PCR, qPCR)</w:t>
      </w:r>
    </w:p>
    <w:p w14:paraId="1E477AA7" w14:textId="0F85E755" w:rsidR="008C05EE" w:rsidRDefault="00656405" w:rsidP="00656405">
      <w:pPr>
        <w:pStyle w:val="SMText"/>
        <w:ind w:firstLine="720"/>
        <w:jc w:val="both"/>
      </w:pPr>
      <w:r>
        <w:t xml:space="preserve">Total RNA was extracted using </w:t>
      </w:r>
      <w:proofErr w:type="spellStart"/>
      <w:r>
        <w:t>Ribospin</w:t>
      </w:r>
      <w:proofErr w:type="spellEnd"/>
      <w:r>
        <w:t xml:space="preserve">™ </w:t>
      </w:r>
      <w:proofErr w:type="spellStart"/>
      <w:r>
        <w:t>vRD</w:t>
      </w:r>
      <w:proofErr w:type="spellEnd"/>
      <w:r>
        <w:t xml:space="preserve"> (</w:t>
      </w:r>
      <w:proofErr w:type="spellStart"/>
      <w:r>
        <w:t>GeneAll</w:t>
      </w:r>
      <w:proofErr w:type="spellEnd"/>
      <w:r>
        <w:t xml:space="preserve">, </w:t>
      </w:r>
      <w:proofErr w:type="spellStart"/>
      <w:r>
        <w:t>Songpa</w:t>
      </w:r>
      <w:proofErr w:type="spellEnd"/>
      <w:r>
        <w:t xml:space="preserve">, Seoul, South Korea). At 37°C for 1 h, </w:t>
      </w:r>
      <w:r w:rsidR="00C13269">
        <w:t xml:space="preserve">the reverse transcription for </w:t>
      </w:r>
      <w:r>
        <w:t xml:space="preserve">total RNA (500 ng) was </w:t>
      </w:r>
      <w:r w:rsidR="00C13269">
        <w:t>conducted</w:t>
      </w:r>
      <w:r>
        <w:t xml:space="preserve"> in 20 µL of total volume containing 5× RT buffer, </w:t>
      </w:r>
      <w:r w:rsidR="00C13269">
        <w:t xml:space="preserve">100 </w:t>
      </w:r>
      <w:proofErr w:type="spellStart"/>
      <w:r w:rsidR="00C13269">
        <w:t>pmol</w:t>
      </w:r>
      <w:proofErr w:type="spellEnd"/>
      <w:r w:rsidR="00C13269">
        <w:t xml:space="preserve"> oligo-dT primer</w:t>
      </w:r>
      <w:r w:rsidR="00C13269">
        <w:t xml:space="preserve">, </w:t>
      </w:r>
      <w:r w:rsidR="00C13269">
        <w:t>40 U RNase inhibitor</w:t>
      </w:r>
      <w:r w:rsidR="00C13269">
        <w:t xml:space="preserve">, </w:t>
      </w:r>
      <w:r>
        <w:t xml:space="preserve">10 mM dNTPs, </w:t>
      </w:r>
      <w:r w:rsidR="00C13269">
        <w:t>and</w:t>
      </w:r>
      <w:r>
        <w:t xml:space="preserve"> 200 U M-MLV reverse transcriptase. The Rotor-Gene SYBR® PCR Kit (QIAGEN) was used for quantitative PCR (qPCR), and QIAGEN Rotor-Gene Q Series software</w:t>
      </w:r>
      <w:r w:rsidR="001A6903">
        <w:t xml:space="preserve"> was used for </w:t>
      </w:r>
      <w:r w:rsidR="003456BA">
        <w:t>analyzing the</w:t>
      </w:r>
      <w:r w:rsidR="001A6903">
        <w:t xml:space="preserve"> results</w:t>
      </w:r>
      <w:r>
        <w:t xml:space="preserve">. Each reaction contained </w:t>
      </w:r>
      <w:r w:rsidR="00452F1A">
        <w:t>1 µM oligonucleotide primers</w:t>
      </w:r>
      <w:r w:rsidR="00452F1A">
        <w:t xml:space="preserve">, </w:t>
      </w:r>
      <w:r w:rsidR="00452F1A">
        <w:t>2 µL cDNA</w:t>
      </w:r>
      <w:r w:rsidR="00452F1A">
        <w:t>, and</w:t>
      </w:r>
      <w:r w:rsidR="00452F1A">
        <w:t xml:space="preserve"> </w:t>
      </w:r>
      <w:r>
        <w:t xml:space="preserve">12.5 </w:t>
      </w:r>
      <w:proofErr w:type="spellStart"/>
      <w:r>
        <w:t>μL</w:t>
      </w:r>
      <w:proofErr w:type="spellEnd"/>
      <w:r>
        <w:t xml:space="preserve"> 2× SYBR® Green PCR Master Mix in a final volume of 25 µL. PCR conditions were set as follows: one cycle at 95°C for 5 min, followed by 40 cycles of denaturation at 95°C for 5 s, and annealing/extension at 60°C for 10 s. Data is representative of experiments in triplicate. Primer sequences are listed in Supplementary Table S1.</w:t>
      </w:r>
    </w:p>
    <w:p w14:paraId="246D9C7E" w14:textId="77777777" w:rsidR="00656405" w:rsidRDefault="00656405" w:rsidP="00656405">
      <w:pPr>
        <w:pStyle w:val="SMText"/>
        <w:ind w:firstLine="0"/>
        <w:jc w:val="both"/>
      </w:pPr>
    </w:p>
    <w:p w14:paraId="70601816" w14:textId="33036605" w:rsidR="00656405" w:rsidRPr="00656405" w:rsidRDefault="00656405" w:rsidP="00656405">
      <w:pPr>
        <w:pStyle w:val="SMText"/>
        <w:ind w:firstLine="0"/>
        <w:jc w:val="both"/>
        <w:rPr>
          <w:i/>
          <w:iCs/>
          <w:u w:val="single"/>
        </w:rPr>
      </w:pPr>
      <w:r w:rsidRPr="00656405">
        <w:rPr>
          <w:i/>
          <w:iCs/>
          <w:u w:val="single"/>
        </w:rPr>
        <w:t>Confocal microscopic analysis</w:t>
      </w:r>
    </w:p>
    <w:p w14:paraId="2AF153E1" w14:textId="1E1556AD" w:rsidR="00656405" w:rsidRDefault="00656405" w:rsidP="00656405">
      <w:pPr>
        <w:pStyle w:val="SMText"/>
        <w:ind w:firstLine="720"/>
        <w:jc w:val="both"/>
      </w:pPr>
      <w:r>
        <w:t>Cells</w:t>
      </w:r>
      <w:r w:rsidR="00CA10E6">
        <w:t xml:space="preserve"> were</w:t>
      </w:r>
      <w:r>
        <w:t xml:space="preserve"> </w:t>
      </w:r>
      <w:r w:rsidR="00F60C9F">
        <w:t>cultured</w:t>
      </w:r>
      <w:r>
        <w:t xml:space="preserve"> on coverslips</w:t>
      </w:r>
      <w:r w:rsidR="00F60C9F">
        <w:t xml:space="preserve"> after transfection or virus infection </w:t>
      </w:r>
      <w:r w:rsidR="00CA10E6">
        <w:t>or</w:t>
      </w:r>
      <w:r>
        <w:t xml:space="preserve"> treated with the indicated reagent concentration</w:t>
      </w:r>
      <w:r w:rsidR="00CA10E6">
        <w:t>s</w:t>
      </w:r>
      <w:r>
        <w:t xml:space="preserve">, rapidly washed with PBS, and fixed with 3.7% (w/v) paraformaldehyde for 30 min at room temperature. After washing with PBS, the cells were blocked for 30 min using PBS containing 5% goat serum and 0.2% Triton X-100 before being incubated overnight with specific primary antibodies. The cells were then thoroughly washed before being stained for 2 h with Texas Red-conjugated goat anti-rabbit IgG or </w:t>
      </w:r>
      <w:proofErr w:type="spellStart"/>
      <w:r>
        <w:t>DyLight</w:t>
      </w:r>
      <w:proofErr w:type="spellEnd"/>
      <w:r>
        <w:t>® 594-conjugated goat anti-mouse IgG (1:500) for 2 h. Following additional washes, the coverslips were mounted onto glass slides using Ultra Cruz™ Mounting Medium containing DAPI. Fluorescence signals were detected using a LSM700 Confocal Laser Scanning Microscope (Carl Zeiss).</w:t>
      </w:r>
    </w:p>
    <w:p w14:paraId="36479DDE" w14:textId="66ED20BD" w:rsidR="00732A54" w:rsidRDefault="00732A54" w:rsidP="00ED50E1">
      <w:pPr>
        <w:jc w:val="both"/>
      </w:pPr>
      <w:r>
        <w:br w:type="page"/>
      </w:r>
    </w:p>
    <w:p w14:paraId="6932EAAB" w14:textId="77777777" w:rsidR="00986C75" w:rsidRPr="009D6193" w:rsidRDefault="00986C75" w:rsidP="00735EE0">
      <w:pPr>
        <w:spacing w:line="276" w:lineRule="auto"/>
        <w:ind w:leftChars="59" w:left="142"/>
        <w:jc w:val="both"/>
        <w:rPr>
          <w:b/>
        </w:rPr>
      </w:pPr>
      <w:r>
        <w:rPr>
          <w:b/>
        </w:rPr>
        <w:lastRenderedPageBreak/>
        <w:t>Supplementary Table S</w:t>
      </w:r>
      <w:r w:rsidRPr="009D6193">
        <w:rPr>
          <w:b/>
        </w:rPr>
        <w:t xml:space="preserve">1. </w:t>
      </w:r>
      <w:r w:rsidRPr="009D6193">
        <w:t xml:space="preserve">Primers for quantitative </w:t>
      </w:r>
      <w:proofErr w:type="spellStart"/>
      <w:r w:rsidRPr="009D6193">
        <w:t>realtime</w:t>
      </w:r>
      <w:proofErr w:type="spellEnd"/>
      <w:r w:rsidRPr="009D6193">
        <w:t>-PCR (qPCR) analysis.</w:t>
      </w:r>
    </w:p>
    <w:p w14:paraId="616183D3" w14:textId="77777777" w:rsidR="00986C75" w:rsidRPr="0013536C" w:rsidRDefault="00986C75" w:rsidP="00735EE0">
      <w:pPr>
        <w:adjustRightInd w:val="0"/>
        <w:spacing w:line="480" w:lineRule="auto"/>
        <w:ind w:firstLineChars="50" w:firstLine="120"/>
        <w:jc w:val="both"/>
        <w:rPr>
          <w:rFonts w:eastAsia="WarnockPro-Regular"/>
          <w:szCs w:val="24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528"/>
        <w:gridCol w:w="250"/>
      </w:tblGrid>
      <w:tr w:rsidR="00986C75" w:rsidRPr="0013536C" w14:paraId="006CB209" w14:textId="77777777" w:rsidTr="00C10F99">
        <w:trPr>
          <w:trHeight w:val="1564"/>
        </w:trPr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750B3075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CYP1B1</w:t>
            </w:r>
          </w:p>
          <w:p w14:paraId="494EED8B" w14:textId="77777777" w:rsidR="00986C75" w:rsidRPr="0013536C" w:rsidRDefault="00986C75" w:rsidP="00735EE0">
            <w:pPr>
              <w:spacing w:line="480" w:lineRule="auto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13536C">
              <w:rPr>
                <w:rFonts w:ascii="Times New Roman" w:hAnsi="Times New Roman"/>
                <w:sz w:val="22"/>
              </w:rPr>
              <w:t>Sense</w:t>
            </w:r>
          </w:p>
          <w:p w14:paraId="73FBBCD8" w14:textId="77777777" w:rsidR="00986C75" w:rsidRPr="0013536C" w:rsidRDefault="00986C75" w:rsidP="00735EE0">
            <w:pPr>
              <w:spacing w:line="480" w:lineRule="auto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13536C">
              <w:rPr>
                <w:rFonts w:ascii="Times New Roman" w:hAnsi="Times New Roman"/>
                <w:sz w:val="22"/>
              </w:rPr>
              <w:t>Antisense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bottom"/>
          </w:tcPr>
          <w:p w14:paraId="1B889206" w14:textId="77777777" w:rsidR="00986C75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13536C">
              <w:rPr>
                <w:rFonts w:ascii="Times New Roman" w:hAnsi="Times New Roman"/>
              </w:rPr>
              <w:t>5'-</w:t>
            </w:r>
            <w:r>
              <w:rPr>
                <w:rFonts w:ascii="Times New Roman" w:hAnsi="Times New Roman" w:hint="eastAsia"/>
              </w:rPr>
              <w:t>CACTGCCAACACCTCTGTCTT-3</w:t>
            </w:r>
            <w:r>
              <w:rPr>
                <w:rFonts w:ascii="Times New Roman" w:hAnsi="Times New Roman"/>
              </w:rPr>
              <w:t>’</w:t>
            </w:r>
          </w:p>
          <w:p w14:paraId="6156A4DA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13536C">
              <w:rPr>
                <w:rFonts w:ascii="Times New Roman" w:hAnsi="Times New Roman"/>
              </w:rPr>
              <w:t>5'-</w:t>
            </w:r>
            <w:r>
              <w:rPr>
                <w:rFonts w:ascii="Times New Roman" w:hAnsi="Times New Roman" w:hint="eastAsia"/>
              </w:rPr>
              <w:t>CAAGGAGCTCCATGGACTCT-3</w:t>
            </w:r>
            <w:r>
              <w:rPr>
                <w:rFonts w:ascii="Times New Roman" w:hAnsi="Times New Roman"/>
              </w:rPr>
              <w:t>’</w:t>
            </w:r>
          </w:p>
        </w:tc>
        <w:tc>
          <w:tcPr>
            <w:tcW w:w="250" w:type="dxa"/>
            <w:tcBorders>
              <w:top w:val="single" w:sz="4" w:space="0" w:color="auto"/>
            </w:tcBorders>
            <w:vAlign w:val="bottom"/>
          </w:tcPr>
          <w:p w14:paraId="53FF33A2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986C75" w:rsidRPr="0013536C" w14:paraId="32ABE420" w14:textId="77777777" w:rsidTr="00C10F99">
        <w:trPr>
          <w:trHeight w:val="1564"/>
        </w:trPr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4A8E2651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p53</w:t>
            </w:r>
          </w:p>
          <w:p w14:paraId="4A60C2F3" w14:textId="77777777" w:rsidR="00986C75" w:rsidRPr="0013536C" w:rsidRDefault="00986C75" w:rsidP="00735EE0">
            <w:pPr>
              <w:spacing w:line="480" w:lineRule="auto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13536C">
              <w:rPr>
                <w:rFonts w:ascii="Times New Roman" w:hAnsi="Times New Roman"/>
                <w:sz w:val="22"/>
              </w:rPr>
              <w:t>Sense</w:t>
            </w:r>
          </w:p>
          <w:p w14:paraId="7D23AFBA" w14:textId="77777777" w:rsidR="00986C75" w:rsidRPr="0013536C" w:rsidRDefault="00986C75" w:rsidP="00735EE0">
            <w:pPr>
              <w:spacing w:line="480" w:lineRule="auto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13536C">
              <w:rPr>
                <w:rFonts w:ascii="Times New Roman" w:hAnsi="Times New Roman"/>
                <w:sz w:val="22"/>
              </w:rPr>
              <w:t>Antisense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bottom"/>
          </w:tcPr>
          <w:p w14:paraId="5D196F66" w14:textId="77777777" w:rsidR="00986C75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13536C">
              <w:rPr>
                <w:rFonts w:ascii="Times New Roman" w:hAnsi="Times New Roman"/>
              </w:rPr>
              <w:t>5'-</w:t>
            </w:r>
            <w:r>
              <w:rPr>
                <w:rFonts w:ascii="Times New Roman" w:hAnsi="Times New Roman" w:hint="eastAsia"/>
              </w:rPr>
              <w:t xml:space="preserve"> CAGCACATGACGGAGGTTCTT -3</w:t>
            </w:r>
            <w:r>
              <w:rPr>
                <w:rFonts w:ascii="Times New Roman" w:hAnsi="Times New Roman"/>
              </w:rPr>
              <w:t>’</w:t>
            </w:r>
          </w:p>
          <w:p w14:paraId="33D38D92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13536C">
              <w:rPr>
                <w:rFonts w:ascii="Times New Roman" w:hAnsi="Times New Roman"/>
              </w:rPr>
              <w:t>5'-</w:t>
            </w:r>
            <w:r>
              <w:rPr>
                <w:rFonts w:ascii="Times New Roman" w:hAnsi="Times New Roman" w:hint="eastAsia"/>
              </w:rPr>
              <w:t xml:space="preserve"> TCATCCAAATACTCCACACGC -3</w:t>
            </w:r>
            <w:r>
              <w:rPr>
                <w:rFonts w:ascii="Times New Roman" w:hAnsi="Times New Roman"/>
              </w:rPr>
              <w:t>’</w:t>
            </w:r>
          </w:p>
        </w:tc>
        <w:tc>
          <w:tcPr>
            <w:tcW w:w="250" w:type="dxa"/>
            <w:tcBorders>
              <w:top w:val="single" w:sz="4" w:space="0" w:color="auto"/>
            </w:tcBorders>
            <w:vAlign w:val="bottom"/>
          </w:tcPr>
          <w:p w14:paraId="55EAFAFF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986C75" w:rsidRPr="0013536C" w14:paraId="6A19B24E" w14:textId="77777777" w:rsidTr="00C10F99">
        <w:trPr>
          <w:trHeight w:val="156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29A42F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GAPDH</w:t>
            </w:r>
          </w:p>
          <w:p w14:paraId="168C7D6A" w14:textId="77777777" w:rsidR="00986C75" w:rsidRPr="0013536C" w:rsidRDefault="00986C75" w:rsidP="00735EE0">
            <w:pPr>
              <w:spacing w:line="480" w:lineRule="auto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13536C">
              <w:rPr>
                <w:rFonts w:ascii="Times New Roman" w:hAnsi="Times New Roman"/>
                <w:sz w:val="22"/>
              </w:rPr>
              <w:t>Sense</w:t>
            </w:r>
          </w:p>
          <w:p w14:paraId="26B409ED" w14:textId="77777777" w:rsidR="00986C75" w:rsidRPr="0013536C" w:rsidRDefault="00986C75" w:rsidP="00735EE0">
            <w:pPr>
              <w:spacing w:line="480" w:lineRule="auto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13536C">
              <w:rPr>
                <w:rFonts w:ascii="Times New Roman" w:hAnsi="Times New Roman"/>
                <w:sz w:val="22"/>
              </w:rPr>
              <w:t>Antisense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ED8856" w14:textId="404F5385" w:rsidR="00986C75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13536C">
              <w:rPr>
                <w:rFonts w:ascii="Times New Roman" w:hAnsi="Times New Roman"/>
              </w:rPr>
              <w:t>5'-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4E3450">
              <w:rPr>
                <w:rFonts w:ascii="Times New Roman" w:hAnsi="Times New Roman" w:hint="eastAsia"/>
              </w:rPr>
              <w:t>T</w:t>
            </w:r>
            <w:r w:rsidR="004E3450">
              <w:rPr>
                <w:rFonts w:ascii="Times New Roman" w:hAnsi="Times New Roman"/>
              </w:rPr>
              <w:t>GAACGGGAAGCTCACTGG</w:t>
            </w:r>
            <w:r>
              <w:rPr>
                <w:rFonts w:ascii="Times New Roman" w:hAnsi="Times New Roman" w:hint="eastAsia"/>
              </w:rPr>
              <w:t xml:space="preserve"> -3</w:t>
            </w:r>
            <w:r>
              <w:rPr>
                <w:rFonts w:ascii="Times New Roman" w:hAnsi="Times New Roman"/>
              </w:rPr>
              <w:t>’</w:t>
            </w:r>
          </w:p>
          <w:p w14:paraId="2A9430C6" w14:textId="6EBCF8E2" w:rsidR="00986C75" w:rsidRPr="0013536C" w:rsidRDefault="00986C75" w:rsidP="004E3450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13536C">
              <w:rPr>
                <w:rFonts w:ascii="Times New Roman" w:hAnsi="Times New Roman"/>
              </w:rPr>
              <w:t>5'-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4E3450">
              <w:rPr>
                <w:rFonts w:ascii="Times New Roman" w:hAnsi="Times New Roman"/>
              </w:rPr>
              <w:t>TCCACCACCCTGTTGCTGTA</w:t>
            </w:r>
            <w:r>
              <w:rPr>
                <w:rFonts w:ascii="Times New Roman" w:hAnsi="Times New Roman" w:hint="eastAsia"/>
              </w:rPr>
              <w:t xml:space="preserve"> -3</w:t>
            </w:r>
            <w:r>
              <w:rPr>
                <w:rFonts w:ascii="Times New Roman" w:hAnsi="Times New Roman"/>
              </w:rPr>
              <w:t>’</w:t>
            </w: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1FD421" w14:textId="77777777" w:rsidR="00986C75" w:rsidRPr="0013536C" w:rsidRDefault="00986C75" w:rsidP="00735EE0">
            <w:pPr>
              <w:spacing w:line="48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0BF7DE9" w14:textId="0FE3E606" w:rsidR="00B9440A" w:rsidRPr="00015F74" w:rsidRDefault="00B9440A" w:rsidP="00735EE0">
      <w:pPr>
        <w:jc w:val="both"/>
      </w:pPr>
    </w:p>
    <w:sectPr w:rsidR="00B9440A" w:rsidRPr="00015F74" w:rsidSect="00E853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3D10E" w14:textId="77777777" w:rsidR="00B01D7A" w:rsidRDefault="00B01D7A">
      <w:r>
        <w:separator/>
      </w:r>
    </w:p>
  </w:endnote>
  <w:endnote w:type="continuationSeparator" w:id="0">
    <w:p w14:paraId="76A9B0C4" w14:textId="77777777" w:rsidR="00B01D7A" w:rsidRDefault="00B0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arnockPro-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4C05C2BE" w:rsidR="00F125EE" w:rsidRDefault="00114193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2F2E">
      <w:rPr>
        <w:noProof/>
      </w:rPr>
      <w:t>5</w:t>
    </w:r>
    <w:r>
      <w:fldChar w:fldCharType="end"/>
    </w:r>
  </w:p>
  <w:p w14:paraId="211F3547" w14:textId="77777777" w:rsidR="00F125EE" w:rsidRDefault="00F125E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C0236" w14:textId="77777777" w:rsidR="00B01D7A" w:rsidRDefault="00B01D7A">
      <w:r>
        <w:separator/>
      </w:r>
    </w:p>
  </w:footnote>
  <w:footnote w:type="continuationSeparator" w:id="0">
    <w:p w14:paraId="74481268" w14:textId="77777777" w:rsidR="00B01D7A" w:rsidRDefault="00B01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7874524">
    <w:abstractNumId w:val="9"/>
  </w:num>
  <w:num w:numId="2" w16cid:durableId="1646623588">
    <w:abstractNumId w:val="7"/>
  </w:num>
  <w:num w:numId="3" w16cid:durableId="2120100104">
    <w:abstractNumId w:val="6"/>
  </w:num>
  <w:num w:numId="4" w16cid:durableId="366298660">
    <w:abstractNumId w:val="5"/>
  </w:num>
  <w:num w:numId="5" w16cid:durableId="1253857732">
    <w:abstractNumId w:val="4"/>
  </w:num>
  <w:num w:numId="6" w16cid:durableId="313875542">
    <w:abstractNumId w:val="8"/>
  </w:num>
  <w:num w:numId="7" w16cid:durableId="1416510783">
    <w:abstractNumId w:val="3"/>
  </w:num>
  <w:num w:numId="8" w16cid:durableId="2103523528">
    <w:abstractNumId w:val="2"/>
  </w:num>
  <w:num w:numId="9" w16cid:durableId="1628584241">
    <w:abstractNumId w:val="1"/>
  </w:num>
  <w:num w:numId="10" w16cid:durableId="149364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387B"/>
    <w:rsid w:val="00065EBD"/>
    <w:rsid w:val="00083B44"/>
    <w:rsid w:val="000850DC"/>
    <w:rsid w:val="00087F80"/>
    <w:rsid w:val="000C2771"/>
    <w:rsid w:val="000D46F4"/>
    <w:rsid w:val="000F0DCE"/>
    <w:rsid w:val="000F6BE3"/>
    <w:rsid w:val="00112C5B"/>
    <w:rsid w:val="00114193"/>
    <w:rsid w:val="00115A38"/>
    <w:rsid w:val="0011687B"/>
    <w:rsid w:val="001249E6"/>
    <w:rsid w:val="00124F82"/>
    <w:rsid w:val="0016337A"/>
    <w:rsid w:val="00164269"/>
    <w:rsid w:val="00165EC5"/>
    <w:rsid w:val="001A1BDE"/>
    <w:rsid w:val="001A6903"/>
    <w:rsid w:val="001B30A9"/>
    <w:rsid w:val="001F0876"/>
    <w:rsid w:val="001F167C"/>
    <w:rsid w:val="001F5E91"/>
    <w:rsid w:val="002077B9"/>
    <w:rsid w:val="00262D72"/>
    <w:rsid w:val="00284719"/>
    <w:rsid w:val="00294FBB"/>
    <w:rsid w:val="002B3205"/>
    <w:rsid w:val="002C030F"/>
    <w:rsid w:val="00331D75"/>
    <w:rsid w:val="003456BA"/>
    <w:rsid w:val="00355362"/>
    <w:rsid w:val="00363E44"/>
    <w:rsid w:val="00395E86"/>
    <w:rsid w:val="003A2FD8"/>
    <w:rsid w:val="003B40E6"/>
    <w:rsid w:val="003E74FB"/>
    <w:rsid w:val="003F6E14"/>
    <w:rsid w:val="00405336"/>
    <w:rsid w:val="00452F1A"/>
    <w:rsid w:val="00454A05"/>
    <w:rsid w:val="004571D5"/>
    <w:rsid w:val="00461635"/>
    <w:rsid w:val="00461D81"/>
    <w:rsid w:val="0046356B"/>
    <w:rsid w:val="00477182"/>
    <w:rsid w:val="004779CB"/>
    <w:rsid w:val="004E3450"/>
    <w:rsid w:val="004E42D8"/>
    <w:rsid w:val="004E7BA2"/>
    <w:rsid w:val="004F7EDF"/>
    <w:rsid w:val="005001AC"/>
    <w:rsid w:val="00527D71"/>
    <w:rsid w:val="005520A8"/>
    <w:rsid w:val="005607DD"/>
    <w:rsid w:val="005A558C"/>
    <w:rsid w:val="005E1060"/>
    <w:rsid w:val="005E28F8"/>
    <w:rsid w:val="005E6513"/>
    <w:rsid w:val="005F34FA"/>
    <w:rsid w:val="00616DC9"/>
    <w:rsid w:val="00651114"/>
    <w:rsid w:val="00656405"/>
    <w:rsid w:val="00664560"/>
    <w:rsid w:val="00670299"/>
    <w:rsid w:val="00691985"/>
    <w:rsid w:val="006A1B64"/>
    <w:rsid w:val="006E71FF"/>
    <w:rsid w:val="007108F5"/>
    <w:rsid w:val="00713E5B"/>
    <w:rsid w:val="00732A54"/>
    <w:rsid w:val="00735EE0"/>
    <w:rsid w:val="007402FC"/>
    <w:rsid w:val="007411A1"/>
    <w:rsid w:val="00746A65"/>
    <w:rsid w:val="00793072"/>
    <w:rsid w:val="00807D35"/>
    <w:rsid w:val="008218C4"/>
    <w:rsid w:val="00821F38"/>
    <w:rsid w:val="00863C1A"/>
    <w:rsid w:val="00867A98"/>
    <w:rsid w:val="00870867"/>
    <w:rsid w:val="00885C9B"/>
    <w:rsid w:val="008C05EE"/>
    <w:rsid w:val="008D5D2A"/>
    <w:rsid w:val="008F79FB"/>
    <w:rsid w:val="00914B63"/>
    <w:rsid w:val="009354F3"/>
    <w:rsid w:val="009447DC"/>
    <w:rsid w:val="00961BA5"/>
    <w:rsid w:val="009743A9"/>
    <w:rsid w:val="00986C75"/>
    <w:rsid w:val="009A5287"/>
    <w:rsid w:val="009B2AC5"/>
    <w:rsid w:val="009B4DE5"/>
    <w:rsid w:val="009B7984"/>
    <w:rsid w:val="009E1D6C"/>
    <w:rsid w:val="009E78FD"/>
    <w:rsid w:val="009F4BED"/>
    <w:rsid w:val="009F7D93"/>
    <w:rsid w:val="00A11A25"/>
    <w:rsid w:val="00A22E7D"/>
    <w:rsid w:val="00A3403B"/>
    <w:rsid w:val="00A5022B"/>
    <w:rsid w:val="00A51A12"/>
    <w:rsid w:val="00A566EB"/>
    <w:rsid w:val="00A627D4"/>
    <w:rsid w:val="00A74DA2"/>
    <w:rsid w:val="00A8464E"/>
    <w:rsid w:val="00AA7D82"/>
    <w:rsid w:val="00AB399E"/>
    <w:rsid w:val="00AC59D0"/>
    <w:rsid w:val="00AD16B1"/>
    <w:rsid w:val="00AD499C"/>
    <w:rsid w:val="00B01D7A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B40BD"/>
    <w:rsid w:val="00BC3E04"/>
    <w:rsid w:val="00BD58CF"/>
    <w:rsid w:val="00BF0C92"/>
    <w:rsid w:val="00C013F5"/>
    <w:rsid w:val="00C02F2E"/>
    <w:rsid w:val="00C04CC1"/>
    <w:rsid w:val="00C10F99"/>
    <w:rsid w:val="00C13269"/>
    <w:rsid w:val="00C4096C"/>
    <w:rsid w:val="00C50C6D"/>
    <w:rsid w:val="00C600D9"/>
    <w:rsid w:val="00C92B22"/>
    <w:rsid w:val="00CA10E6"/>
    <w:rsid w:val="00CC1384"/>
    <w:rsid w:val="00CC743F"/>
    <w:rsid w:val="00CD3720"/>
    <w:rsid w:val="00CF1848"/>
    <w:rsid w:val="00CF5C2F"/>
    <w:rsid w:val="00D04BCF"/>
    <w:rsid w:val="00D143D9"/>
    <w:rsid w:val="00D3621D"/>
    <w:rsid w:val="00D5511B"/>
    <w:rsid w:val="00D766F1"/>
    <w:rsid w:val="00DE4FD1"/>
    <w:rsid w:val="00E257C8"/>
    <w:rsid w:val="00E41512"/>
    <w:rsid w:val="00E4519A"/>
    <w:rsid w:val="00E853D5"/>
    <w:rsid w:val="00E9773B"/>
    <w:rsid w:val="00EA6F42"/>
    <w:rsid w:val="00EC13A3"/>
    <w:rsid w:val="00EC7C85"/>
    <w:rsid w:val="00ED50E1"/>
    <w:rsid w:val="00F125EE"/>
    <w:rsid w:val="00F12E98"/>
    <w:rsid w:val="00F22029"/>
    <w:rsid w:val="00F515FB"/>
    <w:rsid w:val="00F60C9F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제목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제목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제목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제목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제목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제목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제목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본문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본문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본문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본문 첫 줄 들여쓰기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본문 들여쓰기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본문 첫 줄 들여쓰기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본문 들여쓰기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본문 들여쓰기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맺음말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메모 텍스트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메모 주제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날짜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문서 구조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전자 메일 서명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미주 텍스트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semiHidden/>
    <w:rsid w:val="00405336"/>
    <w:pPr>
      <w:tabs>
        <w:tab w:val="center" w:pos="4680"/>
        <w:tab w:val="right" w:pos="9360"/>
      </w:tabs>
    </w:pPr>
  </w:style>
  <w:style w:type="character" w:customStyle="1" w:styleId="Chara">
    <w:name w:val="바닥글 Char"/>
    <w:link w:val="af6"/>
    <w:semiHidden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각주 텍스트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머리글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주소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미리 서식이 지정된 HTML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강한 인용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매크로 텍스트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메시지 머리글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각주/미주 머리글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글자만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인용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인사말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서명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부제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제목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customStyle="1" w:styleId="12">
    <w:name w:val="확인되지 않은 멘션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table" w:styleId="afff0">
    <w:name w:val="Table Grid"/>
    <w:basedOn w:val="a3"/>
    <w:uiPriority w:val="59"/>
    <w:rsid w:val="00986C75"/>
    <w:rPr>
      <w:rFonts w:ascii="맑은 고딕" w:eastAsia="맑은 고딕" w:hAnsi="맑은 고딕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6241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권여정</cp:lastModifiedBy>
  <cp:revision>17</cp:revision>
  <cp:lastPrinted>2018-01-11T19:53:00Z</cp:lastPrinted>
  <dcterms:created xsi:type="dcterms:W3CDTF">2022-07-04T04:41:00Z</dcterms:created>
  <dcterms:modified xsi:type="dcterms:W3CDTF">2022-07-06T04:56:00Z</dcterms:modified>
</cp:coreProperties>
</file>