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10E" w:rsidRPr="0064269B" w:rsidRDefault="0010510E" w:rsidP="0010510E">
      <w:pPr>
        <w:spacing w:line="259" w:lineRule="auto"/>
        <w:rPr>
          <w:b/>
          <w:lang w:val="en-US"/>
        </w:rPr>
      </w:pPr>
      <w:r w:rsidRPr="0064269B">
        <w:rPr>
          <w:b/>
          <w:lang w:val="en-US"/>
        </w:rPr>
        <w:t xml:space="preserve">Additional File </w:t>
      </w:r>
      <w:r>
        <w:rPr>
          <w:b/>
          <w:lang w:val="en-US"/>
        </w:rPr>
        <w:t>2</w:t>
      </w:r>
      <w:r w:rsidRPr="0064269B">
        <w:rPr>
          <w:b/>
          <w:lang w:val="en-US"/>
        </w:rPr>
        <w:t xml:space="preserve">: Table S1 </w:t>
      </w:r>
    </w:p>
    <w:p w:rsidR="0010510E" w:rsidRPr="00F00D03" w:rsidRDefault="0010510E" w:rsidP="0010510E">
      <w:pPr>
        <w:spacing w:line="259" w:lineRule="auto"/>
        <w:rPr>
          <w:lang w:val="en-US"/>
        </w:rPr>
      </w:pPr>
      <w:r w:rsidRPr="00BE28D1">
        <w:rPr>
          <w:rFonts w:ascii="Calibri" w:eastAsia="Calibri" w:hAnsi="Calibri" w:cs="Times New Roman"/>
          <w:lang w:val="en-US"/>
        </w:rPr>
        <w:t xml:space="preserve">Table </w:t>
      </w:r>
      <w:r>
        <w:rPr>
          <w:rFonts w:ascii="Calibri" w:eastAsia="Calibri" w:hAnsi="Calibri" w:cs="Times New Roman"/>
          <w:lang w:val="en-US"/>
        </w:rPr>
        <w:t>S1</w:t>
      </w:r>
      <w:r w:rsidRPr="00BE28D1">
        <w:rPr>
          <w:rFonts w:ascii="Calibri" w:eastAsia="Calibri" w:hAnsi="Calibri" w:cs="Times New Roman"/>
          <w:lang w:val="en-US"/>
        </w:rPr>
        <w:t xml:space="preserve">. Correlation coefficients (rho) for antibiotic concentrations day 1 vs 2 and 1 vs 3. </w:t>
      </w:r>
    </w:p>
    <w:tbl>
      <w:tblPr>
        <w:tblStyle w:val="Tabellrutnt"/>
        <w:tblW w:w="86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1418"/>
        <w:gridCol w:w="1534"/>
      </w:tblGrid>
      <w:tr w:rsidR="0010510E" w:rsidRPr="00BE28D1" w:rsidTr="00B97A38"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Correlation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Cefotaxime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Piperacillin-tazobactam</w:t>
            </w:r>
          </w:p>
        </w:tc>
        <w:tc>
          <w:tcPr>
            <w:tcW w:w="1534" w:type="dxa"/>
            <w:tcBorders>
              <w:top w:val="single" w:sz="12" w:space="0" w:color="auto"/>
              <w:bottom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Meropenem</w:t>
            </w:r>
          </w:p>
        </w:tc>
      </w:tr>
      <w:tr w:rsidR="0010510E" w:rsidRPr="00BE28D1" w:rsidTr="00B97A38">
        <w:tc>
          <w:tcPr>
            <w:tcW w:w="3969" w:type="dxa"/>
            <w:tcBorders>
              <w:top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Mid-dosing interval day 1 and 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0.81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0.87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0.77</w:t>
            </w:r>
          </w:p>
        </w:tc>
      </w:tr>
      <w:tr w:rsidR="0010510E" w:rsidRPr="00BE28D1" w:rsidTr="00B97A38">
        <w:tc>
          <w:tcPr>
            <w:tcW w:w="3969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End-dosing interval day 1 and 2</w:t>
            </w:r>
          </w:p>
        </w:tc>
        <w:tc>
          <w:tcPr>
            <w:tcW w:w="1701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0.87</w:t>
            </w:r>
          </w:p>
        </w:tc>
        <w:tc>
          <w:tcPr>
            <w:tcW w:w="1418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0.89</w:t>
            </w:r>
          </w:p>
        </w:tc>
        <w:tc>
          <w:tcPr>
            <w:tcW w:w="1534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0.82</w:t>
            </w:r>
          </w:p>
        </w:tc>
      </w:tr>
      <w:tr w:rsidR="0010510E" w:rsidRPr="00BE28D1" w:rsidTr="00B97A38">
        <w:tc>
          <w:tcPr>
            <w:tcW w:w="3969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Mid-dosing interval day 1 and 3</w:t>
            </w:r>
          </w:p>
        </w:tc>
        <w:tc>
          <w:tcPr>
            <w:tcW w:w="1701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0.83</w:t>
            </w:r>
          </w:p>
        </w:tc>
        <w:tc>
          <w:tcPr>
            <w:tcW w:w="1418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0.71</w:t>
            </w:r>
          </w:p>
        </w:tc>
        <w:tc>
          <w:tcPr>
            <w:tcW w:w="1534" w:type="dxa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0.60</w:t>
            </w:r>
          </w:p>
        </w:tc>
      </w:tr>
      <w:tr w:rsidR="0010510E" w:rsidRPr="00BE28D1" w:rsidTr="00B97A38">
        <w:tc>
          <w:tcPr>
            <w:tcW w:w="3969" w:type="dxa"/>
            <w:tcBorders>
              <w:bottom w:val="single" w:sz="12" w:space="0" w:color="auto"/>
            </w:tcBorders>
            <w:shd w:val="clear" w:color="auto" w:fill="auto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End-dosing interval day 1 and 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0.81</w:t>
            </w: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0.78</w:t>
            </w:r>
          </w:p>
        </w:tc>
        <w:tc>
          <w:tcPr>
            <w:tcW w:w="1534" w:type="dxa"/>
            <w:tcBorders>
              <w:bottom w:val="single" w:sz="12" w:space="0" w:color="auto"/>
            </w:tcBorders>
          </w:tcPr>
          <w:p w:rsidR="0010510E" w:rsidRPr="00BE28D1" w:rsidRDefault="0010510E" w:rsidP="00B97A38">
            <w:pPr>
              <w:spacing w:line="240" w:lineRule="auto"/>
              <w:rPr>
                <w:rFonts w:ascii="Calibri" w:eastAsia="Calibri" w:hAnsi="Calibri" w:cs="Times New Roman"/>
                <w:lang w:val="en-US"/>
              </w:rPr>
            </w:pPr>
            <w:r w:rsidRPr="00BE28D1">
              <w:rPr>
                <w:rFonts w:ascii="Calibri" w:eastAsia="Calibri" w:hAnsi="Calibri" w:cs="Times New Roman"/>
                <w:lang w:val="en-US"/>
              </w:rPr>
              <w:t>0.82</w:t>
            </w:r>
          </w:p>
        </w:tc>
      </w:tr>
    </w:tbl>
    <w:p w:rsidR="0010510E" w:rsidRDefault="0010510E" w:rsidP="0010510E">
      <w:pPr>
        <w:spacing w:line="259" w:lineRule="auto"/>
        <w:rPr>
          <w:rFonts w:ascii="Calibri" w:eastAsia="Calibri" w:hAnsi="Calibri" w:cs="Times New Roman"/>
          <w:sz w:val="18"/>
          <w:szCs w:val="18"/>
          <w:lang w:val="en-US"/>
        </w:rPr>
      </w:pPr>
      <w:r w:rsidRPr="00BE28D1">
        <w:rPr>
          <w:rFonts w:ascii="Calibri" w:eastAsia="Calibri" w:hAnsi="Calibri" w:cs="Times New Roman"/>
          <w:sz w:val="18"/>
          <w:szCs w:val="18"/>
          <w:lang w:val="en-US"/>
        </w:rPr>
        <w:t>p&lt;0.001 for all</w:t>
      </w:r>
      <w:bookmarkStart w:id="0" w:name="_GoBack"/>
      <w:bookmarkEnd w:id="0"/>
    </w:p>
    <w:p w:rsidR="001B69EC" w:rsidRDefault="001B69EC"/>
    <w:sectPr w:rsidR="001B6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0E"/>
    <w:rsid w:val="0010510E"/>
    <w:rsid w:val="001B6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98B63-F485-4F35-A55D-F1481125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510E"/>
    <w:pPr>
      <w:spacing w:line="480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Kommentarsreferens">
    <w:name w:val="annotation reference"/>
    <w:basedOn w:val="Standardstycketeckensnitt"/>
    <w:uiPriority w:val="99"/>
    <w:semiHidden/>
    <w:unhideWhenUsed/>
    <w:rsid w:val="0010510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10510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10510E"/>
    <w:rPr>
      <w:sz w:val="20"/>
      <w:szCs w:val="20"/>
    </w:rPr>
  </w:style>
  <w:style w:type="table" w:styleId="Tabellrutnt">
    <w:name w:val="Table Grid"/>
    <w:basedOn w:val="Normaltabell"/>
    <w:uiPriority w:val="39"/>
    <w:rsid w:val="00105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105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05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Uppsala Universitet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Smekal</dc:creator>
  <cp:keywords/>
  <dc:description/>
  <cp:lastModifiedBy>Anna-Karin Smekal</cp:lastModifiedBy>
  <cp:revision>1</cp:revision>
  <dcterms:created xsi:type="dcterms:W3CDTF">2022-06-20T09:02:00Z</dcterms:created>
  <dcterms:modified xsi:type="dcterms:W3CDTF">2022-06-20T09:02:00Z</dcterms:modified>
</cp:coreProperties>
</file>