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240" w:lineRule="auto"/>
        <w:textAlignment w:val="auto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Supplementary Material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default" w:ascii="Times New Roman" w:hAnsi="Times New Roman" w:eastAsia="Times New Roman" w:cs="Times New Roman"/>
          <w:b/>
          <w:color w:val="000000"/>
          <w:sz w:val="24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default" w:ascii="Times New Roman" w:hAnsi="Times New Roman" w:eastAsia="Times New Roman" w:cs="Times New Roman"/>
          <w:b/>
          <w:color w:val="000000"/>
          <w:sz w:val="24"/>
          <w:szCs w:val="21"/>
        </w:rPr>
      </w:pP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1"/>
        </w:rPr>
        <w:t>Supplementary Figures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default" w:ascii="Times New Roman" w:hAnsi="Times New Roman" w:eastAsia="Times New Roman" w:cs="Times New Roman"/>
          <w:b/>
          <w:color w:val="000000"/>
          <w:sz w:val="24"/>
          <w:szCs w:val="21"/>
        </w:rPr>
      </w:pPr>
    </w:p>
    <w:p>
      <w:pPr>
        <w:spacing w:line="276" w:lineRule="auto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eastAsia="宋体" w:cs="Times New Roman"/>
          <w:b/>
          <w:bCs/>
          <w:kern w:val="0"/>
          <w:sz w:val="24"/>
        </w:rPr>
        <w:t>Figure S1.</w:t>
      </w:r>
      <w:r>
        <w:rPr>
          <w:rFonts w:hint="default" w:ascii="Times New Roman" w:hAnsi="Times New Roman" w:cs="Times New Roman"/>
          <w:b/>
          <w:sz w:val="24"/>
        </w:rPr>
        <w:t xml:space="preserve"> Identification of genes associated with detrimental </w:t>
      </w:r>
      <w:r>
        <w:rPr>
          <w:rFonts w:hint="default" w:ascii="Times New Roman" w:hAnsi="Times New Roman" w:eastAsia="等线" w:cs="Times New Roman"/>
          <w:b/>
          <w:sz w:val="24"/>
        </w:rPr>
        <w:t>outcomes</w:t>
      </w:r>
      <w:r>
        <w:rPr>
          <w:rFonts w:hint="default" w:ascii="Times New Roman" w:hAnsi="Times New Roman" w:cs="Times New Roman"/>
          <w:b/>
          <w:sz w:val="24"/>
        </w:rPr>
        <w:t xml:space="preserve"> in OvCa. </w:t>
      </w:r>
      <w:r>
        <w:rPr>
          <w:rFonts w:hint="default" w:ascii="Times New Roman" w:hAnsi="Times New Roman" w:cs="Times New Roman"/>
          <w:sz w:val="24"/>
        </w:rPr>
        <w:t xml:space="preserve">Transcriptomic expression analyses were performed using </w:t>
      </w:r>
      <w:r>
        <w:rPr>
          <w:rFonts w:hint="default" w:ascii="Times New Roman" w:hAnsi="Times New Roman" w:eastAsia="等线" w:cs="Times New Roman"/>
          <w:sz w:val="24"/>
        </w:rPr>
        <w:t>the OvCa dataset</w:t>
      </w:r>
      <w:r>
        <w:rPr>
          <w:rFonts w:hint="default" w:ascii="Times New Roman" w:hAnsi="Times New Roman" w:cs="Times New Roman"/>
          <w:sz w:val="24"/>
        </w:rPr>
        <w:t xml:space="preserve"> from the GEPIA database and differentially expressed genes (DEGs) identified with the following criteria: fold change value &gt; 2 and q-value &lt; 0.01. Biological pathway analyses were performed using Kyoto Encyclopedia of Genes and Genomes (KEGG; https://www.genome.jp/kegg/)</w:t>
      </w:r>
      <w:r>
        <w:rPr>
          <w:rFonts w:hint="default" w:ascii="Times New Roman" w:hAnsi="Times New Roman" w:eastAsia="等线" w:cs="Times New Roman"/>
          <w:sz w:val="24"/>
        </w:rPr>
        <w:t>,</w:t>
      </w:r>
      <w:r>
        <w:rPr>
          <w:rFonts w:hint="default" w:ascii="Times New Roman" w:hAnsi="Times New Roman" w:cs="Times New Roman"/>
          <w:sz w:val="24"/>
        </w:rPr>
        <w:t xml:space="preserve"> and outcome screening for overall survival (OS) was carried out using the online Kaplan–Meier (KM) Plotter tool.</w:t>
      </w:r>
    </w:p>
    <w:p>
      <w:pPr>
        <w:adjustRightInd w:val="0"/>
        <w:snapToGrid w:val="0"/>
        <w:spacing w:line="276" w:lineRule="auto"/>
        <w:rPr>
          <w:rFonts w:hint="default" w:ascii="Times New Roman" w:hAnsi="Times New Roman" w:eastAsia="Times New Roman" w:cs="Times New Roman"/>
          <w:b/>
          <w:color w:val="000000"/>
          <w:sz w:val="24"/>
          <w:szCs w:val="21"/>
        </w:rPr>
      </w:pPr>
    </w:p>
    <w:p>
      <w:pPr>
        <w:adjustRightInd w:val="0"/>
        <w:snapToGrid w:val="0"/>
        <w:spacing w:line="276" w:lineRule="auto"/>
        <w:rPr>
          <w:rFonts w:hint="default" w:ascii="Times New Roman" w:hAnsi="Times New Roman" w:eastAsia="Times New Roman" w:cs="Times New Roman"/>
          <w:b/>
          <w:color w:val="000000"/>
          <w:szCs w:val="21"/>
        </w:rPr>
      </w:pPr>
      <w:r>
        <w:rPr>
          <w:rFonts w:hint="default" w:ascii="Times New Roman" w:hAnsi="Times New Roman" w:eastAsia="Times New Roman" w:cs="Times New Roman"/>
          <w:color w:val="000000"/>
          <w:szCs w:val="21"/>
        </w:rPr>
        <w:drawing>
          <wp:inline distT="0" distB="0" distL="0" distR="0">
            <wp:extent cx="4819015" cy="531431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22" t="2332" r="39672" b="63326"/>
                    <a:stretch>
                      <a:fillRect/>
                    </a:stretch>
                  </pic:blipFill>
                  <pic:spPr>
                    <a:xfrm>
                      <a:off x="0" y="0"/>
                      <a:ext cx="4851900" cy="535114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hint="default" w:ascii="Times New Roman" w:hAnsi="Times New Roman" w:cs="Times New Roman"/>
          <w:b/>
          <w:szCs w:val="21"/>
        </w:rPr>
      </w:pPr>
    </w:p>
    <w:p>
      <w:pPr>
        <w:spacing w:line="276" w:lineRule="auto"/>
        <w:rPr>
          <w:rFonts w:hint="default" w:ascii="Times New Roman" w:hAnsi="Times New Roman" w:eastAsia="宋体" w:cs="Times New Roman"/>
          <w:b/>
          <w:bCs/>
          <w:kern w:val="0"/>
          <w:sz w:val="24"/>
        </w:rPr>
      </w:pPr>
    </w:p>
    <w:p>
      <w:pPr>
        <w:spacing w:line="276" w:lineRule="auto"/>
        <w:rPr>
          <w:rFonts w:hint="default" w:ascii="Times New Roman" w:hAnsi="Times New Roman" w:eastAsia="宋体" w:cs="Times New Roman"/>
          <w:b/>
          <w:bCs/>
          <w:kern w:val="0"/>
          <w:sz w:val="24"/>
        </w:rPr>
      </w:pPr>
    </w:p>
    <w:p>
      <w:pPr>
        <w:spacing w:line="276" w:lineRule="auto"/>
        <w:rPr>
          <w:rFonts w:hint="default" w:ascii="Times New Roman" w:hAnsi="Times New Roman" w:cs="Times New Roman"/>
          <w:b/>
          <w:sz w:val="24"/>
        </w:rPr>
      </w:pPr>
      <w:r>
        <w:rPr>
          <w:rFonts w:hint="default" w:ascii="Times New Roman" w:hAnsi="Times New Roman" w:eastAsia="宋体" w:cs="Times New Roman"/>
          <w:b/>
          <w:bCs/>
          <w:kern w:val="0"/>
          <w:sz w:val="24"/>
        </w:rPr>
        <w:t>Figure S2.</w:t>
      </w:r>
      <w:r>
        <w:rPr>
          <w:rFonts w:hint="default" w:ascii="Times New Roman" w:hAnsi="Times New Roman" w:cs="Times New Roman"/>
          <w:b/>
          <w:sz w:val="24"/>
        </w:rPr>
        <w:t xml:space="preserve"> UBE2E2 increases the p62 mRNA </w:t>
      </w:r>
      <w:r>
        <w:rPr>
          <w:rFonts w:hint="default" w:ascii="Times New Roman" w:hAnsi="Times New Roman" w:eastAsia="等线" w:cs="Times New Roman"/>
          <w:b/>
          <w:sz w:val="24"/>
        </w:rPr>
        <w:t>levels</w:t>
      </w:r>
      <w:r>
        <w:rPr>
          <w:rFonts w:hint="default" w:ascii="Times New Roman" w:hAnsi="Times New Roman" w:cs="Times New Roman"/>
          <w:b/>
          <w:sz w:val="24"/>
        </w:rPr>
        <w:t xml:space="preserve"> but exerts no significant effect on autophagy. </w:t>
      </w:r>
      <w:r>
        <w:rPr>
          <w:rFonts w:hint="default" w:ascii="Times New Roman" w:hAnsi="Times New Roman" w:cs="Times New Roman"/>
          <w:sz w:val="24"/>
        </w:rPr>
        <w:t>(A) The mRNA expression level of p62 in OvCa cells was measured by qRT–PCR (*</w:t>
      </w:r>
      <w:r>
        <w:rPr>
          <w:rFonts w:hint="default" w:ascii="Times New Roman" w:hAnsi="Times New Roman" w:cs="Times New Roman"/>
          <w:i/>
          <w:sz w:val="24"/>
        </w:rPr>
        <w:t xml:space="preserve">P </w:t>
      </w:r>
      <w:r>
        <w:rPr>
          <w:rFonts w:hint="default" w:ascii="Times New Roman" w:hAnsi="Times New Roman" w:cs="Times New Roman"/>
          <w:sz w:val="24"/>
        </w:rPr>
        <w:t>&lt; 0.05)</w:t>
      </w:r>
      <w:r>
        <w:rPr>
          <w:rFonts w:hint="default" w:ascii="Times New Roman" w:hAnsi="Times New Roman" w:eastAsia="等线" w:cs="Times New Roman"/>
          <w:sz w:val="24"/>
        </w:rPr>
        <w:t xml:space="preserve">. </w:t>
      </w:r>
      <w:r>
        <w:rPr>
          <w:rFonts w:hint="default" w:ascii="Times New Roman" w:hAnsi="Times New Roman" w:cs="Times New Roman"/>
          <w:sz w:val="24"/>
        </w:rPr>
        <w:t>(B) Representative images showing GFP-RFP-LC3 puncta (autophagosomes) and RFP-LC3 puncta (autophagolysosomes) in SKOV3 cells infected with the adenovirus vector containing the mRFP-GFP-LC3 reporter. Scale bar = 20 μm.</w:t>
      </w:r>
    </w:p>
    <w:p>
      <w:pPr>
        <w:spacing w:line="276" w:lineRule="auto"/>
        <w:rPr>
          <w:rFonts w:hint="default" w:ascii="Times New Roman" w:hAnsi="Times New Roman" w:cs="Times New Roman"/>
          <w:b/>
          <w:szCs w:val="21"/>
        </w:rPr>
      </w:pPr>
    </w:p>
    <w:p>
      <w:pPr>
        <w:spacing w:line="276" w:lineRule="auto"/>
        <w:ind w:left="-2" w:leftChars="-271" w:hanging="567" w:hangingChars="270"/>
        <w:jc w:val="center"/>
        <w:rPr>
          <w:rFonts w:hint="default" w:ascii="Times New Roman" w:hAnsi="Times New Roman" w:cs="Times New Roman"/>
          <w:b/>
          <w:szCs w:val="21"/>
        </w:rPr>
      </w:pPr>
      <w:r>
        <w:rPr>
          <w:rFonts w:hint="default" w:ascii="Times New Roman" w:hAnsi="Times New Roman" w:cs="Times New Roman"/>
          <w:b/>
          <w:szCs w:val="21"/>
        </w:rPr>
        <w:drawing>
          <wp:inline distT="0" distB="0" distL="0" distR="0">
            <wp:extent cx="4895850" cy="2783840"/>
            <wp:effectExtent l="0" t="0" r="0" b="165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8" t="4324" r="8552" b="61299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27838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hint="default" w:ascii="Times New Roman" w:hAnsi="Times New Roman" w:cs="Times New Roman"/>
          <w:b/>
          <w:szCs w:val="21"/>
        </w:rPr>
      </w:pPr>
    </w:p>
    <w:p>
      <w:pPr>
        <w:spacing w:line="276" w:lineRule="auto"/>
        <w:rPr>
          <w:rFonts w:hint="default" w:ascii="Times New Roman" w:hAnsi="Times New Roman" w:cs="Times New Roman"/>
          <w:b/>
          <w:szCs w:val="21"/>
        </w:rPr>
      </w:pPr>
    </w:p>
    <w:p>
      <w:pPr>
        <w:spacing w:line="276" w:lineRule="auto"/>
        <w:rPr>
          <w:rFonts w:hint="default" w:ascii="Times New Roman" w:hAnsi="Times New Roman" w:cs="Times New Roman"/>
          <w:b/>
          <w:szCs w:val="21"/>
        </w:rPr>
      </w:pPr>
    </w:p>
    <w:p>
      <w:pPr>
        <w:spacing w:line="276" w:lineRule="auto"/>
        <w:rPr>
          <w:rFonts w:hint="default" w:ascii="Times New Roman" w:hAnsi="Times New Roman" w:cs="Times New Roman"/>
          <w:b/>
          <w:szCs w:val="21"/>
        </w:rPr>
      </w:pPr>
    </w:p>
    <w:p>
      <w:pPr>
        <w:spacing w:line="276" w:lineRule="auto"/>
        <w:rPr>
          <w:rFonts w:hint="default" w:ascii="Times New Roman" w:hAnsi="Times New Roman" w:cs="Times New Roman"/>
          <w:b/>
          <w:szCs w:val="21"/>
        </w:rPr>
      </w:pPr>
    </w:p>
    <w:p>
      <w:pPr>
        <w:spacing w:line="276" w:lineRule="auto"/>
        <w:rPr>
          <w:rFonts w:hint="default" w:ascii="Times New Roman" w:hAnsi="Times New Roman" w:cs="Times New Roman"/>
          <w:b/>
          <w:szCs w:val="21"/>
        </w:rPr>
      </w:pPr>
    </w:p>
    <w:p>
      <w:pPr>
        <w:spacing w:line="276" w:lineRule="auto"/>
        <w:rPr>
          <w:rFonts w:hint="default" w:ascii="Times New Roman" w:hAnsi="Times New Roman" w:cs="Times New Roman"/>
          <w:b/>
          <w:szCs w:val="21"/>
        </w:rPr>
      </w:pPr>
    </w:p>
    <w:p>
      <w:pPr>
        <w:spacing w:line="276" w:lineRule="auto"/>
        <w:rPr>
          <w:rFonts w:hint="default" w:ascii="Times New Roman" w:hAnsi="Times New Roman" w:cs="Times New Roman"/>
          <w:b/>
          <w:szCs w:val="21"/>
        </w:rPr>
      </w:pPr>
    </w:p>
    <w:p>
      <w:pPr>
        <w:spacing w:line="276" w:lineRule="auto"/>
        <w:rPr>
          <w:rFonts w:hint="default" w:ascii="Times New Roman" w:hAnsi="Times New Roman" w:cs="Times New Roman"/>
          <w:b/>
          <w:szCs w:val="21"/>
        </w:rPr>
      </w:pPr>
    </w:p>
    <w:p>
      <w:pPr>
        <w:spacing w:line="276" w:lineRule="auto"/>
        <w:rPr>
          <w:rFonts w:hint="default" w:ascii="Times New Roman" w:hAnsi="Times New Roman" w:cs="Times New Roman"/>
          <w:b/>
          <w:szCs w:val="21"/>
        </w:rPr>
      </w:pPr>
    </w:p>
    <w:p>
      <w:pPr>
        <w:spacing w:line="276" w:lineRule="auto"/>
        <w:rPr>
          <w:rFonts w:hint="default" w:ascii="Times New Roman" w:hAnsi="Times New Roman" w:cs="Times New Roman"/>
          <w:b/>
          <w:szCs w:val="21"/>
        </w:rPr>
      </w:pPr>
    </w:p>
    <w:p>
      <w:pPr>
        <w:spacing w:line="276" w:lineRule="auto"/>
        <w:rPr>
          <w:rFonts w:hint="default" w:ascii="Times New Roman" w:hAnsi="Times New Roman" w:cs="Times New Roman"/>
          <w:b/>
          <w:szCs w:val="21"/>
        </w:rPr>
      </w:pPr>
    </w:p>
    <w:p>
      <w:pPr>
        <w:spacing w:line="276" w:lineRule="auto"/>
        <w:rPr>
          <w:rFonts w:hint="default" w:ascii="Times New Roman" w:hAnsi="Times New Roman" w:cs="Times New Roman"/>
          <w:b/>
          <w:szCs w:val="21"/>
        </w:rPr>
      </w:pPr>
    </w:p>
    <w:p>
      <w:pPr>
        <w:spacing w:line="276" w:lineRule="auto"/>
        <w:rPr>
          <w:rFonts w:hint="default" w:ascii="Times New Roman" w:hAnsi="Times New Roman" w:cs="Times New Roman"/>
          <w:b/>
          <w:szCs w:val="21"/>
        </w:rPr>
      </w:pPr>
    </w:p>
    <w:p>
      <w:pPr>
        <w:spacing w:line="276" w:lineRule="auto"/>
        <w:rPr>
          <w:rFonts w:hint="default" w:ascii="Times New Roman" w:hAnsi="Times New Roman" w:cs="Times New Roman"/>
          <w:b/>
          <w:szCs w:val="21"/>
        </w:rPr>
      </w:pPr>
    </w:p>
    <w:p>
      <w:pPr>
        <w:spacing w:line="276" w:lineRule="auto"/>
        <w:rPr>
          <w:rFonts w:hint="default" w:ascii="Times New Roman" w:hAnsi="Times New Roman" w:cs="Times New Roman"/>
          <w:b/>
          <w:szCs w:val="21"/>
        </w:rPr>
      </w:pPr>
    </w:p>
    <w:p>
      <w:pPr>
        <w:spacing w:line="276" w:lineRule="auto"/>
        <w:rPr>
          <w:rFonts w:hint="default" w:ascii="Times New Roman" w:hAnsi="Times New Roman" w:cs="Times New Roman"/>
          <w:b/>
          <w:szCs w:val="21"/>
        </w:rPr>
      </w:pPr>
    </w:p>
    <w:p>
      <w:pPr>
        <w:spacing w:line="276" w:lineRule="auto"/>
        <w:rPr>
          <w:rFonts w:hint="default" w:ascii="Times New Roman" w:hAnsi="Times New Roman" w:cs="Times New Roman"/>
          <w:b/>
          <w:szCs w:val="21"/>
        </w:rPr>
      </w:pPr>
    </w:p>
    <w:p>
      <w:pPr>
        <w:spacing w:line="276" w:lineRule="auto"/>
        <w:rPr>
          <w:rFonts w:hint="default" w:ascii="Times New Roman" w:hAnsi="Times New Roman" w:cs="Times New Roman"/>
          <w:b/>
          <w:szCs w:val="21"/>
        </w:rPr>
      </w:pPr>
    </w:p>
    <w:p>
      <w:pPr>
        <w:spacing w:line="276" w:lineRule="auto"/>
        <w:rPr>
          <w:rFonts w:hint="default" w:ascii="Times New Roman" w:hAnsi="Times New Roman" w:cs="Times New Roman"/>
          <w:b/>
          <w:sz w:val="24"/>
        </w:rPr>
      </w:pPr>
      <w:r>
        <w:rPr>
          <w:rFonts w:hint="default" w:ascii="Times New Roman" w:hAnsi="Times New Roman" w:eastAsia="宋体" w:cs="Times New Roman"/>
          <w:b/>
          <w:bCs/>
          <w:kern w:val="0"/>
          <w:sz w:val="24"/>
        </w:rPr>
        <w:t>Figure S3.</w:t>
      </w:r>
      <w:r>
        <w:rPr>
          <w:rFonts w:hint="default" w:ascii="Times New Roman" w:hAnsi="Times New Roman" w:cs="Times New Roman"/>
          <w:b/>
          <w:sz w:val="24"/>
        </w:rPr>
        <w:t xml:space="preserve"> The UBC domain of UBE2E2 is sufficient for protein translocation into the nucleus. </w:t>
      </w:r>
      <w:r>
        <w:rPr>
          <w:rFonts w:hint="default" w:ascii="Times New Roman" w:hAnsi="Times New Roman" w:cs="Times New Roman"/>
          <w:sz w:val="24"/>
        </w:rPr>
        <w:t>(A) OvCa cells were transfected with pEGFP-C1 or pEGFP-C1-UBE2E2 plasmids, and images of UBE2E2 intracellular distribution were captured using an epifluorescence microscope.</w:t>
      </w:r>
      <w:r>
        <w:rPr>
          <w:rFonts w:hint="default" w:ascii="Times New Roman" w:hAnsi="Times New Roman" w:eastAsia="等线" w:cs="Times New Roman"/>
          <w:sz w:val="24"/>
        </w:rPr>
        <w:t xml:space="preserve"> An overlay</w:t>
      </w:r>
      <w:r>
        <w:rPr>
          <w:rFonts w:hint="default" w:ascii="Times New Roman" w:hAnsi="Times New Roman" w:cs="Times New Roman"/>
          <w:sz w:val="24"/>
        </w:rPr>
        <w:t xml:space="preserve"> of blue (nuclei) and green (GFP) channels is shown. Scale bar = 20 μm.</w:t>
      </w:r>
      <w:r>
        <w:rPr>
          <w:rFonts w:hint="default" w:ascii="Times New Roman" w:hAnsi="Times New Roman" w:eastAsia="等线" w:cs="Times New Roman"/>
          <w:sz w:val="24"/>
        </w:rPr>
        <w:t xml:space="preserve"> </w:t>
      </w:r>
      <w:r>
        <w:rPr>
          <w:rFonts w:hint="default" w:ascii="Times New Roman" w:hAnsi="Times New Roman" w:cs="Times New Roman"/>
          <w:sz w:val="24"/>
        </w:rPr>
        <w:t>(B) Schematic diagram showing the full-length and truncated forms of UBE2E2. The numbers indicate the positions of the amino acids. WT, wild-type.</w:t>
      </w:r>
      <w:r>
        <w:rPr>
          <w:rFonts w:hint="default" w:ascii="Times New Roman" w:hAnsi="Times New Roman" w:eastAsia="等线" w:cs="Times New Roman"/>
          <w:sz w:val="24"/>
        </w:rPr>
        <w:t xml:space="preserve"> </w:t>
      </w:r>
      <w:r>
        <w:rPr>
          <w:rFonts w:hint="default" w:ascii="Times New Roman" w:hAnsi="Times New Roman" w:cs="Times New Roman"/>
          <w:sz w:val="24"/>
        </w:rPr>
        <w:t>(C) Effects of the truncation mutation on the UBE2E2 intracellular distribution.</w:t>
      </w:r>
      <w:r>
        <w:rPr>
          <w:rFonts w:hint="default" w:ascii="Times New Roman" w:hAnsi="Times New Roman" w:eastAsia="等线" w:cs="Times New Roman"/>
          <w:sz w:val="24"/>
        </w:rPr>
        <w:t xml:space="preserve"> An overlay</w:t>
      </w:r>
      <w:r>
        <w:rPr>
          <w:rFonts w:hint="default" w:ascii="Times New Roman" w:hAnsi="Times New Roman" w:cs="Times New Roman"/>
          <w:sz w:val="24"/>
        </w:rPr>
        <w:t xml:space="preserve"> of blue (nuclei) and green (GFP) channels is shown. Scale bar = 20 μm.</w:t>
      </w:r>
    </w:p>
    <w:p>
      <w:pPr>
        <w:spacing w:line="276" w:lineRule="auto"/>
        <w:rPr>
          <w:rFonts w:hint="default" w:ascii="Times New Roman" w:hAnsi="Times New Roman" w:cs="Times New Roman"/>
          <w:b/>
          <w:szCs w:val="21"/>
        </w:rPr>
      </w:pPr>
    </w:p>
    <w:p>
      <w:pPr>
        <w:spacing w:line="276" w:lineRule="auto"/>
        <w:ind w:left="-2" w:leftChars="-203" w:hanging="424" w:hangingChars="202"/>
        <w:jc w:val="center"/>
        <w:rPr>
          <w:rFonts w:hint="default" w:ascii="Times New Roman" w:hAnsi="Times New Roman" w:cs="Times New Roman"/>
          <w:b/>
          <w:szCs w:val="21"/>
        </w:rPr>
      </w:pPr>
      <w:r>
        <w:rPr>
          <w:rFonts w:hint="default" w:ascii="Times New Roman" w:hAnsi="Times New Roman" w:eastAsia="Times New Roman" w:cs="Times New Roman"/>
          <w:color w:val="000000"/>
          <w:szCs w:val="21"/>
        </w:rPr>
        <w:drawing>
          <wp:inline distT="0" distB="0" distL="0" distR="0">
            <wp:extent cx="5111750" cy="3268345"/>
            <wp:effectExtent l="0" t="0" r="1270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92" b="53525"/>
                    <a:stretch>
                      <a:fillRect/>
                    </a:stretch>
                  </pic:blipFill>
                  <pic:spPr>
                    <a:xfrm>
                      <a:off x="0" y="0"/>
                      <a:ext cx="5111750" cy="326834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hint="default" w:ascii="Times New Roman" w:hAnsi="Times New Roman" w:cs="Times New Roman"/>
          <w:b/>
          <w:szCs w:val="21"/>
        </w:rPr>
      </w:pPr>
    </w:p>
    <w:p>
      <w:pPr>
        <w:spacing w:line="276" w:lineRule="auto"/>
        <w:rPr>
          <w:rFonts w:hint="default" w:ascii="Times New Roman" w:hAnsi="Times New Roman" w:cs="Times New Roman"/>
          <w:b/>
          <w:szCs w:val="21"/>
        </w:rPr>
      </w:pPr>
    </w:p>
    <w:p>
      <w:pPr>
        <w:spacing w:line="276" w:lineRule="auto"/>
        <w:rPr>
          <w:rFonts w:hint="default" w:ascii="Times New Roman" w:hAnsi="Times New Roman" w:cs="Times New Roman"/>
          <w:b/>
          <w:szCs w:val="21"/>
        </w:rPr>
      </w:pPr>
    </w:p>
    <w:p>
      <w:pPr>
        <w:spacing w:line="276" w:lineRule="auto"/>
        <w:rPr>
          <w:rFonts w:hint="default" w:ascii="Times New Roman" w:hAnsi="Times New Roman" w:cs="Times New Roman"/>
          <w:b/>
          <w:szCs w:val="21"/>
        </w:rPr>
      </w:pPr>
    </w:p>
    <w:p>
      <w:pPr>
        <w:spacing w:line="276" w:lineRule="auto"/>
        <w:rPr>
          <w:rFonts w:hint="default" w:ascii="Times New Roman" w:hAnsi="Times New Roman" w:cs="Times New Roman"/>
          <w:b/>
          <w:szCs w:val="21"/>
        </w:rPr>
      </w:pPr>
      <w:r>
        <w:rPr>
          <w:rFonts w:hint="default" w:ascii="Times New Roman" w:hAnsi="Times New Roman" w:eastAsia="Times New Roman" w:cs="Times New Roman"/>
          <w:color w:val="000000"/>
          <w:szCs w:val="21"/>
        </w:rPr>
        <w:drawing>
          <wp:inline distT="0" distB="0" distL="0" distR="0">
            <wp:extent cx="5272405" cy="215709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2" r="26617" b="78704"/>
                    <a:stretch>
                      <a:fillRect/>
                    </a:stretch>
                  </pic:blipFill>
                  <pic:spPr>
                    <a:xfrm>
                      <a:off x="0" y="0"/>
                      <a:ext cx="5315002" cy="217437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rPr>
          <w:rFonts w:hint="default" w:ascii="Times New Roman" w:hAnsi="Times New Roman" w:cs="Times New Roman"/>
          <w:b/>
          <w:szCs w:val="21"/>
        </w:rPr>
      </w:pPr>
      <w:bookmarkStart w:id="0" w:name="_GoBack"/>
      <w:bookmarkEnd w:id="0"/>
      <w:r>
        <w:rPr>
          <w:rFonts w:hint="default" w:ascii="Times New Roman" w:hAnsi="Times New Roman" w:eastAsia="Times New Roman" w:cs="Times New Roman"/>
          <w:color w:val="000000"/>
          <w:szCs w:val="21"/>
        </w:rPr>
        <w:drawing>
          <wp:inline distT="0" distB="0" distL="0" distR="0">
            <wp:extent cx="5268595" cy="5852795"/>
            <wp:effectExtent l="0" t="0" r="1905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86" r="26617" b="2056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85550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276" w:lineRule="auto"/>
        <w:rPr>
          <w:rFonts w:hint="default" w:ascii="Times New Roman" w:hAnsi="Times New Roman" w:eastAsia="Times New Roman" w:cs="Times New Roman"/>
          <w:color w:val="000000"/>
          <w:szCs w:val="21"/>
        </w:rPr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cwY2QxMDU1MTc0YmI0NmQ3MDMwOTE0ZmRmNTI2ZmUifQ=="/>
  </w:docVars>
  <w:rsids>
    <w:rsidRoot w:val="00A57F0F"/>
    <w:rsid w:val="0000162F"/>
    <w:rsid w:val="00002881"/>
    <w:rsid w:val="000028F3"/>
    <w:rsid w:val="00003684"/>
    <w:rsid w:val="00005576"/>
    <w:rsid w:val="000115D0"/>
    <w:rsid w:val="00012716"/>
    <w:rsid w:val="000151DD"/>
    <w:rsid w:val="000158D0"/>
    <w:rsid w:val="00017DD8"/>
    <w:rsid w:val="0002128D"/>
    <w:rsid w:val="00021901"/>
    <w:rsid w:val="00022B41"/>
    <w:rsid w:val="0002310D"/>
    <w:rsid w:val="00024879"/>
    <w:rsid w:val="00024B02"/>
    <w:rsid w:val="0002548B"/>
    <w:rsid w:val="0003135D"/>
    <w:rsid w:val="00032152"/>
    <w:rsid w:val="000345C6"/>
    <w:rsid w:val="00034D38"/>
    <w:rsid w:val="0004331D"/>
    <w:rsid w:val="00047343"/>
    <w:rsid w:val="00047E5A"/>
    <w:rsid w:val="000510FD"/>
    <w:rsid w:val="000611D7"/>
    <w:rsid w:val="00061BD5"/>
    <w:rsid w:val="000654C9"/>
    <w:rsid w:val="00066C88"/>
    <w:rsid w:val="00072A6E"/>
    <w:rsid w:val="00074003"/>
    <w:rsid w:val="0007654F"/>
    <w:rsid w:val="00080023"/>
    <w:rsid w:val="0008330E"/>
    <w:rsid w:val="000833FC"/>
    <w:rsid w:val="000848E5"/>
    <w:rsid w:val="00084900"/>
    <w:rsid w:val="000854D4"/>
    <w:rsid w:val="00086D81"/>
    <w:rsid w:val="000926DE"/>
    <w:rsid w:val="00094902"/>
    <w:rsid w:val="00096A4F"/>
    <w:rsid w:val="000A0A3B"/>
    <w:rsid w:val="000A0D52"/>
    <w:rsid w:val="000A411D"/>
    <w:rsid w:val="000A6277"/>
    <w:rsid w:val="000A6858"/>
    <w:rsid w:val="000B22CB"/>
    <w:rsid w:val="000B6027"/>
    <w:rsid w:val="000B6256"/>
    <w:rsid w:val="000B7AB0"/>
    <w:rsid w:val="000C1330"/>
    <w:rsid w:val="000C1746"/>
    <w:rsid w:val="000C57A1"/>
    <w:rsid w:val="000D03BC"/>
    <w:rsid w:val="000D0C46"/>
    <w:rsid w:val="000D1476"/>
    <w:rsid w:val="000D1B8C"/>
    <w:rsid w:val="000D1F44"/>
    <w:rsid w:val="000D3D00"/>
    <w:rsid w:val="000D665B"/>
    <w:rsid w:val="000D77FB"/>
    <w:rsid w:val="000D7820"/>
    <w:rsid w:val="000E0039"/>
    <w:rsid w:val="000E7674"/>
    <w:rsid w:val="000E7BE6"/>
    <w:rsid w:val="000F06A8"/>
    <w:rsid w:val="000F06F7"/>
    <w:rsid w:val="000F7A60"/>
    <w:rsid w:val="00104E7E"/>
    <w:rsid w:val="0010592A"/>
    <w:rsid w:val="00106444"/>
    <w:rsid w:val="00114D4D"/>
    <w:rsid w:val="00120672"/>
    <w:rsid w:val="00121ABC"/>
    <w:rsid w:val="001228F5"/>
    <w:rsid w:val="00125F6B"/>
    <w:rsid w:val="00126F06"/>
    <w:rsid w:val="001353E1"/>
    <w:rsid w:val="001400F5"/>
    <w:rsid w:val="00147125"/>
    <w:rsid w:val="00147DB8"/>
    <w:rsid w:val="00157B3A"/>
    <w:rsid w:val="00160CD3"/>
    <w:rsid w:val="001651E2"/>
    <w:rsid w:val="00167610"/>
    <w:rsid w:val="00170B87"/>
    <w:rsid w:val="001725F5"/>
    <w:rsid w:val="0017707B"/>
    <w:rsid w:val="00183D27"/>
    <w:rsid w:val="00184A3B"/>
    <w:rsid w:val="001853C0"/>
    <w:rsid w:val="001A061E"/>
    <w:rsid w:val="001A40DB"/>
    <w:rsid w:val="001B0B2D"/>
    <w:rsid w:val="001B259F"/>
    <w:rsid w:val="001B3B93"/>
    <w:rsid w:val="001B7405"/>
    <w:rsid w:val="001C5B23"/>
    <w:rsid w:val="001D0F71"/>
    <w:rsid w:val="001D2225"/>
    <w:rsid w:val="001E3DAA"/>
    <w:rsid w:val="001E3F75"/>
    <w:rsid w:val="001E5647"/>
    <w:rsid w:val="001E5B1A"/>
    <w:rsid w:val="001E6957"/>
    <w:rsid w:val="001F108B"/>
    <w:rsid w:val="001F121D"/>
    <w:rsid w:val="001F36B6"/>
    <w:rsid w:val="001F3888"/>
    <w:rsid w:val="001F63BE"/>
    <w:rsid w:val="00203D80"/>
    <w:rsid w:val="00211D62"/>
    <w:rsid w:val="002121FE"/>
    <w:rsid w:val="00217988"/>
    <w:rsid w:val="00217C04"/>
    <w:rsid w:val="00221F36"/>
    <w:rsid w:val="00222376"/>
    <w:rsid w:val="002233F0"/>
    <w:rsid w:val="00223CC5"/>
    <w:rsid w:val="00227608"/>
    <w:rsid w:val="00227A6B"/>
    <w:rsid w:val="00227C2C"/>
    <w:rsid w:val="00227EBA"/>
    <w:rsid w:val="00233F4D"/>
    <w:rsid w:val="00234032"/>
    <w:rsid w:val="0023403B"/>
    <w:rsid w:val="00236E17"/>
    <w:rsid w:val="00237C01"/>
    <w:rsid w:val="00241237"/>
    <w:rsid w:val="0024246B"/>
    <w:rsid w:val="00245920"/>
    <w:rsid w:val="00247A4E"/>
    <w:rsid w:val="00247BE5"/>
    <w:rsid w:val="0025022E"/>
    <w:rsid w:val="00251034"/>
    <w:rsid w:val="0025190D"/>
    <w:rsid w:val="00255F3D"/>
    <w:rsid w:val="002640DE"/>
    <w:rsid w:val="00271347"/>
    <w:rsid w:val="002756C7"/>
    <w:rsid w:val="00280116"/>
    <w:rsid w:val="00285717"/>
    <w:rsid w:val="00293AFD"/>
    <w:rsid w:val="002A569A"/>
    <w:rsid w:val="002B2A91"/>
    <w:rsid w:val="002B3443"/>
    <w:rsid w:val="002B592E"/>
    <w:rsid w:val="002B5DAE"/>
    <w:rsid w:val="002C6D69"/>
    <w:rsid w:val="002D27DE"/>
    <w:rsid w:val="002E447D"/>
    <w:rsid w:val="002E4499"/>
    <w:rsid w:val="002E4695"/>
    <w:rsid w:val="002F1D97"/>
    <w:rsid w:val="002F4D0F"/>
    <w:rsid w:val="002F57AC"/>
    <w:rsid w:val="002F61CE"/>
    <w:rsid w:val="0030213C"/>
    <w:rsid w:val="00312305"/>
    <w:rsid w:val="003134DE"/>
    <w:rsid w:val="00321B7C"/>
    <w:rsid w:val="003232D4"/>
    <w:rsid w:val="0032378A"/>
    <w:rsid w:val="00326726"/>
    <w:rsid w:val="003268A6"/>
    <w:rsid w:val="00331228"/>
    <w:rsid w:val="00331D9A"/>
    <w:rsid w:val="00333E73"/>
    <w:rsid w:val="003348A3"/>
    <w:rsid w:val="00344411"/>
    <w:rsid w:val="00344F05"/>
    <w:rsid w:val="00346E78"/>
    <w:rsid w:val="00350EF4"/>
    <w:rsid w:val="003525A0"/>
    <w:rsid w:val="0035281F"/>
    <w:rsid w:val="00355B89"/>
    <w:rsid w:val="00355E3E"/>
    <w:rsid w:val="00356CDE"/>
    <w:rsid w:val="00363059"/>
    <w:rsid w:val="00367964"/>
    <w:rsid w:val="003718E8"/>
    <w:rsid w:val="0037241F"/>
    <w:rsid w:val="00372547"/>
    <w:rsid w:val="0037603E"/>
    <w:rsid w:val="00381E47"/>
    <w:rsid w:val="00384B72"/>
    <w:rsid w:val="00384DEC"/>
    <w:rsid w:val="00386B4C"/>
    <w:rsid w:val="0039240B"/>
    <w:rsid w:val="00397D5B"/>
    <w:rsid w:val="003A32C8"/>
    <w:rsid w:val="003A6125"/>
    <w:rsid w:val="003B2408"/>
    <w:rsid w:val="003B328C"/>
    <w:rsid w:val="003B690B"/>
    <w:rsid w:val="003B6D12"/>
    <w:rsid w:val="003C1A92"/>
    <w:rsid w:val="003C2F88"/>
    <w:rsid w:val="003C49E7"/>
    <w:rsid w:val="003D29FB"/>
    <w:rsid w:val="003D6173"/>
    <w:rsid w:val="003E2056"/>
    <w:rsid w:val="003E30C0"/>
    <w:rsid w:val="003E7E31"/>
    <w:rsid w:val="003F2665"/>
    <w:rsid w:val="00400704"/>
    <w:rsid w:val="004028C6"/>
    <w:rsid w:val="00405F0F"/>
    <w:rsid w:val="004077D9"/>
    <w:rsid w:val="004105A4"/>
    <w:rsid w:val="00411E0E"/>
    <w:rsid w:val="0041510C"/>
    <w:rsid w:val="00422D14"/>
    <w:rsid w:val="004239CD"/>
    <w:rsid w:val="00424B23"/>
    <w:rsid w:val="004306EA"/>
    <w:rsid w:val="00431546"/>
    <w:rsid w:val="004333EB"/>
    <w:rsid w:val="00433ED9"/>
    <w:rsid w:val="00436370"/>
    <w:rsid w:val="00440B10"/>
    <w:rsid w:val="00447965"/>
    <w:rsid w:val="0045086C"/>
    <w:rsid w:val="004512B9"/>
    <w:rsid w:val="004524C2"/>
    <w:rsid w:val="004527EB"/>
    <w:rsid w:val="00454BD3"/>
    <w:rsid w:val="0046456A"/>
    <w:rsid w:val="00465B54"/>
    <w:rsid w:val="004836CA"/>
    <w:rsid w:val="004854BD"/>
    <w:rsid w:val="0048592E"/>
    <w:rsid w:val="00485CA9"/>
    <w:rsid w:val="00490074"/>
    <w:rsid w:val="00492071"/>
    <w:rsid w:val="00494897"/>
    <w:rsid w:val="0049617B"/>
    <w:rsid w:val="004A0EA9"/>
    <w:rsid w:val="004A23A7"/>
    <w:rsid w:val="004A3C66"/>
    <w:rsid w:val="004A4B80"/>
    <w:rsid w:val="004A4EB2"/>
    <w:rsid w:val="004A72FA"/>
    <w:rsid w:val="004B199C"/>
    <w:rsid w:val="004B35F3"/>
    <w:rsid w:val="004B51DA"/>
    <w:rsid w:val="004C14D8"/>
    <w:rsid w:val="004C4BCD"/>
    <w:rsid w:val="004C6549"/>
    <w:rsid w:val="004D1A69"/>
    <w:rsid w:val="004D20A4"/>
    <w:rsid w:val="004D20B8"/>
    <w:rsid w:val="004D4D5B"/>
    <w:rsid w:val="004F0463"/>
    <w:rsid w:val="004F35E7"/>
    <w:rsid w:val="00502F54"/>
    <w:rsid w:val="00503302"/>
    <w:rsid w:val="0050425D"/>
    <w:rsid w:val="00504D1A"/>
    <w:rsid w:val="005058ED"/>
    <w:rsid w:val="00513932"/>
    <w:rsid w:val="00517CE8"/>
    <w:rsid w:val="00521BAD"/>
    <w:rsid w:val="005236BC"/>
    <w:rsid w:val="00523942"/>
    <w:rsid w:val="00525DDE"/>
    <w:rsid w:val="00525DF9"/>
    <w:rsid w:val="005266EE"/>
    <w:rsid w:val="00536414"/>
    <w:rsid w:val="00536C79"/>
    <w:rsid w:val="00540C6D"/>
    <w:rsid w:val="00546211"/>
    <w:rsid w:val="00547D89"/>
    <w:rsid w:val="005568B3"/>
    <w:rsid w:val="0055770B"/>
    <w:rsid w:val="005615EC"/>
    <w:rsid w:val="00562000"/>
    <w:rsid w:val="00573005"/>
    <w:rsid w:val="005749DE"/>
    <w:rsid w:val="00584FF7"/>
    <w:rsid w:val="005855AA"/>
    <w:rsid w:val="00585E96"/>
    <w:rsid w:val="005861AA"/>
    <w:rsid w:val="00591F7C"/>
    <w:rsid w:val="00593C72"/>
    <w:rsid w:val="005A092C"/>
    <w:rsid w:val="005A330C"/>
    <w:rsid w:val="005A7269"/>
    <w:rsid w:val="005A736E"/>
    <w:rsid w:val="005B1381"/>
    <w:rsid w:val="005B58FB"/>
    <w:rsid w:val="005B7EDA"/>
    <w:rsid w:val="005C0CAD"/>
    <w:rsid w:val="005C1188"/>
    <w:rsid w:val="005D16D3"/>
    <w:rsid w:val="005D6380"/>
    <w:rsid w:val="005E148D"/>
    <w:rsid w:val="005E4A26"/>
    <w:rsid w:val="00600DE6"/>
    <w:rsid w:val="0060203C"/>
    <w:rsid w:val="00604CB6"/>
    <w:rsid w:val="00604CFC"/>
    <w:rsid w:val="006120BD"/>
    <w:rsid w:val="00615403"/>
    <w:rsid w:val="006177C8"/>
    <w:rsid w:val="006211B6"/>
    <w:rsid w:val="00621698"/>
    <w:rsid w:val="00622451"/>
    <w:rsid w:val="006313ED"/>
    <w:rsid w:val="00632621"/>
    <w:rsid w:val="0063428C"/>
    <w:rsid w:val="00634E37"/>
    <w:rsid w:val="00642270"/>
    <w:rsid w:val="00643332"/>
    <w:rsid w:val="006443E2"/>
    <w:rsid w:val="00644CF7"/>
    <w:rsid w:val="006465FC"/>
    <w:rsid w:val="00647487"/>
    <w:rsid w:val="00653B80"/>
    <w:rsid w:val="00654CD4"/>
    <w:rsid w:val="00655F87"/>
    <w:rsid w:val="00655FEB"/>
    <w:rsid w:val="00656151"/>
    <w:rsid w:val="006565F4"/>
    <w:rsid w:val="0065678F"/>
    <w:rsid w:val="0066042D"/>
    <w:rsid w:val="0066045C"/>
    <w:rsid w:val="006640D8"/>
    <w:rsid w:val="00665162"/>
    <w:rsid w:val="00670B13"/>
    <w:rsid w:val="006724D5"/>
    <w:rsid w:val="00677715"/>
    <w:rsid w:val="00680E0D"/>
    <w:rsid w:val="0068188E"/>
    <w:rsid w:val="006836FC"/>
    <w:rsid w:val="0068469F"/>
    <w:rsid w:val="00695AA1"/>
    <w:rsid w:val="006A0F66"/>
    <w:rsid w:val="006A235A"/>
    <w:rsid w:val="006A2F7B"/>
    <w:rsid w:val="006A3858"/>
    <w:rsid w:val="006A6950"/>
    <w:rsid w:val="006B2F08"/>
    <w:rsid w:val="006B4A90"/>
    <w:rsid w:val="006B56FC"/>
    <w:rsid w:val="006B5D01"/>
    <w:rsid w:val="006B7AE7"/>
    <w:rsid w:val="006C5B79"/>
    <w:rsid w:val="006C6CD2"/>
    <w:rsid w:val="006D0335"/>
    <w:rsid w:val="006D3A6F"/>
    <w:rsid w:val="006D4285"/>
    <w:rsid w:val="006D537F"/>
    <w:rsid w:val="006D6315"/>
    <w:rsid w:val="006E6295"/>
    <w:rsid w:val="006E77BE"/>
    <w:rsid w:val="006F0745"/>
    <w:rsid w:val="006F08C3"/>
    <w:rsid w:val="006F2B00"/>
    <w:rsid w:val="006F3736"/>
    <w:rsid w:val="006F51BA"/>
    <w:rsid w:val="00700962"/>
    <w:rsid w:val="007067A2"/>
    <w:rsid w:val="00721CE7"/>
    <w:rsid w:val="00723A3C"/>
    <w:rsid w:val="00723E9F"/>
    <w:rsid w:val="007354B3"/>
    <w:rsid w:val="0073754F"/>
    <w:rsid w:val="00745584"/>
    <w:rsid w:val="00745C2A"/>
    <w:rsid w:val="007460AE"/>
    <w:rsid w:val="00750D59"/>
    <w:rsid w:val="007532B4"/>
    <w:rsid w:val="00757EE3"/>
    <w:rsid w:val="00762149"/>
    <w:rsid w:val="00762300"/>
    <w:rsid w:val="007678FA"/>
    <w:rsid w:val="0077215B"/>
    <w:rsid w:val="007756BB"/>
    <w:rsid w:val="00783F09"/>
    <w:rsid w:val="007879CC"/>
    <w:rsid w:val="00791506"/>
    <w:rsid w:val="00791A1C"/>
    <w:rsid w:val="00796CB8"/>
    <w:rsid w:val="007A2C54"/>
    <w:rsid w:val="007A3834"/>
    <w:rsid w:val="007A5142"/>
    <w:rsid w:val="007A535C"/>
    <w:rsid w:val="007C2BB5"/>
    <w:rsid w:val="007C3996"/>
    <w:rsid w:val="007C661E"/>
    <w:rsid w:val="007C6EE1"/>
    <w:rsid w:val="007D109E"/>
    <w:rsid w:val="007D1350"/>
    <w:rsid w:val="007D24B8"/>
    <w:rsid w:val="007D2574"/>
    <w:rsid w:val="007D3893"/>
    <w:rsid w:val="007D5790"/>
    <w:rsid w:val="007D5DA1"/>
    <w:rsid w:val="007D6103"/>
    <w:rsid w:val="007D7AFA"/>
    <w:rsid w:val="007E03F4"/>
    <w:rsid w:val="007E4B65"/>
    <w:rsid w:val="007F09B7"/>
    <w:rsid w:val="007F1859"/>
    <w:rsid w:val="007F2A7A"/>
    <w:rsid w:val="007F331F"/>
    <w:rsid w:val="007F53D3"/>
    <w:rsid w:val="007F7E74"/>
    <w:rsid w:val="008008C2"/>
    <w:rsid w:val="0080660F"/>
    <w:rsid w:val="00812907"/>
    <w:rsid w:val="00814E1F"/>
    <w:rsid w:val="008152AF"/>
    <w:rsid w:val="0082019E"/>
    <w:rsid w:val="00820628"/>
    <w:rsid w:val="00821B04"/>
    <w:rsid w:val="008234D0"/>
    <w:rsid w:val="008244C7"/>
    <w:rsid w:val="0083241F"/>
    <w:rsid w:val="0083526F"/>
    <w:rsid w:val="00836B08"/>
    <w:rsid w:val="00837888"/>
    <w:rsid w:val="0084004E"/>
    <w:rsid w:val="00841DDD"/>
    <w:rsid w:val="0084306E"/>
    <w:rsid w:val="008448D9"/>
    <w:rsid w:val="00851DAB"/>
    <w:rsid w:val="008531CF"/>
    <w:rsid w:val="00855B78"/>
    <w:rsid w:val="008577D4"/>
    <w:rsid w:val="00861201"/>
    <w:rsid w:val="008623CF"/>
    <w:rsid w:val="0087727B"/>
    <w:rsid w:val="008772A8"/>
    <w:rsid w:val="00880012"/>
    <w:rsid w:val="00890B74"/>
    <w:rsid w:val="008910D9"/>
    <w:rsid w:val="008933FF"/>
    <w:rsid w:val="00893F95"/>
    <w:rsid w:val="00894458"/>
    <w:rsid w:val="0089470B"/>
    <w:rsid w:val="008A165A"/>
    <w:rsid w:val="008A2E2D"/>
    <w:rsid w:val="008A535D"/>
    <w:rsid w:val="008A7026"/>
    <w:rsid w:val="008A714F"/>
    <w:rsid w:val="008A7A37"/>
    <w:rsid w:val="008C43BF"/>
    <w:rsid w:val="008C564A"/>
    <w:rsid w:val="008C786A"/>
    <w:rsid w:val="008E3143"/>
    <w:rsid w:val="008E7265"/>
    <w:rsid w:val="008F0774"/>
    <w:rsid w:val="008F5757"/>
    <w:rsid w:val="008F5CB1"/>
    <w:rsid w:val="008F61D4"/>
    <w:rsid w:val="008F6583"/>
    <w:rsid w:val="00903BFB"/>
    <w:rsid w:val="009044F5"/>
    <w:rsid w:val="00906141"/>
    <w:rsid w:val="009101B8"/>
    <w:rsid w:val="0091210E"/>
    <w:rsid w:val="009311EA"/>
    <w:rsid w:val="00934C09"/>
    <w:rsid w:val="00935BC4"/>
    <w:rsid w:val="0094766C"/>
    <w:rsid w:val="00950D89"/>
    <w:rsid w:val="0095163D"/>
    <w:rsid w:val="009607C7"/>
    <w:rsid w:val="009610FD"/>
    <w:rsid w:val="00964F93"/>
    <w:rsid w:val="00965D43"/>
    <w:rsid w:val="00970FAA"/>
    <w:rsid w:val="00971632"/>
    <w:rsid w:val="009716F9"/>
    <w:rsid w:val="009739F0"/>
    <w:rsid w:val="00974AC6"/>
    <w:rsid w:val="009800DA"/>
    <w:rsid w:val="00983344"/>
    <w:rsid w:val="00983DA8"/>
    <w:rsid w:val="009867F7"/>
    <w:rsid w:val="00986CAA"/>
    <w:rsid w:val="00987420"/>
    <w:rsid w:val="009B0DF2"/>
    <w:rsid w:val="009B0E72"/>
    <w:rsid w:val="009B2B03"/>
    <w:rsid w:val="009C089F"/>
    <w:rsid w:val="009C1428"/>
    <w:rsid w:val="009C3708"/>
    <w:rsid w:val="009C4310"/>
    <w:rsid w:val="009C7CE6"/>
    <w:rsid w:val="009D40E4"/>
    <w:rsid w:val="009D7DAE"/>
    <w:rsid w:val="009E0D73"/>
    <w:rsid w:val="009E1EDB"/>
    <w:rsid w:val="009E6613"/>
    <w:rsid w:val="009F4636"/>
    <w:rsid w:val="009F6309"/>
    <w:rsid w:val="00A0326E"/>
    <w:rsid w:val="00A07380"/>
    <w:rsid w:val="00A07493"/>
    <w:rsid w:val="00A14A90"/>
    <w:rsid w:val="00A17E77"/>
    <w:rsid w:val="00A20F6F"/>
    <w:rsid w:val="00A21766"/>
    <w:rsid w:val="00A2389D"/>
    <w:rsid w:val="00A30468"/>
    <w:rsid w:val="00A403EB"/>
    <w:rsid w:val="00A425EF"/>
    <w:rsid w:val="00A45B31"/>
    <w:rsid w:val="00A51D04"/>
    <w:rsid w:val="00A57296"/>
    <w:rsid w:val="00A57F0F"/>
    <w:rsid w:val="00A621EF"/>
    <w:rsid w:val="00A660AE"/>
    <w:rsid w:val="00A66AEF"/>
    <w:rsid w:val="00A6792A"/>
    <w:rsid w:val="00A700FD"/>
    <w:rsid w:val="00A715AF"/>
    <w:rsid w:val="00A73418"/>
    <w:rsid w:val="00A742CA"/>
    <w:rsid w:val="00A742D4"/>
    <w:rsid w:val="00A74BC7"/>
    <w:rsid w:val="00A76195"/>
    <w:rsid w:val="00A819B8"/>
    <w:rsid w:val="00A81EEC"/>
    <w:rsid w:val="00A8318C"/>
    <w:rsid w:val="00A83551"/>
    <w:rsid w:val="00A83CDC"/>
    <w:rsid w:val="00A87F44"/>
    <w:rsid w:val="00A934A9"/>
    <w:rsid w:val="00A952CD"/>
    <w:rsid w:val="00AA29F2"/>
    <w:rsid w:val="00AA31E3"/>
    <w:rsid w:val="00AA4A8A"/>
    <w:rsid w:val="00AA6649"/>
    <w:rsid w:val="00AA6767"/>
    <w:rsid w:val="00AA6990"/>
    <w:rsid w:val="00AB40E2"/>
    <w:rsid w:val="00AC5CBF"/>
    <w:rsid w:val="00AC7393"/>
    <w:rsid w:val="00AD144B"/>
    <w:rsid w:val="00AD6742"/>
    <w:rsid w:val="00AD6EDE"/>
    <w:rsid w:val="00AD75FC"/>
    <w:rsid w:val="00AD7E86"/>
    <w:rsid w:val="00AF6CD8"/>
    <w:rsid w:val="00B0532B"/>
    <w:rsid w:val="00B12E6A"/>
    <w:rsid w:val="00B150DD"/>
    <w:rsid w:val="00B17124"/>
    <w:rsid w:val="00B17EDE"/>
    <w:rsid w:val="00B21D2A"/>
    <w:rsid w:val="00B23B3E"/>
    <w:rsid w:val="00B30721"/>
    <w:rsid w:val="00B31A3C"/>
    <w:rsid w:val="00B40E35"/>
    <w:rsid w:val="00B431FC"/>
    <w:rsid w:val="00B510E8"/>
    <w:rsid w:val="00B52F9E"/>
    <w:rsid w:val="00B53260"/>
    <w:rsid w:val="00B56E41"/>
    <w:rsid w:val="00B57706"/>
    <w:rsid w:val="00B606A4"/>
    <w:rsid w:val="00B6233A"/>
    <w:rsid w:val="00B64CEF"/>
    <w:rsid w:val="00B72C1D"/>
    <w:rsid w:val="00B73606"/>
    <w:rsid w:val="00B749C8"/>
    <w:rsid w:val="00B83E52"/>
    <w:rsid w:val="00B85582"/>
    <w:rsid w:val="00B85896"/>
    <w:rsid w:val="00B864D0"/>
    <w:rsid w:val="00B87799"/>
    <w:rsid w:val="00BA099B"/>
    <w:rsid w:val="00BA4A9B"/>
    <w:rsid w:val="00BB7593"/>
    <w:rsid w:val="00BC1FFF"/>
    <w:rsid w:val="00BD0A44"/>
    <w:rsid w:val="00BD6252"/>
    <w:rsid w:val="00BE2354"/>
    <w:rsid w:val="00BE41C6"/>
    <w:rsid w:val="00BF0CD5"/>
    <w:rsid w:val="00BF0F4E"/>
    <w:rsid w:val="00BF18EF"/>
    <w:rsid w:val="00BF1C82"/>
    <w:rsid w:val="00BF3AD3"/>
    <w:rsid w:val="00BF4455"/>
    <w:rsid w:val="00BF5DD0"/>
    <w:rsid w:val="00BF77B3"/>
    <w:rsid w:val="00BF7F08"/>
    <w:rsid w:val="00C138BB"/>
    <w:rsid w:val="00C14043"/>
    <w:rsid w:val="00C1594C"/>
    <w:rsid w:val="00C16225"/>
    <w:rsid w:val="00C1644C"/>
    <w:rsid w:val="00C16913"/>
    <w:rsid w:val="00C17D97"/>
    <w:rsid w:val="00C2239D"/>
    <w:rsid w:val="00C251D6"/>
    <w:rsid w:val="00C2784E"/>
    <w:rsid w:val="00C27F7F"/>
    <w:rsid w:val="00C308D4"/>
    <w:rsid w:val="00C31A51"/>
    <w:rsid w:val="00C326F7"/>
    <w:rsid w:val="00C3290E"/>
    <w:rsid w:val="00C3454F"/>
    <w:rsid w:val="00C34648"/>
    <w:rsid w:val="00C40219"/>
    <w:rsid w:val="00C420A0"/>
    <w:rsid w:val="00C44F9D"/>
    <w:rsid w:val="00C50C1B"/>
    <w:rsid w:val="00C55C43"/>
    <w:rsid w:val="00C61B90"/>
    <w:rsid w:val="00C62A62"/>
    <w:rsid w:val="00C6558F"/>
    <w:rsid w:val="00C66235"/>
    <w:rsid w:val="00C7027B"/>
    <w:rsid w:val="00C71B6C"/>
    <w:rsid w:val="00C734D6"/>
    <w:rsid w:val="00C815BB"/>
    <w:rsid w:val="00C81B20"/>
    <w:rsid w:val="00C82BB3"/>
    <w:rsid w:val="00C855E8"/>
    <w:rsid w:val="00C90F62"/>
    <w:rsid w:val="00C93FFD"/>
    <w:rsid w:val="00C95F30"/>
    <w:rsid w:val="00CA6C5D"/>
    <w:rsid w:val="00CB2357"/>
    <w:rsid w:val="00CB7149"/>
    <w:rsid w:val="00CC78D2"/>
    <w:rsid w:val="00CC7F9D"/>
    <w:rsid w:val="00CD27E0"/>
    <w:rsid w:val="00CD4719"/>
    <w:rsid w:val="00CD6683"/>
    <w:rsid w:val="00CE076B"/>
    <w:rsid w:val="00CE3F5F"/>
    <w:rsid w:val="00CE4572"/>
    <w:rsid w:val="00CE5258"/>
    <w:rsid w:val="00CE5DAA"/>
    <w:rsid w:val="00CE6DA7"/>
    <w:rsid w:val="00CE77DA"/>
    <w:rsid w:val="00CE7ACB"/>
    <w:rsid w:val="00CF4C56"/>
    <w:rsid w:val="00CF4D85"/>
    <w:rsid w:val="00CF7F95"/>
    <w:rsid w:val="00D054BA"/>
    <w:rsid w:val="00D12092"/>
    <w:rsid w:val="00D12930"/>
    <w:rsid w:val="00D130B6"/>
    <w:rsid w:val="00D151D3"/>
    <w:rsid w:val="00D16BED"/>
    <w:rsid w:val="00D17F1B"/>
    <w:rsid w:val="00D21436"/>
    <w:rsid w:val="00D23FA7"/>
    <w:rsid w:val="00D25EB7"/>
    <w:rsid w:val="00D30116"/>
    <w:rsid w:val="00D3022F"/>
    <w:rsid w:val="00D32B41"/>
    <w:rsid w:val="00D33514"/>
    <w:rsid w:val="00D3644F"/>
    <w:rsid w:val="00D445D8"/>
    <w:rsid w:val="00D46C1F"/>
    <w:rsid w:val="00D50D99"/>
    <w:rsid w:val="00D5141B"/>
    <w:rsid w:val="00D531E3"/>
    <w:rsid w:val="00D61683"/>
    <w:rsid w:val="00D72113"/>
    <w:rsid w:val="00D81335"/>
    <w:rsid w:val="00D81EFF"/>
    <w:rsid w:val="00D867C3"/>
    <w:rsid w:val="00D91C30"/>
    <w:rsid w:val="00DA14ED"/>
    <w:rsid w:val="00DA15C9"/>
    <w:rsid w:val="00DA160F"/>
    <w:rsid w:val="00DA6794"/>
    <w:rsid w:val="00DA7033"/>
    <w:rsid w:val="00DB4C64"/>
    <w:rsid w:val="00DB689D"/>
    <w:rsid w:val="00DB7C1A"/>
    <w:rsid w:val="00DC1A8B"/>
    <w:rsid w:val="00DC2B60"/>
    <w:rsid w:val="00DC3A22"/>
    <w:rsid w:val="00DC745B"/>
    <w:rsid w:val="00DD248B"/>
    <w:rsid w:val="00DD73A5"/>
    <w:rsid w:val="00DE24E4"/>
    <w:rsid w:val="00DF0007"/>
    <w:rsid w:val="00E0495F"/>
    <w:rsid w:val="00E1339C"/>
    <w:rsid w:val="00E1552D"/>
    <w:rsid w:val="00E16950"/>
    <w:rsid w:val="00E32B94"/>
    <w:rsid w:val="00E34F60"/>
    <w:rsid w:val="00E356AC"/>
    <w:rsid w:val="00E413F3"/>
    <w:rsid w:val="00E444A6"/>
    <w:rsid w:val="00E51EA4"/>
    <w:rsid w:val="00E5639D"/>
    <w:rsid w:val="00E60FBB"/>
    <w:rsid w:val="00E61978"/>
    <w:rsid w:val="00E666DE"/>
    <w:rsid w:val="00E71A82"/>
    <w:rsid w:val="00E72C1A"/>
    <w:rsid w:val="00E75181"/>
    <w:rsid w:val="00E75AE4"/>
    <w:rsid w:val="00E778B9"/>
    <w:rsid w:val="00E81B12"/>
    <w:rsid w:val="00E868CE"/>
    <w:rsid w:val="00E8704B"/>
    <w:rsid w:val="00E94975"/>
    <w:rsid w:val="00EA07EC"/>
    <w:rsid w:val="00EA1A61"/>
    <w:rsid w:val="00EA4C11"/>
    <w:rsid w:val="00EA4C21"/>
    <w:rsid w:val="00EB0565"/>
    <w:rsid w:val="00EB2126"/>
    <w:rsid w:val="00EB3AE4"/>
    <w:rsid w:val="00EB622C"/>
    <w:rsid w:val="00EC2D2A"/>
    <w:rsid w:val="00EC3E38"/>
    <w:rsid w:val="00EC48BB"/>
    <w:rsid w:val="00EC5871"/>
    <w:rsid w:val="00EC6ED4"/>
    <w:rsid w:val="00EE1509"/>
    <w:rsid w:val="00EE2B95"/>
    <w:rsid w:val="00EE4A7F"/>
    <w:rsid w:val="00EE4B47"/>
    <w:rsid w:val="00EE5FF5"/>
    <w:rsid w:val="00EF16BE"/>
    <w:rsid w:val="00EF1B31"/>
    <w:rsid w:val="00F028EA"/>
    <w:rsid w:val="00F04BEF"/>
    <w:rsid w:val="00F05954"/>
    <w:rsid w:val="00F21282"/>
    <w:rsid w:val="00F21330"/>
    <w:rsid w:val="00F22812"/>
    <w:rsid w:val="00F379A9"/>
    <w:rsid w:val="00F405A2"/>
    <w:rsid w:val="00F45A3D"/>
    <w:rsid w:val="00F45FF2"/>
    <w:rsid w:val="00F4660E"/>
    <w:rsid w:val="00F46FF9"/>
    <w:rsid w:val="00F471E5"/>
    <w:rsid w:val="00F47B6D"/>
    <w:rsid w:val="00F47D69"/>
    <w:rsid w:val="00F51382"/>
    <w:rsid w:val="00F53296"/>
    <w:rsid w:val="00F536B5"/>
    <w:rsid w:val="00F55BA1"/>
    <w:rsid w:val="00F602C2"/>
    <w:rsid w:val="00F64127"/>
    <w:rsid w:val="00F6775A"/>
    <w:rsid w:val="00F719E8"/>
    <w:rsid w:val="00F720F6"/>
    <w:rsid w:val="00F735A4"/>
    <w:rsid w:val="00F94A57"/>
    <w:rsid w:val="00F9554C"/>
    <w:rsid w:val="00FA04BD"/>
    <w:rsid w:val="00FA0D4F"/>
    <w:rsid w:val="00FA4BE0"/>
    <w:rsid w:val="00FA6D45"/>
    <w:rsid w:val="00FA76B3"/>
    <w:rsid w:val="00FB0FCC"/>
    <w:rsid w:val="00FB2C20"/>
    <w:rsid w:val="00FC47A1"/>
    <w:rsid w:val="00FD39BA"/>
    <w:rsid w:val="00FD3B63"/>
    <w:rsid w:val="00FD58DC"/>
    <w:rsid w:val="00FD5A4C"/>
    <w:rsid w:val="00FE0AF1"/>
    <w:rsid w:val="00FE1218"/>
    <w:rsid w:val="00FF0223"/>
    <w:rsid w:val="00FF3F61"/>
    <w:rsid w:val="1B7E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6"/>
    <w:qFormat/>
    <w:uiPriority w:val="0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9"/>
    <w:semiHidden/>
    <w:unhideWhenUsed/>
    <w:qFormat/>
    <w:uiPriority w:val="99"/>
    <w:rPr>
      <w:rFonts w:ascii="Tahoma" w:hAnsi="Tahoma" w:cs="Tahoma"/>
      <w:sz w:val="16"/>
      <w:szCs w:val="20"/>
    </w:rPr>
  </w:style>
  <w:style w:type="paragraph" w:styleId="5">
    <w:name w:val="Plain Text"/>
    <w:basedOn w:val="1"/>
    <w:link w:val="17"/>
    <w:qFormat/>
    <w:uiPriority w:val="0"/>
    <w:pPr>
      <w:widowControl/>
      <w:jc w:val="left"/>
    </w:pPr>
    <w:rPr>
      <w:rFonts w:ascii="Courier New" w:hAnsi="Courier New" w:eastAsia="宋体" w:cs="Courier New"/>
      <w:kern w:val="0"/>
      <w:sz w:val="20"/>
      <w:szCs w:val="20"/>
      <w:lang w:eastAsia="en-US"/>
    </w:rPr>
  </w:style>
  <w:style w:type="paragraph" w:styleId="6">
    <w:name w:val="Balloon Text"/>
    <w:basedOn w:val="1"/>
    <w:link w:val="20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7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10">
    <w:name w:val="FollowedHyperlink"/>
    <w:basedOn w:val="9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1">
    <w:name w:val="Hyperlink"/>
    <w:basedOn w:val="9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9"/>
    <w:qFormat/>
    <w:uiPriority w:val="99"/>
    <w:rPr>
      <w:rFonts w:ascii="Tahoma" w:hAnsi="Tahoma" w:cs="Tahoma"/>
      <w:sz w:val="16"/>
      <w:szCs w:val="16"/>
      <w:u w:val="none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styleId="14">
    <w:name w:val="Placeholder Text"/>
    <w:basedOn w:val="9"/>
    <w:semiHidden/>
    <w:uiPriority w:val="99"/>
    <w:rPr>
      <w:color w:val="808080"/>
    </w:rPr>
  </w:style>
  <w:style w:type="character" w:customStyle="1" w:styleId="15">
    <w:name w:val="Unresolved Mention"/>
    <w:basedOn w:val="9"/>
    <w:semiHidden/>
    <w:unhideWhenUsed/>
    <w:uiPriority w:val="99"/>
    <w:rPr>
      <w:color w:val="605E5C"/>
      <w:shd w:val="clear" w:color="auto" w:fill="E1DFDD"/>
    </w:rPr>
  </w:style>
  <w:style w:type="character" w:customStyle="1" w:styleId="16">
    <w:name w:val="标题 3 字符"/>
    <w:basedOn w:val="9"/>
    <w:link w:val="3"/>
    <w:qFormat/>
    <w:uiPriority w:val="0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7">
    <w:name w:val="纯文本 字符"/>
    <w:basedOn w:val="9"/>
    <w:link w:val="5"/>
    <w:qFormat/>
    <w:uiPriority w:val="0"/>
    <w:rPr>
      <w:rFonts w:ascii="Courier New" w:hAnsi="Courier New" w:eastAsia="宋体" w:cs="Courier New"/>
      <w:kern w:val="0"/>
      <w:sz w:val="20"/>
      <w:szCs w:val="20"/>
      <w:lang w:eastAsia="en-US"/>
    </w:rPr>
  </w:style>
  <w:style w:type="character" w:customStyle="1" w:styleId="18">
    <w:name w:val="标题 1 字符"/>
    <w:basedOn w:val="9"/>
    <w:link w:val="2"/>
    <w:uiPriority w:val="9"/>
    <w:rPr>
      <w:b/>
      <w:bCs/>
      <w:kern w:val="44"/>
      <w:sz w:val="44"/>
      <w:szCs w:val="44"/>
    </w:rPr>
  </w:style>
  <w:style w:type="character" w:customStyle="1" w:styleId="19">
    <w:name w:val="批注文字 字符"/>
    <w:basedOn w:val="9"/>
    <w:link w:val="4"/>
    <w:semiHidden/>
    <w:qFormat/>
    <w:uiPriority w:val="99"/>
    <w:rPr>
      <w:rFonts w:ascii="Tahoma" w:hAnsi="Tahoma" w:cs="Tahoma"/>
      <w:sz w:val="16"/>
      <w:szCs w:val="20"/>
    </w:rPr>
  </w:style>
  <w:style w:type="character" w:customStyle="1" w:styleId="20">
    <w:name w:val="批注框文本 字符"/>
    <w:basedOn w:val="9"/>
    <w:link w:val="6"/>
    <w:semiHidden/>
    <w:qFormat/>
    <w:uiPriority w:val="99"/>
    <w:rPr>
      <w:rFonts w:ascii="宋体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264</Words>
  <Characters>1613</Characters>
  <Lines>13</Lines>
  <Paragraphs>3</Paragraphs>
  <TotalTime>1</TotalTime>
  <ScaleCrop>false</ScaleCrop>
  <LinksUpToDate>false</LinksUpToDate>
  <CharactersWithSpaces>1872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2022-04-15T11:24:00Z</dcterms:created>
  <dc:creator>Microsoft Office User</dc:creator>
  <cp:lastModifiedBy>慈</cp:lastModifiedBy>
  <cp:lastPrinted>2022-04-15T11:24:00Z</cp:lastPrinted>
  <dcterms:modified xsi:type="dcterms:W3CDTF">2022-07-06T02:53:42Z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1EC1FED9839949D88BBCA29CF54A1F5A</vt:lpwstr>
  </property>
</Properties>
</file>