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4398D" w:rsidRDefault="0044398D" w:rsidP="0044398D">
      <w:pPr>
        <w:pStyle w:val="berschrift1"/>
        <w:rPr>
          <w:rFonts w:eastAsia="Times New Roman"/>
          <w:lang w:eastAsia="de-DE"/>
        </w:rPr>
      </w:pPr>
      <w:r>
        <w:rPr>
          <w:rFonts w:eastAsia="Times New Roman"/>
          <w:lang w:eastAsia="de-DE"/>
        </w:rPr>
        <w:t>Supplementary Tables</w:t>
      </w:r>
    </w:p>
    <w:p w:rsidR="0044398D" w:rsidRDefault="0044398D" w:rsidP="0044398D">
      <w:pPr>
        <w:pStyle w:val="berschrift2"/>
        <w:rPr>
          <w:rFonts w:cs="Calibri"/>
        </w:rPr>
      </w:pPr>
      <w:r w:rsidRPr="0044398D">
        <w:t>Suppl. Table 1</w:t>
      </w:r>
      <w:r>
        <w:t>a</w:t>
      </w:r>
      <w:r w:rsidRPr="0044398D">
        <w:t xml:space="preserve">: </w:t>
      </w:r>
      <w:r>
        <w:rPr>
          <w:rFonts w:cs="Calibri"/>
        </w:rPr>
        <w:t>Primer</w:t>
      </w:r>
    </w:p>
    <w:tbl>
      <w:tblPr>
        <w:tblW w:w="0" w:type="auto"/>
        <w:tblInd w:w="-30" w:type="dxa"/>
        <w:tblLayout w:type="fixed"/>
        <w:tblCellMar>
          <w:left w:w="70" w:type="dxa"/>
          <w:right w:w="70" w:type="dxa"/>
        </w:tblCellMar>
        <w:tblLook w:val="0000" w:firstRow="0" w:lastRow="0" w:firstColumn="0" w:lastColumn="0" w:noHBand="0" w:noVBand="0"/>
      </w:tblPr>
      <w:tblGrid>
        <w:gridCol w:w="1250"/>
        <w:gridCol w:w="3706"/>
        <w:gridCol w:w="4061"/>
      </w:tblGrid>
      <w:tr w:rsidR="0044398D" w:rsidTr="0044398D">
        <w:trPr>
          <w:trHeight w:val="290"/>
        </w:trPr>
        <w:tc>
          <w:tcPr>
            <w:tcW w:w="1250"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r>
              <w:rPr>
                <w:rFonts w:ascii="Calibri" w:hAnsi="Calibri" w:cs="Calibri"/>
                <w:color w:val="000000"/>
                <w:sz w:val="20"/>
                <w:szCs w:val="20"/>
                <w:lang w:val="de-DE"/>
              </w:rPr>
              <w:t>Name</w:t>
            </w:r>
          </w:p>
        </w:tc>
        <w:tc>
          <w:tcPr>
            <w:tcW w:w="3706"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r>
              <w:rPr>
                <w:rFonts w:ascii="Calibri" w:hAnsi="Calibri" w:cs="Calibri"/>
                <w:color w:val="000000"/>
                <w:sz w:val="20"/>
                <w:szCs w:val="20"/>
                <w:lang w:val="de-DE"/>
              </w:rPr>
              <w:t xml:space="preserve">Primer </w:t>
            </w:r>
            <w:proofErr w:type="spellStart"/>
            <w:r>
              <w:rPr>
                <w:rFonts w:ascii="Calibri" w:hAnsi="Calibri" w:cs="Calibri"/>
                <w:color w:val="000000"/>
                <w:sz w:val="20"/>
                <w:szCs w:val="20"/>
                <w:lang w:val="de-DE"/>
              </w:rPr>
              <w:t>forward</w:t>
            </w:r>
            <w:proofErr w:type="spellEnd"/>
            <w:r>
              <w:rPr>
                <w:rFonts w:ascii="Calibri" w:hAnsi="Calibri" w:cs="Calibri"/>
                <w:color w:val="000000"/>
                <w:sz w:val="20"/>
                <w:szCs w:val="20"/>
                <w:lang w:val="de-DE"/>
              </w:rPr>
              <w:t xml:space="preserve"> (5'-3')</w:t>
            </w:r>
          </w:p>
        </w:tc>
        <w:tc>
          <w:tcPr>
            <w:tcW w:w="4061"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r>
              <w:rPr>
                <w:rFonts w:ascii="Calibri" w:hAnsi="Calibri" w:cs="Calibri"/>
                <w:color w:val="000000"/>
                <w:sz w:val="20"/>
                <w:szCs w:val="20"/>
                <w:lang w:val="de-DE"/>
              </w:rPr>
              <w:t xml:space="preserve">Primer </w:t>
            </w:r>
            <w:proofErr w:type="spellStart"/>
            <w:r>
              <w:rPr>
                <w:rFonts w:ascii="Calibri" w:hAnsi="Calibri" w:cs="Calibri"/>
                <w:color w:val="000000"/>
                <w:sz w:val="20"/>
                <w:szCs w:val="20"/>
                <w:lang w:val="de-DE"/>
              </w:rPr>
              <w:t>reverse</w:t>
            </w:r>
            <w:proofErr w:type="spellEnd"/>
            <w:r>
              <w:rPr>
                <w:rFonts w:ascii="Calibri" w:hAnsi="Calibri" w:cs="Calibri"/>
                <w:color w:val="000000"/>
                <w:sz w:val="20"/>
                <w:szCs w:val="20"/>
                <w:lang w:val="de-DE"/>
              </w:rPr>
              <w:t xml:space="preserve"> (5'-3')</w:t>
            </w:r>
          </w:p>
        </w:tc>
      </w:tr>
      <w:tr w:rsidR="0044398D" w:rsidRPr="0044398D" w:rsidTr="0044398D">
        <w:trPr>
          <w:trHeight w:val="290"/>
        </w:trPr>
        <w:tc>
          <w:tcPr>
            <w:tcW w:w="1250"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r>
              <w:rPr>
                <w:rFonts w:ascii="Calibri" w:hAnsi="Calibri" w:cs="Calibri"/>
                <w:color w:val="000000"/>
                <w:sz w:val="20"/>
                <w:szCs w:val="20"/>
                <w:lang w:val="de-DE"/>
              </w:rPr>
              <w:t>TRPA1</w:t>
            </w:r>
          </w:p>
        </w:tc>
        <w:tc>
          <w:tcPr>
            <w:tcW w:w="3706"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r>
              <w:rPr>
                <w:rFonts w:ascii="Calibri" w:hAnsi="Calibri" w:cs="Calibri"/>
                <w:color w:val="000000"/>
                <w:sz w:val="20"/>
                <w:szCs w:val="20"/>
                <w:lang w:val="de-DE"/>
              </w:rPr>
              <w:t>GTC CAG GGC GTT GTC TAT CG</w:t>
            </w:r>
          </w:p>
        </w:tc>
        <w:tc>
          <w:tcPr>
            <w:tcW w:w="4061" w:type="dxa"/>
            <w:tcBorders>
              <w:top w:val="nil"/>
              <w:left w:val="nil"/>
              <w:bottom w:val="nil"/>
              <w:right w:val="nil"/>
            </w:tcBorders>
          </w:tcPr>
          <w:p w:rsidR="0044398D" w:rsidRPr="0044398D" w:rsidRDefault="0044398D">
            <w:pPr>
              <w:autoSpaceDE w:val="0"/>
              <w:autoSpaceDN w:val="0"/>
              <w:adjustRightInd w:val="0"/>
              <w:spacing w:after="0"/>
              <w:jc w:val="left"/>
              <w:rPr>
                <w:rFonts w:ascii="Calibri" w:hAnsi="Calibri" w:cs="Calibri"/>
                <w:color w:val="000000"/>
                <w:sz w:val="20"/>
                <w:szCs w:val="20"/>
              </w:rPr>
            </w:pPr>
            <w:r w:rsidRPr="0044398D">
              <w:rPr>
                <w:rFonts w:ascii="Calibri" w:hAnsi="Calibri" w:cs="Calibri"/>
                <w:color w:val="000000"/>
                <w:sz w:val="20"/>
                <w:szCs w:val="20"/>
              </w:rPr>
              <w:t>CGT GAT GCA GAG GAC AGA GAT</w:t>
            </w:r>
          </w:p>
        </w:tc>
      </w:tr>
      <w:tr w:rsidR="0044398D" w:rsidRPr="0044398D" w:rsidTr="0044398D">
        <w:trPr>
          <w:trHeight w:val="290"/>
        </w:trPr>
        <w:tc>
          <w:tcPr>
            <w:tcW w:w="1250"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r>
              <w:rPr>
                <w:rFonts w:ascii="Calibri" w:hAnsi="Calibri" w:cs="Calibri"/>
                <w:color w:val="000000"/>
                <w:sz w:val="20"/>
                <w:szCs w:val="20"/>
                <w:lang w:val="de-DE"/>
              </w:rPr>
              <w:t>TRPV1</w:t>
            </w:r>
          </w:p>
        </w:tc>
        <w:tc>
          <w:tcPr>
            <w:tcW w:w="3706"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r>
              <w:rPr>
                <w:rFonts w:ascii="Calibri" w:hAnsi="Calibri" w:cs="Calibri"/>
                <w:color w:val="000000"/>
                <w:sz w:val="20"/>
                <w:szCs w:val="20"/>
                <w:lang w:val="de-DE"/>
              </w:rPr>
              <w:t>CCG GCT TTT TGG GAA GGG T</w:t>
            </w:r>
          </w:p>
        </w:tc>
        <w:tc>
          <w:tcPr>
            <w:tcW w:w="4061" w:type="dxa"/>
            <w:tcBorders>
              <w:top w:val="nil"/>
              <w:left w:val="nil"/>
              <w:bottom w:val="nil"/>
              <w:right w:val="nil"/>
            </w:tcBorders>
          </w:tcPr>
          <w:p w:rsidR="0044398D" w:rsidRPr="0044398D" w:rsidRDefault="0044398D">
            <w:pPr>
              <w:autoSpaceDE w:val="0"/>
              <w:autoSpaceDN w:val="0"/>
              <w:adjustRightInd w:val="0"/>
              <w:spacing w:after="0"/>
              <w:jc w:val="left"/>
              <w:rPr>
                <w:rFonts w:ascii="Calibri" w:hAnsi="Calibri" w:cs="Calibri"/>
                <w:color w:val="000000"/>
                <w:sz w:val="20"/>
                <w:szCs w:val="20"/>
              </w:rPr>
            </w:pPr>
            <w:r w:rsidRPr="0044398D">
              <w:rPr>
                <w:rFonts w:ascii="Calibri" w:hAnsi="Calibri" w:cs="Calibri"/>
                <w:color w:val="000000"/>
                <w:sz w:val="20"/>
                <w:szCs w:val="20"/>
              </w:rPr>
              <w:t>GAG ACA GGT AGG TCC ATC CAC</w:t>
            </w:r>
          </w:p>
        </w:tc>
      </w:tr>
      <w:tr w:rsidR="0044398D" w:rsidRPr="0044398D" w:rsidTr="0044398D">
        <w:trPr>
          <w:trHeight w:val="290"/>
        </w:trPr>
        <w:tc>
          <w:tcPr>
            <w:tcW w:w="1250"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r>
              <w:rPr>
                <w:rFonts w:ascii="Calibri" w:hAnsi="Calibri" w:cs="Calibri"/>
                <w:color w:val="000000"/>
                <w:sz w:val="20"/>
                <w:szCs w:val="20"/>
                <w:lang w:val="de-DE"/>
              </w:rPr>
              <w:t>TRPC2</w:t>
            </w:r>
          </w:p>
        </w:tc>
        <w:tc>
          <w:tcPr>
            <w:tcW w:w="3706" w:type="dxa"/>
            <w:tcBorders>
              <w:top w:val="nil"/>
              <w:left w:val="nil"/>
              <w:bottom w:val="nil"/>
              <w:right w:val="nil"/>
            </w:tcBorders>
          </w:tcPr>
          <w:p w:rsidR="0044398D" w:rsidRPr="0044398D" w:rsidRDefault="0044398D">
            <w:pPr>
              <w:autoSpaceDE w:val="0"/>
              <w:autoSpaceDN w:val="0"/>
              <w:adjustRightInd w:val="0"/>
              <w:spacing w:after="0"/>
              <w:jc w:val="left"/>
              <w:rPr>
                <w:rFonts w:ascii="Calibri" w:hAnsi="Calibri" w:cs="Calibri"/>
                <w:color w:val="000000"/>
                <w:sz w:val="20"/>
                <w:szCs w:val="20"/>
              </w:rPr>
            </w:pPr>
            <w:r w:rsidRPr="0044398D">
              <w:rPr>
                <w:rFonts w:ascii="Calibri" w:hAnsi="Calibri" w:cs="Calibri"/>
                <w:color w:val="000000"/>
                <w:sz w:val="20"/>
                <w:szCs w:val="20"/>
              </w:rPr>
              <w:t>ACC AGG GCC ATA CCA TTG C</w:t>
            </w:r>
          </w:p>
        </w:tc>
        <w:tc>
          <w:tcPr>
            <w:tcW w:w="4061" w:type="dxa"/>
            <w:tcBorders>
              <w:top w:val="nil"/>
              <w:left w:val="nil"/>
              <w:bottom w:val="nil"/>
              <w:right w:val="nil"/>
            </w:tcBorders>
          </w:tcPr>
          <w:p w:rsidR="0044398D" w:rsidRPr="0044398D" w:rsidRDefault="0044398D">
            <w:pPr>
              <w:autoSpaceDE w:val="0"/>
              <w:autoSpaceDN w:val="0"/>
              <w:adjustRightInd w:val="0"/>
              <w:spacing w:after="0"/>
              <w:jc w:val="left"/>
              <w:rPr>
                <w:rFonts w:ascii="Calibri" w:hAnsi="Calibri" w:cs="Calibri"/>
                <w:color w:val="000000"/>
                <w:sz w:val="20"/>
                <w:szCs w:val="20"/>
              </w:rPr>
            </w:pPr>
            <w:r w:rsidRPr="0044398D">
              <w:rPr>
                <w:rFonts w:ascii="Calibri" w:hAnsi="Calibri" w:cs="Calibri"/>
                <w:color w:val="000000"/>
                <w:sz w:val="20"/>
                <w:szCs w:val="20"/>
              </w:rPr>
              <w:t>GTA GGT GTT GAT TCG GGA TAG TG</w:t>
            </w:r>
          </w:p>
        </w:tc>
      </w:tr>
      <w:tr w:rsidR="0044398D" w:rsidRPr="0044398D" w:rsidTr="0044398D">
        <w:trPr>
          <w:trHeight w:val="290"/>
        </w:trPr>
        <w:tc>
          <w:tcPr>
            <w:tcW w:w="1250"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r>
              <w:rPr>
                <w:rFonts w:ascii="Calibri" w:hAnsi="Calibri" w:cs="Calibri"/>
                <w:color w:val="000000"/>
                <w:sz w:val="20"/>
                <w:szCs w:val="20"/>
                <w:lang w:val="de-DE"/>
              </w:rPr>
              <w:t>PP1A</w:t>
            </w:r>
          </w:p>
        </w:tc>
        <w:tc>
          <w:tcPr>
            <w:tcW w:w="3706" w:type="dxa"/>
            <w:tcBorders>
              <w:top w:val="nil"/>
              <w:left w:val="nil"/>
              <w:bottom w:val="nil"/>
              <w:right w:val="nil"/>
            </w:tcBorders>
          </w:tcPr>
          <w:p w:rsidR="0044398D" w:rsidRPr="0044398D" w:rsidRDefault="0044398D">
            <w:pPr>
              <w:autoSpaceDE w:val="0"/>
              <w:autoSpaceDN w:val="0"/>
              <w:adjustRightInd w:val="0"/>
              <w:spacing w:after="0"/>
              <w:jc w:val="left"/>
              <w:rPr>
                <w:rFonts w:ascii="Calibri" w:hAnsi="Calibri" w:cs="Calibri"/>
                <w:color w:val="000000"/>
                <w:sz w:val="20"/>
                <w:szCs w:val="20"/>
              </w:rPr>
            </w:pPr>
            <w:r w:rsidRPr="0044398D">
              <w:rPr>
                <w:rFonts w:ascii="Calibri" w:hAnsi="Calibri" w:cs="Calibri"/>
                <w:color w:val="000000"/>
                <w:sz w:val="20"/>
                <w:szCs w:val="20"/>
              </w:rPr>
              <w:t>GCT GGA CCA AAC ACA AAC GG</w:t>
            </w:r>
          </w:p>
        </w:tc>
        <w:tc>
          <w:tcPr>
            <w:tcW w:w="4061" w:type="dxa"/>
            <w:tcBorders>
              <w:top w:val="nil"/>
              <w:left w:val="nil"/>
              <w:bottom w:val="nil"/>
              <w:right w:val="nil"/>
            </w:tcBorders>
          </w:tcPr>
          <w:p w:rsidR="0044398D" w:rsidRPr="0044398D" w:rsidRDefault="0044398D">
            <w:pPr>
              <w:autoSpaceDE w:val="0"/>
              <w:autoSpaceDN w:val="0"/>
              <w:adjustRightInd w:val="0"/>
              <w:spacing w:after="0"/>
              <w:jc w:val="left"/>
              <w:rPr>
                <w:rFonts w:ascii="Calibri" w:hAnsi="Calibri" w:cs="Calibri"/>
                <w:color w:val="000000"/>
                <w:sz w:val="20"/>
                <w:szCs w:val="20"/>
              </w:rPr>
            </w:pPr>
            <w:r w:rsidRPr="0044398D">
              <w:rPr>
                <w:rFonts w:ascii="Calibri" w:hAnsi="Calibri" w:cs="Calibri"/>
                <w:color w:val="000000"/>
                <w:sz w:val="20"/>
                <w:szCs w:val="20"/>
              </w:rPr>
              <w:t>GCC ATT CCT GGA CCC AAA AC</w:t>
            </w:r>
          </w:p>
        </w:tc>
      </w:tr>
    </w:tbl>
    <w:p w:rsidR="0044398D" w:rsidRPr="0044398D" w:rsidRDefault="0044398D" w:rsidP="0044398D"/>
    <w:p w:rsidR="0044398D" w:rsidRPr="0044398D" w:rsidRDefault="0044398D" w:rsidP="0044398D">
      <w:pPr>
        <w:pStyle w:val="berschrift2"/>
        <w:rPr>
          <w:lang w:eastAsia="de-DE"/>
        </w:rPr>
      </w:pPr>
      <w:r w:rsidRPr="0044398D">
        <w:t xml:space="preserve">Suppl. Table 1b: </w:t>
      </w:r>
      <w:r w:rsidRPr="0044398D">
        <w:rPr>
          <w:rFonts w:cs="Calibri"/>
        </w:rPr>
        <w:t>Antibodies</w:t>
      </w:r>
    </w:p>
    <w:tbl>
      <w:tblPr>
        <w:tblW w:w="10214" w:type="dxa"/>
        <w:tblInd w:w="-30" w:type="dxa"/>
        <w:tblLayout w:type="fixed"/>
        <w:tblCellMar>
          <w:left w:w="70" w:type="dxa"/>
          <w:right w:w="70" w:type="dxa"/>
        </w:tblCellMar>
        <w:tblLook w:val="0000" w:firstRow="0" w:lastRow="0" w:firstColumn="0" w:lastColumn="0" w:noHBand="0" w:noVBand="0"/>
      </w:tblPr>
      <w:tblGrid>
        <w:gridCol w:w="3158"/>
        <w:gridCol w:w="1726"/>
        <w:gridCol w:w="1579"/>
        <w:gridCol w:w="1251"/>
        <w:gridCol w:w="1250"/>
        <w:gridCol w:w="1250"/>
      </w:tblGrid>
      <w:tr w:rsidR="0044398D" w:rsidRPr="0044398D" w:rsidTr="0044398D">
        <w:trPr>
          <w:trHeight w:val="290"/>
        </w:trPr>
        <w:tc>
          <w:tcPr>
            <w:tcW w:w="3158" w:type="dxa"/>
            <w:tcBorders>
              <w:top w:val="nil"/>
              <w:left w:val="nil"/>
              <w:bottom w:val="nil"/>
              <w:right w:val="nil"/>
            </w:tcBorders>
          </w:tcPr>
          <w:p w:rsidR="0044398D" w:rsidRPr="0044398D" w:rsidRDefault="0044398D">
            <w:pPr>
              <w:autoSpaceDE w:val="0"/>
              <w:autoSpaceDN w:val="0"/>
              <w:adjustRightInd w:val="0"/>
              <w:spacing w:after="0"/>
              <w:jc w:val="left"/>
              <w:rPr>
                <w:rFonts w:ascii="Calibri" w:hAnsi="Calibri" w:cs="Calibri"/>
                <w:b/>
                <w:color w:val="000000"/>
                <w:sz w:val="20"/>
                <w:szCs w:val="20"/>
              </w:rPr>
            </w:pPr>
            <w:r w:rsidRPr="0044398D">
              <w:rPr>
                <w:rFonts w:ascii="Calibri" w:hAnsi="Calibri" w:cs="Calibri"/>
                <w:b/>
                <w:color w:val="000000"/>
                <w:sz w:val="20"/>
                <w:szCs w:val="20"/>
              </w:rPr>
              <w:t xml:space="preserve">Antibody </w:t>
            </w:r>
          </w:p>
        </w:tc>
        <w:tc>
          <w:tcPr>
            <w:tcW w:w="1726" w:type="dxa"/>
            <w:tcBorders>
              <w:top w:val="nil"/>
              <w:left w:val="nil"/>
              <w:bottom w:val="nil"/>
              <w:right w:val="nil"/>
            </w:tcBorders>
          </w:tcPr>
          <w:p w:rsidR="0044398D" w:rsidRPr="0044398D" w:rsidRDefault="0044398D">
            <w:pPr>
              <w:autoSpaceDE w:val="0"/>
              <w:autoSpaceDN w:val="0"/>
              <w:adjustRightInd w:val="0"/>
              <w:spacing w:after="0"/>
              <w:jc w:val="left"/>
              <w:rPr>
                <w:rFonts w:ascii="Calibri" w:hAnsi="Calibri" w:cs="Calibri"/>
                <w:b/>
                <w:color w:val="000000"/>
                <w:sz w:val="20"/>
                <w:szCs w:val="20"/>
              </w:rPr>
            </w:pPr>
            <w:r w:rsidRPr="0044398D">
              <w:rPr>
                <w:rFonts w:ascii="Calibri" w:hAnsi="Calibri" w:cs="Calibri"/>
                <w:b/>
                <w:color w:val="000000"/>
                <w:sz w:val="20"/>
                <w:szCs w:val="20"/>
              </w:rPr>
              <w:t>Manufacturer</w:t>
            </w:r>
          </w:p>
        </w:tc>
        <w:tc>
          <w:tcPr>
            <w:tcW w:w="1579" w:type="dxa"/>
            <w:tcBorders>
              <w:top w:val="nil"/>
              <w:left w:val="nil"/>
              <w:bottom w:val="nil"/>
              <w:right w:val="nil"/>
            </w:tcBorders>
          </w:tcPr>
          <w:p w:rsidR="0044398D" w:rsidRPr="0044398D" w:rsidRDefault="0044398D">
            <w:pPr>
              <w:autoSpaceDE w:val="0"/>
              <w:autoSpaceDN w:val="0"/>
              <w:adjustRightInd w:val="0"/>
              <w:spacing w:after="0"/>
              <w:jc w:val="left"/>
              <w:rPr>
                <w:rFonts w:ascii="Calibri" w:hAnsi="Calibri" w:cs="Calibri"/>
                <w:b/>
                <w:color w:val="000000"/>
                <w:sz w:val="20"/>
                <w:szCs w:val="20"/>
              </w:rPr>
            </w:pPr>
            <w:r w:rsidRPr="0044398D">
              <w:rPr>
                <w:rFonts w:ascii="Calibri" w:hAnsi="Calibri" w:cs="Calibri"/>
                <w:b/>
                <w:color w:val="000000"/>
                <w:sz w:val="20"/>
                <w:szCs w:val="20"/>
              </w:rPr>
              <w:t>Product #</w:t>
            </w:r>
          </w:p>
        </w:tc>
        <w:tc>
          <w:tcPr>
            <w:tcW w:w="1251" w:type="dxa"/>
            <w:tcBorders>
              <w:top w:val="nil"/>
              <w:left w:val="nil"/>
              <w:bottom w:val="nil"/>
              <w:right w:val="nil"/>
            </w:tcBorders>
          </w:tcPr>
          <w:p w:rsidR="0044398D" w:rsidRPr="0044398D" w:rsidRDefault="0044398D">
            <w:pPr>
              <w:autoSpaceDE w:val="0"/>
              <w:autoSpaceDN w:val="0"/>
              <w:adjustRightInd w:val="0"/>
              <w:spacing w:after="0"/>
              <w:jc w:val="left"/>
              <w:rPr>
                <w:rFonts w:ascii="Calibri" w:hAnsi="Calibri" w:cs="Calibri"/>
                <w:b/>
                <w:color w:val="000000"/>
                <w:sz w:val="20"/>
                <w:szCs w:val="20"/>
              </w:rPr>
            </w:pPr>
            <w:r w:rsidRPr="0044398D">
              <w:rPr>
                <w:rFonts w:ascii="Calibri" w:hAnsi="Calibri" w:cs="Calibri"/>
                <w:b/>
                <w:color w:val="000000"/>
                <w:sz w:val="20"/>
                <w:szCs w:val="20"/>
              </w:rPr>
              <w:t>Dilution</w:t>
            </w:r>
          </w:p>
        </w:tc>
        <w:tc>
          <w:tcPr>
            <w:tcW w:w="1250" w:type="dxa"/>
            <w:tcBorders>
              <w:top w:val="nil"/>
              <w:left w:val="nil"/>
              <w:bottom w:val="nil"/>
              <w:right w:val="nil"/>
            </w:tcBorders>
          </w:tcPr>
          <w:p w:rsidR="0044398D" w:rsidRPr="0044398D" w:rsidRDefault="0044398D">
            <w:pPr>
              <w:autoSpaceDE w:val="0"/>
              <w:autoSpaceDN w:val="0"/>
              <w:adjustRightInd w:val="0"/>
              <w:spacing w:after="0"/>
              <w:jc w:val="left"/>
              <w:rPr>
                <w:rFonts w:ascii="Calibri" w:hAnsi="Calibri" w:cs="Calibri"/>
                <w:b/>
                <w:color w:val="000000"/>
                <w:sz w:val="20"/>
                <w:szCs w:val="20"/>
              </w:rPr>
            </w:pPr>
            <w:r w:rsidRPr="0044398D">
              <w:rPr>
                <w:rFonts w:ascii="Calibri" w:hAnsi="Calibri" w:cs="Calibri"/>
                <w:b/>
                <w:color w:val="000000"/>
                <w:sz w:val="20"/>
                <w:szCs w:val="20"/>
              </w:rPr>
              <w:t>Host</w:t>
            </w:r>
          </w:p>
        </w:tc>
        <w:tc>
          <w:tcPr>
            <w:tcW w:w="1250" w:type="dxa"/>
            <w:tcBorders>
              <w:top w:val="nil"/>
              <w:left w:val="nil"/>
              <w:bottom w:val="nil"/>
              <w:right w:val="nil"/>
            </w:tcBorders>
          </w:tcPr>
          <w:p w:rsidR="0044398D" w:rsidRPr="0044398D" w:rsidRDefault="0044398D">
            <w:pPr>
              <w:autoSpaceDE w:val="0"/>
              <w:autoSpaceDN w:val="0"/>
              <w:adjustRightInd w:val="0"/>
              <w:spacing w:after="0"/>
              <w:jc w:val="left"/>
              <w:rPr>
                <w:rFonts w:ascii="Calibri" w:hAnsi="Calibri" w:cs="Calibri"/>
                <w:b/>
                <w:color w:val="000000"/>
                <w:sz w:val="20"/>
                <w:szCs w:val="20"/>
              </w:rPr>
            </w:pPr>
            <w:r w:rsidRPr="0044398D">
              <w:rPr>
                <w:rFonts w:ascii="Calibri" w:hAnsi="Calibri" w:cs="Calibri"/>
                <w:b/>
                <w:color w:val="000000"/>
                <w:sz w:val="20"/>
                <w:szCs w:val="20"/>
              </w:rPr>
              <w:t>Type</w:t>
            </w:r>
          </w:p>
        </w:tc>
      </w:tr>
      <w:tr w:rsidR="0044398D" w:rsidRPr="0044398D" w:rsidTr="0044398D">
        <w:trPr>
          <w:trHeight w:val="290"/>
        </w:trPr>
        <w:tc>
          <w:tcPr>
            <w:tcW w:w="3158" w:type="dxa"/>
            <w:tcBorders>
              <w:top w:val="nil"/>
              <w:left w:val="nil"/>
              <w:bottom w:val="nil"/>
              <w:right w:val="nil"/>
            </w:tcBorders>
          </w:tcPr>
          <w:p w:rsidR="0044398D" w:rsidRPr="0044398D" w:rsidRDefault="0044398D">
            <w:pPr>
              <w:autoSpaceDE w:val="0"/>
              <w:autoSpaceDN w:val="0"/>
              <w:adjustRightInd w:val="0"/>
              <w:spacing w:after="0"/>
              <w:jc w:val="left"/>
              <w:rPr>
                <w:rFonts w:ascii="Calibri" w:hAnsi="Calibri" w:cs="Calibri"/>
                <w:color w:val="000000"/>
                <w:sz w:val="20"/>
                <w:szCs w:val="20"/>
              </w:rPr>
            </w:pPr>
            <w:r w:rsidRPr="0044398D">
              <w:rPr>
                <w:rFonts w:ascii="Calibri" w:hAnsi="Calibri" w:cs="Calibri"/>
                <w:color w:val="000000"/>
                <w:sz w:val="20"/>
                <w:szCs w:val="20"/>
              </w:rPr>
              <w:t>TRPV1</w:t>
            </w:r>
          </w:p>
        </w:tc>
        <w:tc>
          <w:tcPr>
            <w:tcW w:w="1726" w:type="dxa"/>
            <w:tcBorders>
              <w:top w:val="nil"/>
              <w:left w:val="nil"/>
              <w:bottom w:val="nil"/>
              <w:right w:val="nil"/>
            </w:tcBorders>
          </w:tcPr>
          <w:p w:rsidR="0044398D" w:rsidRPr="0044398D" w:rsidRDefault="0044398D">
            <w:pPr>
              <w:autoSpaceDE w:val="0"/>
              <w:autoSpaceDN w:val="0"/>
              <w:adjustRightInd w:val="0"/>
              <w:spacing w:after="0"/>
              <w:jc w:val="left"/>
              <w:rPr>
                <w:rFonts w:ascii="Calibri" w:hAnsi="Calibri" w:cs="Calibri"/>
                <w:color w:val="000000"/>
                <w:sz w:val="20"/>
                <w:szCs w:val="20"/>
              </w:rPr>
            </w:pPr>
            <w:proofErr w:type="spellStart"/>
            <w:r w:rsidRPr="0044398D">
              <w:rPr>
                <w:rFonts w:ascii="Calibri" w:hAnsi="Calibri" w:cs="Calibri"/>
                <w:color w:val="000000"/>
                <w:sz w:val="20"/>
                <w:szCs w:val="20"/>
              </w:rPr>
              <w:t>alomone</w:t>
            </w:r>
            <w:proofErr w:type="spellEnd"/>
            <w:r w:rsidRPr="0044398D">
              <w:rPr>
                <w:rFonts w:ascii="Calibri" w:hAnsi="Calibri" w:cs="Calibri"/>
                <w:color w:val="000000"/>
                <w:sz w:val="20"/>
                <w:szCs w:val="20"/>
              </w:rPr>
              <w:t xml:space="preserve"> labs</w:t>
            </w:r>
          </w:p>
        </w:tc>
        <w:tc>
          <w:tcPr>
            <w:tcW w:w="1579" w:type="dxa"/>
            <w:tcBorders>
              <w:top w:val="nil"/>
              <w:left w:val="nil"/>
              <w:bottom w:val="nil"/>
              <w:right w:val="nil"/>
            </w:tcBorders>
          </w:tcPr>
          <w:p w:rsidR="0044398D" w:rsidRPr="0044398D" w:rsidRDefault="0044398D">
            <w:pPr>
              <w:autoSpaceDE w:val="0"/>
              <w:autoSpaceDN w:val="0"/>
              <w:adjustRightInd w:val="0"/>
              <w:spacing w:after="0"/>
              <w:jc w:val="left"/>
              <w:rPr>
                <w:rFonts w:ascii="Calibri" w:hAnsi="Calibri" w:cs="Calibri"/>
                <w:color w:val="000000"/>
                <w:sz w:val="20"/>
                <w:szCs w:val="20"/>
              </w:rPr>
            </w:pPr>
            <w:r w:rsidRPr="0044398D">
              <w:rPr>
                <w:rFonts w:ascii="Calibri" w:hAnsi="Calibri" w:cs="Calibri"/>
                <w:color w:val="000000"/>
                <w:sz w:val="20"/>
                <w:szCs w:val="20"/>
              </w:rPr>
              <w:t>ACC-030</w:t>
            </w:r>
          </w:p>
        </w:tc>
        <w:tc>
          <w:tcPr>
            <w:tcW w:w="1251" w:type="dxa"/>
            <w:tcBorders>
              <w:top w:val="nil"/>
              <w:left w:val="nil"/>
              <w:bottom w:val="nil"/>
              <w:right w:val="nil"/>
            </w:tcBorders>
          </w:tcPr>
          <w:p w:rsidR="0044398D" w:rsidRPr="0044398D" w:rsidRDefault="0044398D">
            <w:pPr>
              <w:autoSpaceDE w:val="0"/>
              <w:autoSpaceDN w:val="0"/>
              <w:adjustRightInd w:val="0"/>
              <w:spacing w:after="0"/>
              <w:jc w:val="left"/>
              <w:rPr>
                <w:rFonts w:ascii="Calibri" w:hAnsi="Calibri" w:cs="Calibri"/>
                <w:color w:val="000000"/>
                <w:sz w:val="20"/>
                <w:szCs w:val="20"/>
              </w:rPr>
            </w:pPr>
            <w:r w:rsidRPr="0044398D">
              <w:rPr>
                <w:rFonts w:ascii="Calibri" w:hAnsi="Calibri" w:cs="Calibri"/>
                <w:color w:val="000000"/>
                <w:sz w:val="20"/>
                <w:szCs w:val="20"/>
              </w:rPr>
              <w:t>1:100</w:t>
            </w:r>
          </w:p>
        </w:tc>
        <w:tc>
          <w:tcPr>
            <w:tcW w:w="1250" w:type="dxa"/>
            <w:tcBorders>
              <w:top w:val="nil"/>
              <w:left w:val="nil"/>
              <w:bottom w:val="nil"/>
              <w:right w:val="nil"/>
            </w:tcBorders>
          </w:tcPr>
          <w:p w:rsidR="0044398D" w:rsidRPr="0044398D" w:rsidRDefault="0044398D">
            <w:pPr>
              <w:autoSpaceDE w:val="0"/>
              <w:autoSpaceDN w:val="0"/>
              <w:adjustRightInd w:val="0"/>
              <w:spacing w:after="0"/>
              <w:jc w:val="left"/>
              <w:rPr>
                <w:rFonts w:ascii="Calibri" w:hAnsi="Calibri" w:cs="Calibri"/>
                <w:color w:val="000000"/>
                <w:sz w:val="20"/>
                <w:szCs w:val="20"/>
              </w:rPr>
            </w:pPr>
            <w:r w:rsidRPr="0044398D">
              <w:rPr>
                <w:rFonts w:ascii="Calibri" w:hAnsi="Calibri" w:cs="Calibri"/>
                <w:color w:val="000000"/>
                <w:sz w:val="20"/>
                <w:szCs w:val="20"/>
              </w:rPr>
              <w:t>rabbit</w:t>
            </w:r>
          </w:p>
        </w:tc>
        <w:tc>
          <w:tcPr>
            <w:tcW w:w="1250" w:type="dxa"/>
            <w:tcBorders>
              <w:top w:val="nil"/>
              <w:left w:val="nil"/>
              <w:bottom w:val="nil"/>
              <w:right w:val="nil"/>
            </w:tcBorders>
          </w:tcPr>
          <w:p w:rsidR="0044398D" w:rsidRPr="0044398D" w:rsidRDefault="0044398D">
            <w:pPr>
              <w:autoSpaceDE w:val="0"/>
              <w:autoSpaceDN w:val="0"/>
              <w:adjustRightInd w:val="0"/>
              <w:spacing w:after="0"/>
              <w:jc w:val="left"/>
              <w:rPr>
                <w:rFonts w:ascii="Calibri" w:hAnsi="Calibri" w:cs="Calibri"/>
                <w:color w:val="000000"/>
                <w:sz w:val="20"/>
                <w:szCs w:val="20"/>
              </w:rPr>
            </w:pPr>
            <w:proofErr w:type="spellStart"/>
            <w:r w:rsidRPr="0044398D">
              <w:rPr>
                <w:rFonts w:ascii="Calibri" w:hAnsi="Calibri" w:cs="Calibri"/>
                <w:color w:val="000000"/>
                <w:sz w:val="20"/>
                <w:szCs w:val="20"/>
              </w:rPr>
              <w:t>pab</w:t>
            </w:r>
            <w:proofErr w:type="spellEnd"/>
          </w:p>
        </w:tc>
      </w:tr>
      <w:tr w:rsidR="0044398D" w:rsidTr="0044398D">
        <w:trPr>
          <w:trHeight w:val="290"/>
        </w:trPr>
        <w:tc>
          <w:tcPr>
            <w:tcW w:w="3158" w:type="dxa"/>
            <w:tcBorders>
              <w:top w:val="nil"/>
              <w:left w:val="nil"/>
              <w:bottom w:val="nil"/>
              <w:right w:val="nil"/>
            </w:tcBorders>
          </w:tcPr>
          <w:p w:rsidR="0044398D" w:rsidRPr="0044398D" w:rsidRDefault="0044398D">
            <w:pPr>
              <w:autoSpaceDE w:val="0"/>
              <w:autoSpaceDN w:val="0"/>
              <w:adjustRightInd w:val="0"/>
              <w:spacing w:after="0"/>
              <w:jc w:val="left"/>
              <w:rPr>
                <w:rFonts w:ascii="Calibri" w:hAnsi="Calibri" w:cs="Calibri"/>
                <w:color w:val="000000"/>
                <w:sz w:val="20"/>
                <w:szCs w:val="20"/>
              </w:rPr>
            </w:pPr>
            <w:r w:rsidRPr="0044398D">
              <w:rPr>
                <w:rFonts w:ascii="Calibri" w:hAnsi="Calibri" w:cs="Calibri"/>
                <w:color w:val="000000"/>
                <w:sz w:val="20"/>
                <w:szCs w:val="20"/>
              </w:rPr>
              <w:t>IFI16</w:t>
            </w:r>
          </w:p>
        </w:tc>
        <w:tc>
          <w:tcPr>
            <w:tcW w:w="1726" w:type="dxa"/>
            <w:tcBorders>
              <w:top w:val="nil"/>
              <w:left w:val="nil"/>
              <w:bottom w:val="nil"/>
              <w:right w:val="nil"/>
            </w:tcBorders>
          </w:tcPr>
          <w:p w:rsidR="0044398D" w:rsidRPr="0044398D" w:rsidRDefault="0044398D">
            <w:pPr>
              <w:autoSpaceDE w:val="0"/>
              <w:autoSpaceDN w:val="0"/>
              <w:adjustRightInd w:val="0"/>
              <w:spacing w:after="0"/>
              <w:jc w:val="left"/>
              <w:rPr>
                <w:rFonts w:ascii="Calibri" w:hAnsi="Calibri" w:cs="Calibri"/>
                <w:color w:val="000000"/>
                <w:sz w:val="20"/>
                <w:szCs w:val="20"/>
              </w:rPr>
            </w:pPr>
            <w:proofErr w:type="spellStart"/>
            <w:r w:rsidRPr="0044398D">
              <w:rPr>
                <w:rFonts w:ascii="Calibri" w:hAnsi="Calibri" w:cs="Calibri"/>
                <w:color w:val="000000"/>
                <w:sz w:val="20"/>
                <w:szCs w:val="20"/>
              </w:rPr>
              <w:t>LSBio</w:t>
            </w:r>
            <w:proofErr w:type="spellEnd"/>
          </w:p>
        </w:tc>
        <w:tc>
          <w:tcPr>
            <w:tcW w:w="1579"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r w:rsidRPr="0044398D">
              <w:rPr>
                <w:rFonts w:ascii="Calibri" w:hAnsi="Calibri" w:cs="Calibri"/>
                <w:color w:val="000000"/>
                <w:sz w:val="20"/>
                <w:szCs w:val="20"/>
              </w:rPr>
              <w:t>LS-C3</w:t>
            </w:r>
            <w:r>
              <w:rPr>
                <w:rFonts w:ascii="Calibri" w:hAnsi="Calibri" w:cs="Calibri"/>
                <w:color w:val="000000"/>
                <w:sz w:val="20"/>
                <w:szCs w:val="20"/>
                <w:lang w:val="de-DE"/>
              </w:rPr>
              <w:t>31821</w:t>
            </w:r>
          </w:p>
        </w:tc>
        <w:tc>
          <w:tcPr>
            <w:tcW w:w="1251"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r>
              <w:rPr>
                <w:rFonts w:ascii="Calibri" w:hAnsi="Calibri" w:cs="Calibri"/>
                <w:color w:val="000000"/>
                <w:sz w:val="20"/>
                <w:szCs w:val="20"/>
                <w:lang w:val="de-DE"/>
              </w:rPr>
              <w:t>1:100</w:t>
            </w:r>
          </w:p>
        </w:tc>
        <w:tc>
          <w:tcPr>
            <w:tcW w:w="1250"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proofErr w:type="spellStart"/>
            <w:r>
              <w:rPr>
                <w:rFonts w:ascii="Calibri" w:hAnsi="Calibri" w:cs="Calibri"/>
                <w:color w:val="000000"/>
                <w:sz w:val="20"/>
                <w:szCs w:val="20"/>
                <w:lang w:val="de-DE"/>
              </w:rPr>
              <w:t>rabbit</w:t>
            </w:r>
            <w:proofErr w:type="spellEnd"/>
          </w:p>
        </w:tc>
        <w:tc>
          <w:tcPr>
            <w:tcW w:w="1250"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proofErr w:type="spellStart"/>
            <w:r>
              <w:rPr>
                <w:rFonts w:ascii="Calibri" w:hAnsi="Calibri" w:cs="Calibri"/>
                <w:color w:val="000000"/>
                <w:sz w:val="20"/>
                <w:szCs w:val="20"/>
                <w:lang w:val="de-DE"/>
              </w:rPr>
              <w:t>pab</w:t>
            </w:r>
            <w:proofErr w:type="spellEnd"/>
          </w:p>
        </w:tc>
      </w:tr>
      <w:tr w:rsidR="0044398D" w:rsidTr="0044398D">
        <w:trPr>
          <w:trHeight w:val="290"/>
        </w:trPr>
        <w:tc>
          <w:tcPr>
            <w:tcW w:w="3158"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proofErr w:type="spellStart"/>
            <w:r>
              <w:rPr>
                <w:rFonts w:ascii="Calibri" w:hAnsi="Calibri" w:cs="Calibri"/>
                <w:color w:val="000000"/>
                <w:sz w:val="20"/>
                <w:szCs w:val="20"/>
                <w:lang w:val="de-DE"/>
              </w:rPr>
              <w:t>Sting</w:t>
            </w:r>
            <w:proofErr w:type="spellEnd"/>
            <w:r>
              <w:rPr>
                <w:rFonts w:ascii="Calibri" w:hAnsi="Calibri" w:cs="Calibri"/>
                <w:color w:val="000000"/>
                <w:sz w:val="20"/>
                <w:szCs w:val="20"/>
                <w:lang w:val="de-DE"/>
              </w:rPr>
              <w:t>/TMEM173</w:t>
            </w:r>
          </w:p>
        </w:tc>
        <w:tc>
          <w:tcPr>
            <w:tcW w:w="1726"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r>
              <w:rPr>
                <w:rFonts w:ascii="Calibri" w:hAnsi="Calibri" w:cs="Calibri"/>
                <w:color w:val="000000"/>
                <w:sz w:val="20"/>
                <w:szCs w:val="20"/>
                <w:lang w:val="de-DE"/>
              </w:rPr>
              <w:t>Cell Signaling</w:t>
            </w:r>
          </w:p>
        </w:tc>
        <w:tc>
          <w:tcPr>
            <w:tcW w:w="1579"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r>
              <w:rPr>
                <w:rFonts w:ascii="Calibri" w:hAnsi="Calibri" w:cs="Calibri"/>
                <w:color w:val="000000"/>
                <w:sz w:val="20"/>
                <w:szCs w:val="20"/>
                <w:lang w:val="de-DE"/>
              </w:rPr>
              <w:t>13647S</w:t>
            </w:r>
          </w:p>
        </w:tc>
        <w:tc>
          <w:tcPr>
            <w:tcW w:w="1251"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r>
              <w:rPr>
                <w:rFonts w:ascii="Calibri" w:hAnsi="Calibri" w:cs="Calibri"/>
                <w:color w:val="000000"/>
                <w:sz w:val="20"/>
                <w:szCs w:val="20"/>
                <w:lang w:val="de-DE"/>
              </w:rPr>
              <w:t>1:50</w:t>
            </w:r>
          </w:p>
        </w:tc>
        <w:tc>
          <w:tcPr>
            <w:tcW w:w="1250"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proofErr w:type="spellStart"/>
            <w:r>
              <w:rPr>
                <w:rFonts w:ascii="Calibri" w:hAnsi="Calibri" w:cs="Calibri"/>
                <w:color w:val="000000"/>
                <w:sz w:val="20"/>
                <w:szCs w:val="20"/>
                <w:lang w:val="de-DE"/>
              </w:rPr>
              <w:t>rabbit</w:t>
            </w:r>
            <w:proofErr w:type="spellEnd"/>
          </w:p>
        </w:tc>
        <w:tc>
          <w:tcPr>
            <w:tcW w:w="1250"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proofErr w:type="spellStart"/>
            <w:r>
              <w:rPr>
                <w:rFonts w:ascii="Calibri" w:hAnsi="Calibri" w:cs="Calibri"/>
                <w:color w:val="000000"/>
                <w:sz w:val="20"/>
                <w:szCs w:val="20"/>
                <w:lang w:val="de-DE"/>
              </w:rPr>
              <w:t>mab</w:t>
            </w:r>
            <w:proofErr w:type="spellEnd"/>
          </w:p>
        </w:tc>
      </w:tr>
      <w:tr w:rsidR="0044398D" w:rsidTr="0044398D">
        <w:trPr>
          <w:trHeight w:val="290"/>
        </w:trPr>
        <w:tc>
          <w:tcPr>
            <w:tcW w:w="3158"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r>
              <w:rPr>
                <w:rFonts w:ascii="Calibri" w:hAnsi="Calibri" w:cs="Calibri"/>
                <w:color w:val="000000"/>
                <w:sz w:val="20"/>
                <w:szCs w:val="20"/>
                <w:lang w:val="de-DE"/>
              </w:rPr>
              <w:t>a-</w:t>
            </w:r>
            <w:proofErr w:type="spellStart"/>
            <w:r>
              <w:rPr>
                <w:rFonts w:ascii="Calibri" w:hAnsi="Calibri" w:cs="Calibri"/>
                <w:color w:val="000000"/>
                <w:sz w:val="20"/>
                <w:szCs w:val="20"/>
                <w:lang w:val="de-DE"/>
              </w:rPr>
              <w:t>synuclein</w:t>
            </w:r>
            <w:proofErr w:type="spellEnd"/>
          </w:p>
        </w:tc>
        <w:tc>
          <w:tcPr>
            <w:tcW w:w="1726"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r>
              <w:rPr>
                <w:rFonts w:ascii="Calibri" w:hAnsi="Calibri" w:cs="Calibri"/>
                <w:color w:val="000000"/>
                <w:sz w:val="20"/>
                <w:szCs w:val="20"/>
                <w:lang w:val="de-DE"/>
              </w:rPr>
              <w:t>BD</w:t>
            </w:r>
          </w:p>
        </w:tc>
        <w:tc>
          <w:tcPr>
            <w:tcW w:w="1579"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r>
              <w:rPr>
                <w:rFonts w:ascii="Calibri" w:hAnsi="Calibri" w:cs="Calibri"/>
                <w:color w:val="000000"/>
                <w:sz w:val="20"/>
                <w:szCs w:val="20"/>
                <w:lang w:val="de-DE"/>
              </w:rPr>
              <w:t>610787</w:t>
            </w:r>
          </w:p>
        </w:tc>
        <w:tc>
          <w:tcPr>
            <w:tcW w:w="1251"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r>
              <w:rPr>
                <w:rFonts w:ascii="Calibri" w:hAnsi="Calibri" w:cs="Calibri"/>
                <w:color w:val="000000"/>
                <w:sz w:val="20"/>
                <w:szCs w:val="20"/>
                <w:lang w:val="de-DE"/>
              </w:rPr>
              <w:t>1:100</w:t>
            </w:r>
          </w:p>
        </w:tc>
        <w:tc>
          <w:tcPr>
            <w:tcW w:w="1250"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proofErr w:type="spellStart"/>
            <w:r>
              <w:rPr>
                <w:rFonts w:ascii="Calibri" w:hAnsi="Calibri" w:cs="Calibri"/>
                <w:color w:val="000000"/>
                <w:sz w:val="20"/>
                <w:szCs w:val="20"/>
                <w:lang w:val="de-DE"/>
              </w:rPr>
              <w:t>mouse</w:t>
            </w:r>
            <w:proofErr w:type="spellEnd"/>
          </w:p>
        </w:tc>
        <w:tc>
          <w:tcPr>
            <w:tcW w:w="1250"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r>
              <w:rPr>
                <w:rFonts w:ascii="Calibri" w:hAnsi="Calibri" w:cs="Calibri"/>
                <w:color w:val="000000"/>
                <w:sz w:val="20"/>
                <w:szCs w:val="20"/>
                <w:lang w:val="de-DE"/>
              </w:rPr>
              <w:t>N/A</w:t>
            </w:r>
          </w:p>
        </w:tc>
      </w:tr>
      <w:tr w:rsidR="0044398D" w:rsidTr="0044398D">
        <w:trPr>
          <w:trHeight w:val="290"/>
        </w:trPr>
        <w:tc>
          <w:tcPr>
            <w:tcW w:w="3158"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r>
              <w:rPr>
                <w:rFonts w:ascii="Calibri" w:hAnsi="Calibri" w:cs="Calibri"/>
                <w:color w:val="000000"/>
                <w:sz w:val="20"/>
                <w:szCs w:val="20"/>
                <w:lang w:val="de-DE"/>
              </w:rPr>
              <w:t>LC3b</w:t>
            </w:r>
          </w:p>
        </w:tc>
        <w:tc>
          <w:tcPr>
            <w:tcW w:w="1726"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r>
              <w:rPr>
                <w:rFonts w:ascii="Calibri" w:hAnsi="Calibri" w:cs="Calibri"/>
                <w:color w:val="000000"/>
                <w:sz w:val="20"/>
                <w:szCs w:val="20"/>
                <w:lang w:val="de-DE"/>
              </w:rPr>
              <w:t>Cell Signaling</w:t>
            </w:r>
          </w:p>
        </w:tc>
        <w:tc>
          <w:tcPr>
            <w:tcW w:w="1579"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r>
              <w:rPr>
                <w:rFonts w:ascii="Calibri" w:hAnsi="Calibri" w:cs="Calibri"/>
                <w:color w:val="000000"/>
                <w:sz w:val="20"/>
                <w:szCs w:val="20"/>
                <w:lang w:val="de-DE"/>
              </w:rPr>
              <w:t>2775</w:t>
            </w:r>
          </w:p>
        </w:tc>
        <w:tc>
          <w:tcPr>
            <w:tcW w:w="1251"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r>
              <w:rPr>
                <w:rFonts w:ascii="Calibri" w:hAnsi="Calibri" w:cs="Calibri"/>
                <w:color w:val="000000"/>
                <w:sz w:val="20"/>
                <w:szCs w:val="20"/>
                <w:lang w:val="de-DE"/>
              </w:rPr>
              <w:t>1:300</w:t>
            </w:r>
          </w:p>
        </w:tc>
        <w:tc>
          <w:tcPr>
            <w:tcW w:w="1250"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proofErr w:type="spellStart"/>
            <w:r>
              <w:rPr>
                <w:rFonts w:ascii="Calibri" w:hAnsi="Calibri" w:cs="Calibri"/>
                <w:color w:val="000000"/>
                <w:sz w:val="20"/>
                <w:szCs w:val="20"/>
                <w:lang w:val="de-DE"/>
              </w:rPr>
              <w:t>rabbit</w:t>
            </w:r>
            <w:proofErr w:type="spellEnd"/>
          </w:p>
        </w:tc>
        <w:tc>
          <w:tcPr>
            <w:tcW w:w="1250"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proofErr w:type="spellStart"/>
            <w:r>
              <w:rPr>
                <w:rFonts w:ascii="Calibri" w:hAnsi="Calibri" w:cs="Calibri"/>
                <w:color w:val="000000"/>
                <w:sz w:val="20"/>
                <w:szCs w:val="20"/>
                <w:lang w:val="de-DE"/>
              </w:rPr>
              <w:t>pab</w:t>
            </w:r>
            <w:proofErr w:type="spellEnd"/>
          </w:p>
        </w:tc>
      </w:tr>
      <w:tr w:rsidR="0044398D" w:rsidTr="0044398D">
        <w:trPr>
          <w:trHeight w:val="290"/>
        </w:trPr>
        <w:tc>
          <w:tcPr>
            <w:tcW w:w="3158"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proofErr w:type="spellStart"/>
            <w:r>
              <w:rPr>
                <w:rFonts w:ascii="Calibri" w:hAnsi="Calibri" w:cs="Calibri"/>
                <w:color w:val="000000"/>
                <w:sz w:val="20"/>
                <w:szCs w:val="20"/>
                <w:lang w:val="de-DE"/>
              </w:rPr>
              <w:t>Ceramide</w:t>
            </w:r>
            <w:proofErr w:type="spellEnd"/>
          </w:p>
        </w:tc>
        <w:tc>
          <w:tcPr>
            <w:tcW w:w="1726"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r>
              <w:rPr>
                <w:rFonts w:ascii="Calibri" w:hAnsi="Calibri" w:cs="Calibri"/>
                <w:color w:val="000000"/>
                <w:sz w:val="20"/>
                <w:szCs w:val="20"/>
                <w:lang w:val="de-DE"/>
              </w:rPr>
              <w:t>Enzo</w:t>
            </w:r>
          </w:p>
        </w:tc>
        <w:tc>
          <w:tcPr>
            <w:tcW w:w="1579"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r>
              <w:rPr>
                <w:rFonts w:ascii="Calibri" w:hAnsi="Calibri" w:cs="Calibri"/>
                <w:color w:val="000000"/>
                <w:sz w:val="20"/>
                <w:szCs w:val="20"/>
                <w:lang w:val="de-DE"/>
              </w:rPr>
              <w:t>ALX-804-196</w:t>
            </w:r>
          </w:p>
        </w:tc>
        <w:tc>
          <w:tcPr>
            <w:tcW w:w="1251"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r>
              <w:rPr>
                <w:rFonts w:ascii="Calibri" w:hAnsi="Calibri" w:cs="Calibri"/>
                <w:color w:val="000000"/>
                <w:sz w:val="20"/>
                <w:szCs w:val="20"/>
                <w:lang w:val="de-DE"/>
              </w:rPr>
              <w:t>1:20</w:t>
            </w:r>
          </w:p>
        </w:tc>
        <w:tc>
          <w:tcPr>
            <w:tcW w:w="1250"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proofErr w:type="spellStart"/>
            <w:r>
              <w:rPr>
                <w:rFonts w:ascii="Calibri" w:hAnsi="Calibri" w:cs="Calibri"/>
                <w:color w:val="000000"/>
                <w:sz w:val="20"/>
                <w:szCs w:val="20"/>
                <w:lang w:val="de-DE"/>
              </w:rPr>
              <w:t>mouse</w:t>
            </w:r>
            <w:proofErr w:type="spellEnd"/>
          </w:p>
        </w:tc>
        <w:tc>
          <w:tcPr>
            <w:tcW w:w="1250"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proofErr w:type="spellStart"/>
            <w:r>
              <w:rPr>
                <w:rFonts w:ascii="Calibri" w:hAnsi="Calibri" w:cs="Calibri"/>
                <w:color w:val="000000"/>
                <w:sz w:val="20"/>
                <w:szCs w:val="20"/>
                <w:lang w:val="de-DE"/>
              </w:rPr>
              <w:t>mab</w:t>
            </w:r>
            <w:proofErr w:type="spellEnd"/>
          </w:p>
        </w:tc>
      </w:tr>
      <w:tr w:rsidR="0044398D" w:rsidTr="0044398D">
        <w:trPr>
          <w:trHeight w:val="290"/>
        </w:trPr>
        <w:tc>
          <w:tcPr>
            <w:tcW w:w="3158"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r>
              <w:rPr>
                <w:rFonts w:ascii="Calibri" w:hAnsi="Calibri" w:cs="Calibri"/>
                <w:color w:val="000000"/>
                <w:sz w:val="20"/>
                <w:szCs w:val="20"/>
                <w:lang w:val="de-DE"/>
              </w:rPr>
              <w:t>SQSTM1/p62</w:t>
            </w:r>
          </w:p>
        </w:tc>
        <w:tc>
          <w:tcPr>
            <w:tcW w:w="1726"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proofErr w:type="spellStart"/>
            <w:r>
              <w:rPr>
                <w:rFonts w:ascii="Calibri" w:hAnsi="Calibri" w:cs="Calibri"/>
                <w:color w:val="000000"/>
                <w:sz w:val="20"/>
                <w:szCs w:val="20"/>
                <w:lang w:val="de-DE"/>
              </w:rPr>
              <w:t>Abcam</w:t>
            </w:r>
            <w:proofErr w:type="spellEnd"/>
          </w:p>
        </w:tc>
        <w:tc>
          <w:tcPr>
            <w:tcW w:w="1579"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r>
              <w:rPr>
                <w:rFonts w:ascii="Calibri" w:hAnsi="Calibri" w:cs="Calibri"/>
                <w:color w:val="000000"/>
                <w:sz w:val="20"/>
                <w:szCs w:val="20"/>
                <w:lang w:val="de-DE"/>
              </w:rPr>
              <w:t>ab155686</w:t>
            </w:r>
          </w:p>
        </w:tc>
        <w:tc>
          <w:tcPr>
            <w:tcW w:w="1251"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r>
              <w:rPr>
                <w:rFonts w:ascii="Calibri" w:hAnsi="Calibri" w:cs="Calibri"/>
                <w:color w:val="000000"/>
                <w:sz w:val="20"/>
                <w:szCs w:val="20"/>
                <w:lang w:val="de-DE"/>
              </w:rPr>
              <w:t>1:200</w:t>
            </w:r>
          </w:p>
        </w:tc>
        <w:tc>
          <w:tcPr>
            <w:tcW w:w="1250"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proofErr w:type="spellStart"/>
            <w:r>
              <w:rPr>
                <w:rFonts w:ascii="Calibri" w:hAnsi="Calibri" w:cs="Calibri"/>
                <w:color w:val="000000"/>
                <w:sz w:val="20"/>
                <w:szCs w:val="20"/>
                <w:lang w:val="de-DE"/>
              </w:rPr>
              <w:t>rabbit</w:t>
            </w:r>
            <w:proofErr w:type="spellEnd"/>
          </w:p>
        </w:tc>
        <w:tc>
          <w:tcPr>
            <w:tcW w:w="1250"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proofErr w:type="spellStart"/>
            <w:r>
              <w:rPr>
                <w:rFonts w:ascii="Calibri" w:hAnsi="Calibri" w:cs="Calibri"/>
                <w:color w:val="000000"/>
                <w:sz w:val="20"/>
                <w:szCs w:val="20"/>
                <w:lang w:val="de-DE"/>
              </w:rPr>
              <w:t>pab</w:t>
            </w:r>
            <w:proofErr w:type="spellEnd"/>
          </w:p>
        </w:tc>
      </w:tr>
      <w:tr w:rsidR="0044398D" w:rsidTr="0044398D">
        <w:trPr>
          <w:trHeight w:val="290"/>
        </w:trPr>
        <w:tc>
          <w:tcPr>
            <w:tcW w:w="3158"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r>
              <w:rPr>
                <w:rFonts w:ascii="Calibri" w:hAnsi="Calibri" w:cs="Calibri"/>
                <w:color w:val="000000"/>
                <w:sz w:val="20"/>
                <w:szCs w:val="20"/>
                <w:lang w:val="de-DE"/>
              </w:rPr>
              <w:t>aCasp3</w:t>
            </w:r>
          </w:p>
        </w:tc>
        <w:tc>
          <w:tcPr>
            <w:tcW w:w="1726"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proofErr w:type="spellStart"/>
            <w:r>
              <w:rPr>
                <w:rFonts w:ascii="Calibri" w:hAnsi="Calibri" w:cs="Calibri"/>
                <w:color w:val="000000"/>
                <w:sz w:val="20"/>
                <w:szCs w:val="20"/>
                <w:lang w:val="de-DE"/>
              </w:rPr>
              <w:t>Millipore</w:t>
            </w:r>
            <w:proofErr w:type="spellEnd"/>
          </w:p>
        </w:tc>
        <w:tc>
          <w:tcPr>
            <w:tcW w:w="1579"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r>
              <w:rPr>
                <w:rFonts w:ascii="Calibri" w:hAnsi="Calibri" w:cs="Calibri"/>
                <w:color w:val="000000"/>
                <w:sz w:val="20"/>
                <w:szCs w:val="20"/>
                <w:lang w:val="de-DE"/>
              </w:rPr>
              <w:t>AB3623</w:t>
            </w:r>
          </w:p>
        </w:tc>
        <w:tc>
          <w:tcPr>
            <w:tcW w:w="1251"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r>
              <w:rPr>
                <w:rFonts w:ascii="Calibri" w:hAnsi="Calibri" w:cs="Calibri"/>
                <w:color w:val="000000"/>
                <w:sz w:val="20"/>
                <w:szCs w:val="20"/>
                <w:lang w:val="de-DE"/>
              </w:rPr>
              <w:t>1:100</w:t>
            </w:r>
          </w:p>
        </w:tc>
        <w:tc>
          <w:tcPr>
            <w:tcW w:w="1250"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proofErr w:type="spellStart"/>
            <w:r>
              <w:rPr>
                <w:rFonts w:ascii="Calibri" w:hAnsi="Calibri" w:cs="Calibri"/>
                <w:color w:val="000000"/>
                <w:sz w:val="20"/>
                <w:szCs w:val="20"/>
                <w:lang w:val="de-DE"/>
              </w:rPr>
              <w:t>rabbit</w:t>
            </w:r>
            <w:proofErr w:type="spellEnd"/>
          </w:p>
        </w:tc>
        <w:tc>
          <w:tcPr>
            <w:tcW w:w="1250"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proofErr w:type="spellStart"/>
            <w:r>
              <w:rPr>
                <w:rFonts w:ascii="Calibri" w:hAnsi="Calibri" w:cs="Calibri"/>
                <w:color w:val="000000"/>
                <w:sz w:val="20"/>
                <w:szCs w:val="20"/>
                <w:lang w:val="de-DE"/>
              </w:rPr>
              <w:t>pab</w:t>
            </w:r>
            <w:proofErr w:type="spellEnd"/>
          </w:p>
        </w:tc>
      </w:tr>
      <w:tr w:rsidR="0044398D" w:rsidTr="0044398D">
        <w:trPr>
          <w:trHeight w:val="290"/>
        </w:trPr>
        <w:tc>
          <w:tcPr>
            <w:tcW w:w="3158"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r>
              <w:rPr>
                <w:rFonts w:ascii="Calibri" w:hAnsi="Calibri" w:cs="Calibri"/>
                <w:color w:val="000000"/>
                <w:sz w:val="20"/>
                <w:szCs w:val="20"/>
                <w:lang w:val="de-DE"/>
              </w:rPr>
              <w:t>eIF2A</w:t>
            </w:r>
          </w:p>
        </w:tc>
        <w:tc>
          <w:tcPr>
            <w:tcW w:w="1726"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proofErr w:type="spellStart"/>
            <w:r>
              <w:rPr>
                <w:rFonts w:ascii="Calibri" w:hAnsi="Calibri" w:cs="Calibri"/>
                <w:color w:val="000000"/>
                <w:sz w:val="20"/>
                <w:szCs w:val="20"/>
                <w:lang w:val="de-DE"/>
              </w:rPr>
              <w:t>Abcam</w:t>
            </w:r>
            <w:proofErr w:type="spellEnd"/>
          </w:p>
        </w:tc>
        <w:tc>
          <w:tcPr>
            <w:tcW w:w="1579"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r>
              <w:rPr>
                <w:rFonts w:ascii="Calibri" w:hAnsi="Calibri" w:cs="Calibri"/>
                <w:color w:val="000000"/>
                <w:sz w:val="20"/>
                <w:szCs w:val="20"/>
                <w:lang w:val="de-DE"/>
              </w:rPr>
              <w:t>ab169528</w:t>
            </w:r>
          </w:p>
        </w:tc>
        <w:tc>
          <w:tcPr>
            <w:tcW w:w="1251"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r>
              <w:rPr>
                <w:rFonts w:ascii="Calibri" w:hAnsi="Calibri" w:cs="Calibri"/>
                <w:color w:val="000000"/>
                <w:sz w:val="20"/>
                <w:szCs w:val="20"/>
                <w:lang w:val="de-DE"/>
              </w:rPr>
              <w:t>1:200</w:t>
            </w:r>
          </w:p>
        </w:tc>
        <w:tc>
          <w:tcPr>
            <w:tcW w:w="1250"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proofErr w:type="spellStart"/>
            <w:r>
              <w:rPr>
                <w:rFonts w:ascii="Calibri" w:hAnsi="Calibri" w:cs="Calibri"/>
                <w:color w:val="000000"/>
                <w:sz w:val="20"/>
                <w:szCs w:val="20"/>
                <w:lang w:val="de-DE"/>
              </w:rPr>
              <w:t>rabbit</w:t>
            </w:r>
            <w:proofErr w:type="spellEnd"/>
          </w:p>
        </w:tc>
        <w:tc>
          <w:tcPr>
            <w:tcW w:w="1250"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proofErr w:type="spellStart"/>
            <w:r>
              <w:rPr>
                <w:rFonts w:ascii="Calibri" w:hAnsi="Calibri" w:cs="Calibri"/>
                <w:color w:val="000000"/>
                <w:sz w:val="20"/>
                <w:szCs w:val="20"/>
                <w:lang w:val="de-DE"/>
              </w:rPr>
              <w:t>mab</w:t>
            </w:r>
            <w:proofErr w:type="spellEnd"/>
          </w:p>
        </w:tc>
      </w:tr>
      <w:tr w:rsidR="0044398D" w:rsidTr="0044398D">
        <w:trPr>
          <w:trHeight w:val="290"/>
        </w:trPr>
        <w:tc>
          <w:tcPr>
            <w:tcW w:w="3158"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r>
              <w:rPr>
                <w:rFonts w:ascii="Calibri" w:hAnsi="Calibri" w:cs="Calibri"/>
                <w:color w:val="000000"/>
                <w:sz w:val="20"/>
                <w:szCs w:val="20"/>
                <w:lang w:val="de-DE"/>
              </w:rPr>
              <w:t>beta-3-Tubulin</w:t>
            </w:r>
          </w:p>
        </w:tc>
        <w:tc>
          <w:tcPr>
            <w:tcW w:w="1726"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proofErr w:type="spellStart"/>
            <w:r>
              <w:rPr>
                <w:rFonts w:ascii="Calibri" w:hAnsi="Calibri" w:cs="Calibri"/>
                <w:color w:val="000000"/>
                <w:sz w:val="20"/>
                <w:szCs w:val="20"/>
                <w:lang w:val="de-DE"/>
              </w:rPr>
              <w:t>Promega</w:t>
            </w:r>
            <w:proofErr w:type="spellEnd"/>
          </w:p>
        </w:tc>
        <w:tc>
          <w:tcPr>
            <w:tcW w:w="1579"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r>
              <w:rPr>
                <w:rFonts w:ascii="Calibri" w:hAnsi="Calibri" w:cs="Calibri"/>
                <w:color w:val="000000"/>
                <w:sz w:val="20"/>
                <w:szCs w:val="20"/>
                <w:lang w:val="de-DE"/>
              </w:rPr>
              <w:t>G7121</w:t>
            </w:r>
          </w:p>
        </w:tc>
        <w:tc>
          <w:tcPr>
            <w:tcW w:w="1251"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r>
              <w:rPr>
                <w:rFonts w:ascii="Calibri" w:hAnsi="Calibri" w:cs="Calibri"/>
                <w:color w:val="000000"/>
                <w:sz w:val="20"/>
                <w:szCs w:val="20"/>
                <w:lang w:val="de-DE"/>
              </w:rPr>
              <w:t>1:300</w:t>
            </w:r>
          </w:p>
        </w:tc>
        <w:tc>
          <w:tcPr>
            <w:tcW w:w="1250"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proofErr w:type="spellStart"/>
            <w:r>
              <w:rPr>
                <w:rFonts w:ascii="Calibri" w:hAnsi="Calibri" w:cs="Calibri"/>
                <w:color w:val="000000"/>
                <w:sz w:val="20"/>
                <w:szCs w:val="20"/>
                <w:lang w:val="de-DE"/>
              </w:rPr>
              <w:t>mouse</w:t>
            </w:r>
            <w:proofErr w:type="spellEnd"/>
          </w:p>
        </w:tc>
        <w:tc>
          <w:tcPr>
            <w:tcW w:w="1250"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proofErr w:type="spellStart"/>
            <w:r>
              <w:rPr>
                <w:rFonts w:ascii="Calibri" w:hAnsi="Calibri" w:cs="Calibri"/>
                <w:color w:val="000000"/>
                <w:sz w:val="20"/>
                <w:szCs w:val="20"/>
                <w:lang w:val="de-DE"/>
              </w:rPr>
              <w:t>mab</w:t>
            </w:r>
            <w:proofErr w:type="spellEnd"/>
          </w:p>
        </w:tc>
      </w:tr>
      <w:tr w:rsidR="0044398D" w:rsidTr="0044398D">
        <w:trPr>
          <w:trHeight w:val="290"/>
        </w:trPr>
        <w:tc>
          <w:tcPr>
            <w:tcW w:w="3158"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r>
              <w:rPr>
                <w:rFonts w:ascii="Calibri" w:hAnsi="Calibri" w:cs="Calibri"/>
                <w:color w:val="000000"/>
                <w:sz w:val="20"/>
                <w:szCs w:val="20"/>
                <w:lang w:val="de-DE"/>
              </w:rPr>
              <w:t>NF200</w:t>
            </w:r>
          </w:p>
        </w:tc>
        <w:tc>
          <w:tcPr>
            <w:tcW w:w="1726"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r>
              <w:rPr>
                <w:rFonts w:ascii="Calibri" w:hAnsi="Calibri" w:cs="Calibri"/>
                <w:color w:val="000000"/>
                <w:sz w:val="20"/>
                <w:szCs w:val="20"/>
                <w:lang w:val="de-DE"/>
              </w:rPr>
              <w:t>Sigma</w:t>
            </w:r>
          </w:p>
        </w:tc>
        <w:tc>
          <w:tcPr>
            <w:tcW w:w="1579"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r>
              <w:rPr>
                <w:rFonts w:ascii="Calibri" w:hAnsi="Calibri" w:cs="Calibri"/>
                <w:color w:val="000000"/>
                <w:sz w:val="20"/>
                <w:szCs w:val="20"/>
                <w:lang w:val="de-DE"/>
              </w:rPr>
              <w:t xml:space="preserve">N-4142 </w:t>
            </w:r>
          </w:p>
        </w:tc>
        <w:tc>
          <w:tcPr>
            <w:tcW w:w="1251"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r>
              <w:rPr>
                <w:rFonts w:ascii="Calibri" w:hAnsi="Calibri" w:cs="Calibri"/>
                <w:color w:val="000000"/>
                <w:sz w:val="20"/>
                <w:szCs w:val="20"/>
                <w:lang w:val="de-DE"/>
              </w:rPr>
              <w:t>1:200</w:t>
            </w:r>
          </w:p>
        </w:tc>
        <w:tc>
          <w:tcPr>
            <w:tcW w:w="1250"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proofErr w:type="spellStart"/>
            <w:r>
              <w:rPr>
                <w:rFonts w:ascii="Calibri" w:hAnsi="Calibri" w:cs="Calibri"/>
                <w:color w:val="000000"/>
                <w:sz w:val="20"/>
                <w:szCs w:val="20"/>
                <w:lang w:val="de-DE"/>
              </w:rPr>
              <w:t>rabbit</w:t>
            </w:r>
            <w:proofErr w:type="spellEnd"/>
          </w:p>
        </w:tc>
        <w:tc>
          <w:tcPr>
            <w:tcW w:w="1250"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proofErr w:type="spellStart"/>
            <w:r>
              <w:rPr>
                <w:rFonts w:ascii="Calibri" w:hAnsi="Calibri" w:cs="Calibri"/>
                <w:color w:val="000000"/>
                <w:sz w:val="20"/>
                <w:szCs w:val="20"/>
                <w:lang w:val="de-DE"/>
              </w:rPr>
              <w:t>pab</w:t>
            </w:r>
            <w:proofErr w:type="spellEnd"/>
          </w:p>
        </w:tc>
      </w:tr>
      <w:tr w:rsidR="0044398D" w:rsidTr="0044398D">
        <w:trPr>
          <w:trHeight w:val="290"/>
        </w:trPr>
        <w:tc>
          <w:tcPr>
            <w:tcW w:w="3158"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proofErr w:type="spellStart"/>
            <w:r>
              <w:rPr>
                <w:rFonts w:ascii="Calibri" w:hAnsi="Calibri" w:cs="Calibri"/>
                <w:color w:val="000000"/>
                <w:sz w:val="20"/>
                <w:szCs w:val="20"/>
                <w:lang w:val="de-DE"/>
              </w:rPr>
              <w:t>NeuN</w:t>
            </w:r>
            <w:proofErr w:type="spellEnd"/>
          </w:p>
        </w:tc>
        <w:tc>
          <w:tcPr>
            <w:tcW w:w="1726"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proofErr w:type="spellStart"/>
            <w:r>
              <w:rPr>
                <w:rFonts w:ascii="Calibri" w:hAnsi="Calibri" w:cs="Calibri"/>
                <w:color w:val="000000"/>
                <w:sz w:val="20"/>
                <w:szCs w:val="20"/>
                <w:lang w:val="de-DE"/>
              </w:rPr>
              <w:t>Millipore</w:t>
            </w:r>
            <w:proofErr w:type="spellEnd"/>
          </w:p>
        </w:tc>
        <w:tc>
          <w:tcPr>
            <w:tcW w:w="1579"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r>
              <w:rPr>
                <w:rFonts w:ascii="Calibri" w:hAnsi="Calibri" w:cs="Calibri"/>
                <w:color w:val="000000"/>
                <w:sz w:val="20"/>
                <w:szCs w:val="20"/>
                <w:lang w:val="de-DE"/>
              </w:rPr>
              <w:t>MAB377</w:t>
            </w:r>
          </w:p>
        </w:tc>
        <w:tc>
          <w:tcPr>
            <w:tcW w:w="1251"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r>
              <w:rPr>
                <w:rFonts w:ascii="Calibri" w:hAnsi="Calibri" w:cs="Calibri"/>
                <w:color w:val="000000"/>
                <w:sz w:val="20"/>
                <w:szCs w:val="20"/>
                <w:lang w:val="de-DE"/>
              </w:rPr>
              <w:t>1:200</w:t>
            </w:r>
          </w:p>
        </w:tc>
        <w:tc>
          <w:tcPr>
            <w:tcW w:w="1250"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proofErr w:type="spellStart"/>
            <w:r>
              <w:rPr>
                <w:rFonts w:ascii="Calibri" w:hAnsi="Calibri" w:cs="Calibri"/>
                <w:color w:val="000000"/>
                <w:sz w:val="20"/>
                <w:szCs w:val="20"/>
                <w:lang w:val="de-DE"/>
              </w:rPr>
              <w:t>mouse</w:t>
            </w:r>
            <w:proofErr w:type="spellEnd"/>
          </w:p>
        </w:tc>
        <w:tc>
          <w:tcPr>
            <w:tcW w:w="1250"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proofErr w:type="spellStart"/>
            <w:r>
              <w:rPr>
                <w:rFonts w:ascii="Calibri" w:hAnsi="Calibri" w:cs="Calibri"/>
                <w:color w:val="000000"/>
                <w:sz w:val="20"/>
                <w:szCs w:val="20"/>
                <w:lang w:val="de-DE"/>
              </w:rPr>
              <w:t>mab</w:t>
            </w:r>
            <w:proofErr w:type="spellEnd"/>
          </w:p>
        </w:tc>
      </w:tr>
      <w:tr w:rsidR="0044398D" w:rsidTr="0044398D">
        <w:trPr>
          <w:trHeight w:val="290"/>
        </w:trPr>
        <w:tc>
          <w:tcPr>
            <w:tcW w:w="3158"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r>
              <w:rPr>
                <w:rFonts w:ascii="Calibri" w:hAnsi="Calibri" w:cs="Calibri"/>
                <w:color w:val="000000"/>
                <w:sz w:val="20"/>
                <w:szCs w:val="20"/>
                <w:lang w:val="de-DE"/>
              </w:rPr>
              <w:t>PGP9.5</w:t>
            </w:r>
          </w:p>
        </w:tc>
        <w:tc>
          <w:tcPr>
            <w:tcW w:w="1726"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proofErr w:type="spellStart"/>
            <w:r>
              <w:rPr>
                <w:rFonts w:ascii="Calibri" w:hAnsi="Calibri" w:cs="Calibri"/>
                <w:color w:val="000000"/>
                <w:sz w:val="20"/>
                <w:szCs w:val="20"/>
                <w:lang w:val="de-DE"/>
              </w:rPr>
              <w:t>Abcam</w:t>
            </w:r>
            <w:proofErr w:type="spellEnd"/>
          </w:p>
        </w:tc>
        <w:tc>
          <w:tcPr>
            <w:tcW w:w="1579"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r>
              <w:rPr>
                <w:rFonts w:ascii="Calibri" w:hAnsi="Calibri" w:cs="Calibri"/>
                <w:color w:val="000000"/>
                <w:sz w:val="20"/>
                <w:szCs w:val="20"/>
                <w:lang w:val="de-DE"/>
              </w:rPr>
              <w:t>ab8189</w:t>
            </w:r>
          </w:p>
        </w:tc>
        <w:tc>
          <w:tcPr>
            <w:tcW w:w="1251"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r>
              <w:rPr>
                <w:rFonts w:ascii="Calibri" w:hAnsi="Calibri" w:cs="Calibri"/>
                <w:color w:val="000000"/>
                <w:sz w:val="20"/>
                <w:szCs w:val="20"/>
                <w:lang w:val="de-DE"/>
              </w:rPr>
              <w:t>1:100</w:t>
            </w:r>
          </w:p>
        </w:tc>
        <w:tc>
          <w:tcPr>
            <w:tcW w:w="1250"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proofErr w:type="spellStart"/>
            <w:r>
              <w:rPr>
                <w:rFonts w:ascii="Calibri" w:hAnsi="Calibri" w:cs="Calibri"/>
                <w:color w:val="000000"/>
                <w:sz w:val="20"/>
                <w:szCs w:val="20"/>
                <w:lang w:val="de-DE"/>
              </w:rPr>
              <w:t>mouse</w:t>
            </w:r>
            <w:proofErr w:type="spellEnd"/>
          </w:p>
        </w:tc>
        <w:tc>
          <w:tcPr>
            <w:tcW w:w="1250"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proofErr w:type="spellStart"/>
            <w:r>
              <w:rPr>
                <w:rFonts w:ascii="Calibri" w:hAnsi="Calibri" w:cs="Calibri"/>
                <w:color w:val="000000"/>
                <w:sz w:val="20"/>
                <w:szCs w:val="20"/>
                <w:lang w:val="de-DE"/>
              </w:rPr>
              <w:t>mab</w:t>
            </w:r>
            <w:proofErr w:type="spellEnd"/>
          </w:p>
        </w:tc>
      </w:tr>
      <w:tr w:rsidR="0044398D" w:rsidTr="0044398D">
        <w:trPr>
          <w:trHeight w:val="290"/>
        </w:trPr>
        <w:tc>
          <w:tcPr>
            <w:tcW w:w="3158"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proofErr w:type="spellStart"/>
            <w:r>
              <w:rPr>
                <w:rFonts w:ascii="Calibri" w:hAnsi="Calibri" w:cs="Calibri"/>
                <w:color w:val="000000"/>
                <w:sz w:val="20"/>
                <w:szCs w:val="20"/>
                <w:lang w:val="de-DE"/>
              </w:rPr>
              <w:t>Wheat</w:t>
            </w:r>
            <w:proofErr w:type="spellEnd"/>
            <w:r>
              <w:rPr>
                <w:rFonts w:ascii="Calibri" w:hAnsi="Calibri" w:cs="Calibri"/>
                <w:color w:val="000000"/>
                <w:sz w:val="20"/>
                <w:szCs w:val="20"/>
                <w:lang w:val="de-DE"/>
              </w:rPr>
              <w:t xml:space="preserve"> </w:t>
            </w:r>
            <w:proofErr w:type="spellStart"/>
            <w:r>
              <w:rPr>
                <w:rFonts w:ascii="Calibri" w:hAnsi="Calibri" w:cs="Calibri"/>
                <w:color w:val="000000"/>
                <w:sz w:val="20"/>
                <w:szCs w:val="20"/>
                <w:lang w:val="de-DE"/>
              </w:rPr>
              <w:t>Germ</w:t>
            </w:r>
            <w:proofErr w:type="spellEnd"/>
            <w:r>
              <w:rPr>
                <w:rFonts w:ascii="Calibri" w:hAnsi="Calibri" w:cs="Calibri"/>
                <w:color w:val="000000"/>
                <w:sz w:val="20"/>
                <w:szCs w:val="20"/>
                <w:lang w:val="de-DE"/>
              </w:rPr>
              <w:t xml:space="preserve"> Agglutinin-Alexa-488</w:t>
            </w:r>
          </w:p>
        </w:tc>
        <w:tc>
          <w:tcPr>
            <w:tcW w:w="1726"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proofErr w:type="spellStart"/>
            <w:r>
              <w:rPr>
                <w:rFonts w:ascii="Calibri" w:hAnsi="Calibri" w:cs="Calibri"/>
                <w:color w:val="000000"/>
                <w:sz w:val="20"/>
                <w:szCs w:val="20"/>
                <w:lang w:val="de-DE"/>
              </w:rPr>
              <w:t>Invitrogen</w:t>
            </w:r>
            <w:proofErr w:type="spellEnd"/>
          </w:p>
        </w:tc>
        <w:tc>
          <w:tcPr>
            <w:tcW w:w="1579"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r>
              <w:rPr>
                <w:rFonts w:ascii="Calibri" w:hAnsi="Calibri" w:cs="Calibri"/>
                <w:color w:val="000000"/>
                <w:sz w:val="20"/>
                <w:szCs w:val="20"/>
                <w:lang w:val="de-DE"/>
              </w:rPr>
              <w:t>W11261</w:t>
            </w:r>
          </w:p>
        </w:tc>
        <w:tc>
          <w:tcPr>
            <w:tcW w:w="1251"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r>
              <w:rPr>
                <w:rFonts w:ascii="Calibri" w:hAnsi="Calibri" w:cs="Calibri"/>
                <w:color w:val="000000"/>
                <w:sz w:val="20"/>
                <w:szCs w:val="20"/>
                <w:lang w:val="de-DE"/>
              </w:rPr>
              <w:t>1:250</w:t>
            </w:r>
          </w:p>
        </w:tc>
        <w:tc>
          <w:tcPr>
            <w:tcW w:w="1250" w:type="dxa"/>
            <w:tcBorders>
              <w:top w:val="nil"/>
              <w:left w:val="nil"/>
              <w:bottom w:val="nil"/>
              <w:right w:val="nil"/>
            </w:tcBorders>
          </w:tcPr>
          <w:p w:rsidR="0044398D" w:rsidRDefault="0044398D">
            <w:pPr>
              <w:autoSpaceDE w:val="0"/>
              <w:autoSpaceDN w:val="0"/>
              <w:adjustRightInd w:val="0"/>
              <w:spacing w:after="0"/>
              <w:jc w:val="right"/>
              <w:rPr>
                <w:rFonts w:ascii="Calibri" w:hAnsi="Calibri" w:cs="Calibri"/>
                <w:color w:val="000000"/>
                <w:sz w:val="20"/>
                <w:szCs w:val="20"/>
                <w:lang w:val="de-DE"/>
              </w:rPr>
            </w:pPr>
          </w:p>
        </w:tc>
        <w:tc>
          <w:tcPr>
            <w:tcW w:w="1250" w:type="dxa"/>
            <w:tcBorders>
              <w:top w:val="nil"/>
              <w:left w:val="nil"/>
              <w:bottom w:val="nil"/>
              <w:right w:val="nil"/>
            </w:tcBorders>
          </w:tcPr>
          <w:p w:rsidR="0044398D" w:rsidRDefault="0044398D">
            <w:pPr>
              <w:autoSpaceDE w:val="0"/>
              <w:autoSpaceDN w:val="0"/>
              <w:adjustRightInd w:val="0"/>
              <w:spacing w:after="0"/>
              <w:jc w:val="right"/>
              <w:rPr>
                <w:rFonts w:ascii="Calibri" w:hAnsi="Calibri" w:cs="Calibri"/>
                <w:color w:val="000000"/>
                <w:sz w:val="20"/>
                <w:szCs w:val="20"/>
                <w:lang w:val="de-DE"/>
              </w:rPr>
            </w:pPr>
          </w:p>
        </w:tc>
      </w:tr>
      <w:tr w:rsidR="0044398D" w:rsidTr="0044398D">
        <w:trPr>
          <w:trHeight w:val="290"/>
        </w:trPr>
        <w:tc>
          <w:tcPr>
            <w:tcW w:w="3158"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r>
              <w:rPr>
                <w:rFonts w:ascii="Calibri" w:hAnsi="Calibri" w:cs="Calibri"/>
                <w:color w:val="000000"/>
                <w:sz w:val="20"/>
                <w:szCs w:val="20"/>
                <w:lang w:val="de-DE"/>
              </w:rPr>
              <w:t>Phalloidin-Alexa-594</w:t>
            </w:r>
          </w:p>
        </w:tc>
        <w:tc>
          <w:tcPr>
            <w:tcW w:w="1726"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proofErr w:type="spellStart"/>
            <w:r>
              <w:rPr>
                <w:rFonts w:ascii="Calibri" w:hAnsi="Calibri" w:cs="Calibri"/>
                <w:color w:val="000000"/>
                <w:sz w:val="20"/>
                <w:szCs w:val="20"/>
                <w:lang w:val="de-DE"/>
              </w:rPr>
              <w:t>Invitrogen</w:t>
            </w:r>
            <w:proofErr w:type="spellEnd"/>
          </w:p>
        </w:tc>
        <w:tc>
          <w:tcPr>
            <w:tcW w:w="1579"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r>
              <w:rPr>
                <w:rFonts w:ascii="Calibri" w:hAnsi="Calibri" w:cs="Calibri"/>
                <w:color w:val="000000"/>
                <w:sz w:val="20"/>
                <w:szCs w:val="20"/>
                <w:lang w:val="de-DE"/>
              </w:rPr>
              <w:t>A12380</w:t>
            </w:r>
          </w:p>
        </w:tc>
        <w:tc>
          <w:tcPr>
            <w:tcW w:w="1251"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r>
              <w:rPr>
                <w:rFonts w:ascii="Calibri" w:hAnsi="Calibri" w:cs="Calibri"/>
                <w:color w:val="000000"/>
                <w:sz w:val="20"/>
                <w:szCs w:val="20"/>
                <w:lang w:val="de-DE"/>
              </w:rPr>
              <w:t>1:500</w:t>
            </w:r>
          </w:p>
        </w:tc>
        <w:tc>
          <w:tcPr>
            <w:tcW w:w="1250" w:type="dxa"/>
            <w:tcBorders>
              <w:top w:val="nil"/>
              <w:left w:val="nil"/>
              <w:bottom w:val="nil"/>
              <w:right w:val="nil"/>
            </w:tcBorders>
          </w:tcPr>
          <w:p w:rsidR="0044398D" w:rsidRDefault="0044398D">
            <w:pPr>
              <w:autoSpaceDE w:val="0"/>
              <w:autoSpaceDN w:val="0"/>
              <w:adjustRightInd w:val="0"/>
              <w:spacing w:after="0"/>
              <w:jc w:val="right"/>
              <w:rPr>
                <w:rFonts w:ascii="Calibri" w:hAnsi="Calibri" w:cs="Calibri"/>
                <w:color w:val="000000"/>
                <w:sz w:val="20"/>
                <w:szCs w:val="20"/>
                <w:lang w:val="de-DE"/>
              </w:rPr>
            </w:pPr>
          </w:p>
        </w:tc>
        <w:tc>
          <w:tcPr>
            <w:tcW w:w="1250" w:type="dxa"/>
            <w:tcBorders>
              <w:top w:val="nil"/>
              <w:left w:val="nil"/>
              <w:bottom w:val="nil"/>
              <w:right w:val="nil"/>
            </w:tcBorders>
          </w:tcPr>
          <w:p w:rsidR="0044398D" w:rsidRDefault="0044398D">
            <w:pPr>
              <w:autoSpaceDE w:val="0"/>
              <w:autoSpaceDN w:val="0"/>
              <w:adjustRightInd w:val="0"/>
              <w:spacing w:after="0"/>
              <w:jc w:val="right"/>
              <w:rPr>
                <w:rFonts w:ascii="Calibri" w:hAnsi="Calibri" w:cs="Calibri"/>
                <w:color w:val="000000"/>
                <w:sz w:val="20"/>
                <w:szCs w:val="20"/>
                <w:lang w:val="de-DE"/>
              </w:rPr>
            </w:pPr>
          </w:p>
        </w:tc>
      </w:tr>
      <w:tr w:rsidR="0044398D" w:rsidTr="0044398D">
        <w:trPr>
          <w:trHeight w:val="290"/>
        </w:trPr>
        <w:tc>
          <w:tcPr>
            <w:tcW w:w="3158"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proofErr w:type="spellStart"/>
            <w:r>
              <w:rPr>
                <w:rFonts w:ascii="Calibri" w:hAnsi="Calibri" w:cs="Calibri"/>
                <w:color w:val="000000"/>
                <w:sz w:val="20"/>
                <w:szCs w:val="20"/>
                <w:lang w:val="de-DE"/>
              </w:rPr>
              <w:t>ProteoStat</w:t>
            </w:r>
            <w:proofErr w:type="spellEnd"/>
            <w:r>
              <w:rPr>
                <w:rFonts w:ascii="Calibri" w:hAnsi="Calibri" w:cs="Calibri"/>
                <w:color w:val="000000"/>
                <w:sz w:val="20"/>
                <w:szCs w:val="20"/>
                <w:lang w:val="de-DE"/>
              </w:rPr>
              <w:t xml:space="preserve"> </w:t>
            </w:r>
            <w:proofErr w:type="spellStart"/>
            <w:r>
              <w:rPr>
                <w:rFonts w:ascii="Calibri" w:hAnsi="Calibri" w:cs="Calibri"/>
                <w:color w:val="000000"/>
                <w:sz w:val="20"/>
                <w:szCs w:val="20"/>
                <w:lang w:val="de-DE"/>
              </w:rPr>
              <w:t>Aggresome</w:t>
            </w:r>
            <w:proofErr w:type="spellEnd"/>
            <w:r>
              <w:rPr>
                <w:rFonts w:ascii="Calibri" w:hAnsi="Calibri" w:cs="Calibri"/>
                <w:color w:val="000000"/>
                <w:sz w:val="20"/>
                <w:szCs w:val="20"/>
                <w:lang w:val="de-DE"/>
              </w:rPr>
              <w:t xml:space="preserve"> </w:t>
            </w:r>
            <w:proofErr w:type="spellStart"/>
            <w:r>
              <w:rPr>
                <w:rFonts w:ascii="Calibri" w:hAnsi="Calibri" w:cs="Calibri"/>
                <w:color w:val="000000"/>
                <w:sz w:val="20"/>
                <w:szCs w:val="20"/>
                <w:lang w:val="de-DE"/>
              </w:rPr>
              <w:t>Detection</w:t>
            </w:r>
            <w:proofErr w:type="spellEnd"/>
            <w:r>
              <w:rPr>
                <w:rFonts w:ascii="Calibri" w:hAnsi="Calibri" w:cs="Calibri"/>
                <w:color w:val="000000"/>
                <w:sz w:val="20"/>
                <w:szCs w:val="20"/>
                <w:lang w:val="de-DE"/>
              </w:rPr>
              <w:t xml:space="preserve"> Kit</w:t>
            </w:r>
          </w:p>
        </w:tc>
        <w:tc>
          <w:tcPr>
            <w:tcW w:w="1726"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r>
              <w:rPr>
                <w:rFonts w:ascii="Calibri" w:hAnsi="Calibri" w:cs="Calibri"/>
                <w:color w:val="000000"/>
                <w:sz w:val="20"/>
                <w:szCs w:val="20"/>
                <w:lang w:val="de-DE"/>
              </w:rPr>
              <w:t>Enzo</w:t>
            </w:r>
          </w:p>
        </w:tc>
        <w:tc>
          <w:tcPr>
            <w:tcW w:w="1579" w:type="dxa"/>
            <w:tcBorders>
              <w:top w:val="nil"/>
              <w:left w:val="nil"/>
              <w:bottom w:val="nil"/>
              <w:right w:val="nil"/>
            </w:tcBorders>
          </w:tcPr>
          <w:p w:rsidR="0044398D" w:rsidRDefault="0044398D">
            <w:pPr>
              <w:autoSpaceDE w:val="0"/>
              <w:autoSpaceDN w:val="0"/>
              <w:adjustRightInd w:val="0"/>
              <w:spacing w:after="0"/>
              <w:jc w:val="left"/>
              <w:rPr>
                <w:rFonts w:ascii="Calibri" w:hAnsi="Calibri" w:cs="Calibri"/>
                <w:color w:val="000000"/>
                <w:sz w:val="20"/>
                <w:szCs w:val="20"/>
                <w:lang w:val="de-DE"/>
              </w:rPr>
            </w:pPr>
            <w:r>
              <w:rPr>
                <w:rFonts w:ascii="Calibri" w:hAnsi="Calibri" w:cs="Calibri"/>
                <w:color w:val="000000"/>
                <w:sz w:val="20"/>
                <w:szCs w:val="20"/>
                <w:lang w:val="de-DE"/>
              </w:rPr>
              <w:t>ENZ-51035-K100</w:t>
            </w:r>
          </w:p>
        </w:tc>
        <w:tc>
          <w:tcPr>
            <w:tcW w:w="1251" w:type="dxa"/>
            <w:tcBorders>
              <w:top w:val="nil"/>
              <w:left w:val="nil"/>
              <w:bottom w:val="nil"/>
              <w:right w:val="nil"/>
            </w:tcBorders>
          </w:tcPr>
          <w:p w:rsidR="0044398D" w:rsidRDefault="0044398D">
            <w:pPr>
              <w:autoSpaceDE w:val="0"/>
              <w:autoSpaceDN w:val="0"/>
              <w:adjustRightInd w:val="0"/>
              <w:spacing w:after="0"/>
              <w:jc w:val="right"/>
              <w:rPr>
                <w:rFonts w:ascii="Calibri" w:hAnsi="Calibri" w:cs="Calibri"/>
                <w:color w:val="000000"/>
                <w:sz w:val="20"/>
                <w:szCs w:val="20"/>
                <w:lang w:val="de-DE"/>
              </w:rPr>
            </w:pPr>
          </w:p>
        </w:tc>
        <w:tc>
          <w:tcPr>
            <w:tcW w:w="1250" w:type="dxa"/>
            <w:tcBorders>
              <w:top w:val="nil"/>
              <w:left w:val="nil"/>
              <w:bottom w:val="nil"/>
              <w:right w:val="nil"/>
            </w:tcBorders>
          </w:tcPr>
          <w:p w:rsidR="0044398D" w:rsidRDefault="0044398D">
            <w:pPr>
              <w:autoSpaceDE w:val="0"/>
              <w:autoSpaceDN w:val="0"/>
              <w:adjustRightInd w:val="0"/>
              <w:spacing w:after="0"/>
              <w:jc w:val="right"/>
              <w:rPr>
                <w:rFonts w:ascii="Calibri" w:hAnsi="Calibri" w:cs="Calibri"/>
                <w:color w:val="000000"/>
                <w:sz w:val="20"/>
                <w:szCs w:val="20"/>
                <w:lang w:val="de-DE"/>
              </w:rPr>
            </w:pPr>
          </w:p>
        </w:tc>
        <w:tc>
          <w:tcPr>
            <w:tcW w:w="1250" w:type="dxa"/>
            <w:tcBorders>
              <w:top w:val="nil"/>
              <w:left w:val="nil"/>
              <w:bottom w:val="nil"/>
              <w:right w:val="nil"/>
            </w:tcBorders>
          </w:tcPr>
          <w:p w:rsidR="0044398D" w:rsidRDefault="0044398D">
            <w:pPr>
              <w:autoSpaceDE w:val="0"/>
              <w:autoSpaceDN w:val="0"/>
              <w:adjustRightInd w:val="0"/>
              <w:spacing w:after="0"/>
              <w:jc w:val="right"/>
              <w:rPr>
                <w:rFonts w:ascii="Calibri" w:hAnsi="Calibri" w:cs="Calibri"/>
                <w:color w:val="000000"/>
                <w:sz w:val="20"/>
                <w:szCs w:val="20"/>
                <w:lang w:val="de-DE"/>
              </w:rPr>
            </w:pPr>
          </w:p>
        </w:tc>
      </w:tr>
    </w:tbl>
    <w:p w:rsidR="0044398D" w:rsidRPr="0044398D" w:rsidRDefault="0044398D" w:rsidP="0044398D">
      <w:pPr>
        <w:rPr>
          <w:lang w:eastAsia="de-DE"/>
        </w:rPr>
      </w:pPr>
    </w:p>
    <w:p w:rsidR="008A61D6" w:rsidRDefault="008A61D6" w:rsidP="008A61D6">
      <w:pPr>
        <w:pStyle w:val="berschrift1"/>
        <w:rPr>
          <w:rFonts w:eastAsia="Times New Roman"/>
          <w:lang w:eastAsia="de-DE"/>
        </w:rPr>
      </w:pPr>
      <w:r>
        <w:rPr>
          <w:rFonts w:eastAsia="Times New Roman"/>
          <w:lang w:eastAsia="de-DE"/>
        </w:rPr>
        <w:lastRenderedPageBreak/>
        <w:t>Su</w:t>
      </w:r>
      <w:r w:rsidR="0044398D">
        <w:rPr>
          <w:rFonts w:eastAsia="Times New Roman"/>
          <w:lang w:eastAsia="de-DE"/>
        </w:rPr>
        <w:t>pplementary Figures and Legends</w:t>
      </w:r>
    </w:p>
    <w:p w:rsidR="008A61D6" w:rsidRDefault="008A61D6" w:rsidP="008A61D6">
      <w:pPr>
        <w:pStyle w:val="berschrift3"/>
        <w:rPr>
          <w:rFonts w:ascii="Calibri" w:hAnsi="Calibri"/>
          <w:color w:val="auto"/>
          <w:lang w:eastAsia="de-DE"/>
        </w:rPr>
      </w:pPr>
      <w:r w:rsidRPr="008A61D6">
        <w:rPr>
          <w:rFonts w:ascii="Calibri" w:hAnsi="Calibri"/>
          <w:noProof/>
          <w:color w:val="auto"/>
          <w:lang w:val="de-DE" w:eastAsia="de-DE"/>
        </w:rPr>
        <mc:AlternateContent>
          <mc:Choice Requires="wps">
            <w:drawing>
              <wp:anchor distT="0" distB="0" distL="114300" distR="114300" simplePos="0" relativeHeight="251658240" behindDoc="0" locked="0" layoutInCell="1" allowOverlap="1">
                <wp:simplePos x="0" y="0"/>
                <wp:positionH relativeFrom="column">
                  <wp:posOffset>3596005</wp:posOffset>
                </wp:positionH>
                <wp:positionV relativeFrom="paragraph">
                  <wp:posOffset>932724</wp:posOffset>
                </wp:positionV>
                <wp:extent cx="2269309" cy="3650400"/>
                <wp:effectExtent l="0" t="0" r="0" b="3175"/>
                <wp:wrapNone/>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9309" cy="3650400"/>
                        </a:xfrm>
                        <a:prstGeom prst="rect">
                          <a:avLst/>
                        </a:prstGeom>
                        <a:solidFill>
                          <a:srgbClr val="FFFFFF"/>
                        </a:solidFill>
                        <a:ln w="9525">
                          <a:noFill/>
                          <a:miter lim="800000"/>
                          <a:headEnd/>
                          <a:tailEnd/>
                        </a:ln>
                      </wps:spPr>
                      <wps:txbx>
                        <w:txbxContent>
                          <w:p w:rsidR="008A61D6" w:rsidRPr="008A61D6" w:rsidRDefault="008A61D6" w:rsidP="008A61D6">
                            <w:pPr>
                              <w:pStyle w:val="berschrift2"/>
                              <w:rPr>
                                <w:sz w:val="22"/>
                                <w:lang w:eastAsia="de-DE"/>
                              </w:rPr>
                            </w:pPr>
                            <w:r w:rsidRPr="008A61D6">
                              <w:rPr>
                                <w:sz w:val="22"/>
                                <w:lang w:eastAsia="de-DE"/>
                              </w:rPr>
                              <w:t>Suppl. Figure 1</w:t>
                            </w:r>
                          </w:p>
                          <w:p w:rsidR="008A61D6" w:rsidRPr="008A61D6" w:rsidRDefault="008A61D6" w:rsidP="008A61D6">
                            <w:pPr>
                              <w:pStyle w:val="berschrift3"/>
                              <w:rPr>
                                <w:rFonts w:ascii="Calibri" w:hAnsi="Calibri"/>
                                <w:color w:val="auto"/>
                                <w:sz w:val="20"/>
                                <w:lang w:eastAsia="de-DE"/>
                              </w:rPr>
                            </w:pPr>
                            <w:r w:rsidRPr="008A61D6">
                              <w:rPr>
                                <w:rFonts w:ascii="Calibri" w:hAnsi="Calibri"/>
                                <w:color w:val="auto"/>
                                <w:sz w:val="20"/>
                                <w:lang w:eastAsia="de-DE"/>
                              </w:rPr>
                              <w:t>Leading edge genes of Gene Set Enrichment Analysis (GSEA)</w:t>
                            </w:r>
                          </w:p>
                          <w:p w:rsidR="008A61D6" w:rsidRPr="008A61D6" w:rsidRDefault="008A61D6" w:rsidP="008A61D6">
                            <w:pPr>
                              <w:jc w:val="left"/>
                              <w:rPr>
                                <w:sz w:val="20"/>
                                <w:lang w:eastAsia="de-DE"/>
                              </w:rPr>
                            </w:pPr>
                            <w:r w:rsidRPr="008A61D6">
                              <w:rPr>
                                <w:sz w:val="20"/>
                                <w:lang w:eastAsia="de-DE"/>
                              </w:rPr>
                              <w:t xml:space="preserve">The </w:t>
                            </w:r>
                            <w:proofErr w:type="spellStart"/>
                            <w:r w:rsidRPr="008A61D6">
                              <w:rPr>
                                <w:sz w:val="20"/>
                                <w:lang w:eastAsia="de-DE"/>
                              </w:rPr>
                              <w:t>heatmap</w:t>
                            </w:r>
                            <w:proofErr w:type="spellEnd"/>
                            <w:r w:rsidRPr="008A61D6">
                              <w:rPr>
                                <w:sz w:val="20"/>
                                <w:lang w:eastAsia="de-DE"/>
                              </w:rPr>
                              <w:t xml:space="preserve"> shows the top 50 upregulated and downregulated genes according to GSEA enrichment scores which are calculated on the basis of </w:t>
                            </w:r>
                            <w:proofErr w:type="spellStart"/>
                            <w:r w:rsidRPr="008A61D6">
                              <w:rPr>
                                <w:sz w:val="20"/>
                                <w:lang w:eastAsia="de-DE"/>
                              </w:rPr>
                              <w:t>ttest</w:t>
                            </w:r>
                            <w:proofErr w:type="spellEnd"/>
                            <w:r w:rsidRPr="008A61D6">
                              <w:rPr>
                                <w:sz w:val="20"/>
                                <w:lang w:eastAsia="de-DE"/>
                              </w:rPr>
                              <w:t xml:space="preserve"> P values and fold change. GSEA does not consider overall gene expression. Therefore, high expression genes like Fgf1 (position 117 of downregulated), which normally do not reach 2-fold changes, are missed in the leading edge genes. </w:t>
                            </w:r>
                          </w:p>
                          <w:p w:rsidR="008A61D6" w:rsidRPr="008A61D6" w:rsidRDefault="008A61D6" w:rsidP="008A61D6">
                            <w:pPr>
                              <w:rPr>
                                <w:sz w:val="20"/>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2" o:spid="_x0000_s1026" type="#_x0000_t202" style="position:absolute;left:0;text-align:left;margin-left:283.15pt;margin-top:73.45pt;width:178.7pt;height:287.4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" stroked="f">
                <v:textbox style="mso-fit-shape-to-text:t">
                  <w:txbxContent>
                    <w:p w:rsidR="008A61D6" w:rsidRPr="008A61D6" w:rsidRDefault="008A61D6" w:rsidP="008A61D6">
                      <w:pPr>
                        <w:pStyle w:val="berschrift2"/>
                        <w:rPr>
                          <w:sz w:val="22"/>
                          <w:lang w:eastAsia="de-DE"/>
                        </w:rPr>
                      </w:pPr>
                      <w:r w:rsidRPr="008A61D6">
                        <w:rPr>
                          <w:sz w:val="22"/>
                          <w:lang w:eastAsia="de-DE"/>
                        </w:rPr>
                        <w:t>Suppl. Figure 1</w:t>
                      </w:r>
                    </w:p>
                    <w:p w:rsidR="008A61D6" w:rsidRPr="008A61D6" w:rsidRDefault="008A61D6" w:rsidP="008A61D6">
                      <w:pPr>
                        <w:pStyle w:val="berschrift3"/>
                        <w:rPr>
                          <w:rFonts w:ascii="Calibri" w:hAnsi="Calibri"/>
                          <w:color w:val="auto"/>
                          <w:sz w:val="20"/>
                          <w:lang w:eastAsia="de-DE"/>
                        </w:rPr>
                      </w:pPr>
                      <w:r w:rsidRPr="008A61D6">
                        <w:rPr>
                          <w:rFonts w:ascii="Calibri" w:hAnsi="Calibri"/>
                          <w:color w:val="auto"/>
                          <w:sz w:val="20"/>
                          <w:lang w:eastAsia="de-DE"/>
                        </w:rPr>
                        <w:t>Leading edge genes of Gene Set Enrichment Analysis (GSEA)</w:t>
                      </w:r>
                    </w:p>
                    <w:p w:rsidR="008A61D6" w:rsidRPr="008A61D6" w:rsidRDefault="008A61D6" w:rsidP="008A61D6">
                      <w:pPr>
                        <w:jc w:val="left"/>
                        <w:rPr>
                          <w:sz w:val="20"/>
                          <w:lang w:eastAsia="de-DE"/>
                        </w:rPr>
                      </w:pPr>
                      <w:r w:rsidRPr="008A61D6">
                        <w:rPr>
                          <w:sz w:val="20"/>
                          <w:lang w:eastAsia="de-DE"/>
                        </w:rPr>
                        <w:t xml:space="preserve">The heatmap shows the top 50 upregulated and downregulated genes according to GSEA enrichment scores which are calculated on the basis of ttest P values and fold change. GSEA does not consider overall gene expression. Therefore, high expression genes like Fgf1 (position 117 of downregulated), which normally do not reach 2-fold changes, are missed in the leading edge genes. </w:t>
                      </w:r>
                    </w:p>
                    <w:p w:rsidR="008A61D6" w:rsidRPr="008A61D6" w:rsidRDefault="008A61D6" w:rsidP="008A61D6">
                      <w:pPr>
                        <w:rPr>
                          <w:sz w:val="20"/>
                        </w:rPr>
                      </w:pPr>
                    </w:p>
                  </w:txbxContent>
                </v:textbox>
              </v:shape>
            </w:pict>
          </mc:Fallback>
        </mc:AlternateContent>
      </w:r>
      <w:r w:rsidRPr="008A61D6">
        <w:rPr>
          <w:noProof/>
          <w:lang w:val="de-DE" w:eastAsia="de-DE"/>
        </w:rPr>
        <w:drawing>
          <wp:inline distT="0" distB="0" distL="0" distR="0" wp14:anchorId="06898A34" wp14:editId="65879CD8">
            <wp:extent cx="4110656" cy="7200000"/>
            <wp:effectExtent l="0" t="0" r="4445" b="127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110656" cy="7200000"/>
                    </a:xfrm>
                    <a:prstGeom prst="rect">
                      <a:avLst/>
                    </a:prstGeom>
                  </pic:spPr>
                </pic:pic>
              </a:graphicData>
            </a:graphic>
          </wp:inline>
        </w:drawing>
      </w:r>
      <w:r w:rsidRPr="008A61D6">
        <w:rPr>
          <w:rFonts w:ascii="Calibri" w:hAnsi="Calibri"/>
          <w:noProof/>
          <w:color w:val="auto"/>
          <w:lang w:eastAsia="de-DE"/>
        </w:rPr>
        <w:t xml:space="preserve"> </w:t>
      </w:r>
    </w:p>
    <w:p w:rsidR="008A61D6" w:rsidRDefault="008A61D6" w:rsidP="008A61D6">
      <w:pPr>
        <w:rPr>
          <w:lang w:eastAsia="de-DE"/>
        </w:rPr>
      </w:pPr>
      <w:r>
        <w:rPr>
          <w:lang w:eastAsia="de-DE"/>
        </w:rPr>
        <w:t xml:space="preserve"> </w:t>
      </w:r>
    </w:p>
    <w:p w:rsidR="008A61D6" w:rsidRDefault="008A61D6" w:rsidP="008A61D6">
      <w:pPr>
        <w:pStyle w:val="berschrift2"/>
        <w:jc w:val="center"/>
        <w:rPr>
          <w:lang w:eastAsia="de-DE"/>
        </w:rPr>
      </w:pPr>
      <w:r w:rsidRPr="008A61D6">
        <w:rPr>
          <w:noProof/>
          <w:lang w:val="de-DE" w:eastAsia="de-DE"/>
        </w:rPr>
        <w:lastRenderedPageBreak/>
        <w:drawing>
          <wp:inline distT="0" distB="0" distL="0" distR="0" wp14:anchorId="090EA415" wp14:editId="262F8C6C">
            <wp:extent cx="5005735" cy="5853506"/>
            <wp:effectExtent l="0" t="0" r="4445"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008463" cy="5856696"/>
                    </a:xfrm>
                    <a:prstGeom prst="rect">
                      <a:avLst/>
                    </a:prstGeom>
                  </pic:spPr>
                </pic:pic>
              </a:graphicData>
            </a:graphic>
          </wp:inline>
        </w:drawing>
      </w:r>
    </w:p>
    <w:p w:rsidR="008A61D6" w:rsidRDefault="008A61D6" w:rsidP="008A61D6">
      <w:pPr>
        <w:pStyle w:val="berschrift2"/>
        <w:rPr>
          <w:lang w:eastAsia="de-DE"/>
        </w:rPr>
      </w:pPr>
      <w:r>
        <w:rPr>
          <w:lang w:eastAsia="de-DE"/>
        </w:rPr>
        <w:t>Suppl. Figure 2</w:t>
      </w:r>
    </w:p>
    <w:p w:rsidR="008A61D6" w:rsidRDefault="008A61D6" w:rsidP="008A61D6">
      <w:pPr>
        <w:pStyle w:val="berschrift3"/>
        <w:rPr>
          <w:rFonts w:ascii="Calibri" w:hAnsi="Calibri"/>
          <w:color w:val="auto"/>
          <w:lang w:eastAsia="de-DE"/>
        </w:rPr>
      </w:pPr>
      <w:r>
        <w:rPr>
          <w:rFonts w:ascii="Calibri" w:hAnsi="Calibri"/>
          <w:color w:val="auto"/>
          <w:lang w:eastAsia="de-DE"/>
        </w:rPr>
        <w:t xml:space="preserve">RNAseq pathway and candidate gene analyses in DRGs of Pink1SNCA and </w:t>
      </w:r>
      <w:proofErr w:type="spellStart"/>
      <w:r>
        <w:rPr>
          <w:rFonts w:ascii="Calibri" w:hAnsi="Calibri"/>
          <w:color w:val="auto"/>
          <w:lang w:eastAsia="de-DE"/>
        </w:rPr>
        <w:t>wildtype</w:t>
      </w:r>
      <w:proofErr w:type="spellEnd"/>
      <w:r>
        <w:rPr>
          <w:rFonts w:ascii="Calibri" w:hAnsi="Calibri"/>
          <w:color w:val="auto"/>
          <w:lang w:eastAsia="de-DE"/>
        </w:rPr>
        <w:t xml:space="preserve"> </w:t>
      </w:r>
      <w:r w:rsidRPr="002C3CD8">
        <w:rPr>
          <w:rFonts w:ascii="Calibri" w:hAnsi="Calibri"/>
          <w:color w:val="auto"/>
          <w:lang w:eastAsia="de-DE"/>
        </w:rPr>
        <w:t>mice</w:t>
      </w:r>
    </w:p>
    <w:p w:rsidR="008A61D6" w:rsidRPr="005B1F16" w:rsidRDefault="008A61D6" w:rsidP="008A61D6">
      <w:pPr>
        <w:rPr>
          <w:sz w:val="20"/>
          <w:lang w:eastAsia="de-DE"/>
        </w:rPr>
      </w:pPr>
      <w:r w:rsidRPr="005B1F16">
        <w:rPr>
          <w:sz w:val="20"/>
          <w:lang w:eastAsia="de-DE"/>
        </w:rPr>
        <w:t xml:space="preserve">Mice were middle aged (10-12 months, 4 and 5) and old (18 months, each 4) at the time of tissue preparation. All mice per group were analyzed together, because age had no relevant impact on the clustering results of mice (presented in Fig. 3). For comparison, reads were normalized to the mean log2 counts of </w:t>
      </w:r>
      <w:proofErr w:type="spellStart"/>
      <w:r w:rsidRPr="005B1F16">
        <w:rPr>
          <w:sz w:val="20"/>
          <w:lang w:eastAsia="de-DE"/>
        </w:rPr>
        <w:t>wildtype</w:t>
      </w:r>
      <w:proofErr w:type="spellEnd"/>
      <w:r w:rsidRPr="005B1F16">
        <w:rPr>
          <w:sz w:val="20"/>
          <w:lang w:eastAsia="de-DE"/>
        </w:rPr>
        <w:t xml:space="preserve"> control mice, and they are expressed as the log2 difference. Data were compared per 2-way ANOVA and multiple comparisons corrected for the False Discovery Rate (FDR) according to </w:t>
      </w:r>
      <w:proofErr w:type="spellStart"/>
      <w:r w:rsidRPr="005B1F16">
        <w:rPr>
          <w:sz w:val="20"/>
          <w:lang w:eastAsia="de-DE"/>
        </w:rPr>
        <w:t>Benjamini</w:t>
      </w:r>
      <w:proofErr w:type="spellEnd"/>
      <w:r w:rsidRPr="005B1F16">
        <w:rPr>
          <w:sz w:val="20"/>
          <w:lang w:eastAsia="de-DE"/>
        </w:rPr>
        <w:t xml:space="preserve">, Krieger and </w:t>
      </w:r>
      <w:proofErr w:type="spellStart"/>
      <w:r w:rsidRPr="005B1F16">
        <w:rPr>
          <w:sz w:val="20"/>
          <w:lang w:eastAsia="de-DE"/>
        </w:rPr>
        <w:t>Yekutieli</w:t>
      </w:r>
      <w:proofErr w:type="spellEnd"/>
      <w:r w:rsidRPr="005B1F16">
        <w:rPr>
          <w:sz w:val="20"/>
          <w:lang w:eastAsia="de-DE"/>
        </w:rPr>
        <w:t xml:space="preserve">. Asterisks indicate multiplicity adjusted P values, *P&lt;0.05, **P&lt;0.001, ***P&lt;0.0001. </w:t>
      </w:r>
    </w:p>
    <w:p w:rsidR="008A61D6" w:rsidRPr="005B1F16" w:rsidRDefault="008A61D6" w:rsidP="008A61D6">
      <w:pPr>
        <w:rPr>
          <w:sz w:val="20"/>
          <w:lang w:eastAsia="de-DE"/>
        </w:rPr>
      </w:pPr>
      <w:r w:rsidRPr="005B1F16">
        <w:rPr>
          <w:sz w:val="20"/>
          <w:lang w:eastAsia="de-DE"/>
        </w:rPr>
        <w:t xml:space="preserve">Pathways were selected according to the mouse model i.e. Pink1 and SNCA associated genes and genes involved in biogenic amine signaling, on the observed alterations of sphingolipids, and on Gene Ontology enrichment analyses pointing to differences in potassium channels, chemokines and genes involved in cell differentiation.  </w:t>
      </w:r>
    </w:p>
    <w:p w:rsidR="008A61D6" w:rsidRDefault="005B1F16" w:rsidP="008A61D6">
      <w:pPr>
        <w:pStyle w:val="berschrift2"/>
        <w:jc w:val="center"/>
        <w:rPr>
          <w:lang w:eastAsia="de-DE"/>
        </w:rPr>
      </w:pPr>
      <w:r w:rsidRPr="005B1F16">
        <w:lastRenderedPageBreak/>
        <w:drawing>
          <wp:inline distT="0" distB="0" distL="0" distR="0" wp14:anchorId="1E79C40A" wp14:editId="5C464FCF">
            <wp:extent cx="4902763" cy="5436000"/>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902763" cy="5436000"/>
                    </a:xfrm>
                    <a:prstGeom prst="rect">
                      <a:avLst/>
                    </a:prstGeom>
                  </pic:spPr>
                </pic:pic>
              </a:graphicData>
            </a:graphic>
          </wp:inline>
        </w:drawing>
      </w:r>
    </w:p>
    <w:p w:rsidR="008A61D6" w:rsidRDefault="008A61D6" w:rsidP="008A61D6">
      <w:pPr>
        <w:pStyle w:val="berschrift2"/>
        <w:rPr>
          <w:lang w:eastAsia="de-DE"/>
        </w:rPr>
      </w:pPr>
      <w:r>
        <w:rPr>
          <w:lang w:eastAsia="de-DE"/>
        </w:rPr>
        <w:t>Suppl. Figure 3</w:t>
      </w:r>
    </w:p>
    <w:p w:rsidR="008A61D6" w:rsidRDefault="008A61D6" w:rsidP="008A61D6">
      <w:pPr>
        <w:pStyle w:val="berschrift3"/>
        <w:rPr>
          <w:rFonts w:ascii="Calibri" w:hAnsi="Calibri"/>
          <w:color w:val="auto"/>
          <w:lang w:eastAsia="de-DE"/>
        </w:rPr>
      </w:pPr>
      <w:r>
        <w:rPr>
          <w:rFonts w:ascii="Calibri" w:hAnsi="Calibri"/>
          <w:color w:val="auto"/>
          <w:lang w:eastAsia="de-DE"/>
        </w:rPr>
        <w:t>Immunofluorescence analysis of morphology and outgrowth of primary DRG neuron cultures</w:t>
      </w:r>
    </w:p>
    <w:p w:rsidR="008A61D6" w:rsidRPr="005B1F16" w:rsidRDefault="008A61D6" w:rsidP="008A61D6">
      <w:pPr>
        <w:rPr>
          <w:sz w:val="20"/>
          <w:lang w:eastAsia="de-DE"/>
        </w:rPr>
      </w:pPr>
      <w:r w:rsidRPr="005B1F16">
        <w:rPr>
          <w:b/>
          <w:sz w:val="20"/>
          <w:lang w:eastAsia="de-DE"/>
        </w:rPr>
        <w:t>A:</w:t>
      </w:r>
      <w:r w:rsidRPr="005B1F16">
        <w:rPr>
          <w:sz w:val="20"/>
          <w:lang w:eastAsia="de-DE"/>
        </w:rPr>
        <w:t xml:space="preserve"> DRG neuron outgrowth and morphology were assessed in primary DRG neuron-enriched cultures </w:t>
      </w:r>
      <w:r w:rsidR="00CA53BF" w:rsidRPr="005B1F16">
        <w:rPr>
          <w:sz w:val="20"/>
          <w:lang w:eastAsia="de-DE"/>
        </w:rPr>
        <w:t xml:space="preserve">at 48h after plating </w:t>
      </w:r>
      <w:r w:rsidRPr="005B1F16">
        <w:rPr>
          <w:sz w:val="20"/>
          <w:lang w:eastAsia="de-DE"/>
        </w:rPr>
        <w:t xml:space="preserve">in Pink1SNCA and </w:t>
      </w:r>
      <w:proofErr w:type="spellStart"/>
      <w:r w:rsidRPr="005B1F16">
        <w:rPr>
          <w:sz w:val="20"/>
          <w:lang w:eastAsia="de-DE"/>
        </w:rPr>
        <w:t>wildtype</w:t>
      </w:r>
      <w:proofErr w:type="spellEnd"/>
      <w:r w:rsidRPr="005B1F16">
        <w:rPr>
          <w:sz w:val="20"/>
          <w:lang w:eastAsia="de-DE"/>
        </w:rPr>
        <w:t xml:space="preserve"> control mice at </w:t>
      </w:r>
      <w:r w:rsidR="00CA53BF" w:rsidRPr="005B1F16">
        <w:rPr>
          <w:sz w:val="20"/>
          <w:lang w:eastAsia="de-DE"/>
        </w:rPr>
        <w:t xml:space="preserve">12 </w:t>
      </w:r>
      <w:r w:rsidRPr="005B1F16">
        <w:rPr>
          <w:sz w:val="20"/>
          <w:lang w:eastAsia="de-DE"/>
        </w:rPr>
        <w:t xml:space="preserve">months of age. </w:t>
      </w:r>
      <w:proofErr w:type="spellStart"/>
      <w:r w:rsidR="00CA53BF" w:rsidRPr="005B1F16">
        <w:rPr>
          <w:sz w:val="20"/>
          <w:lang w:eastAsia="de-DE"/>
        </w:rPr>
        <w:t>Tuji</w:t>
      </w:r>
      <w:proofErr w:type="spellEnd"/>
      <w:r w:rsidR="00CA53BF" w:rsidRPr="005B1F16">
        <w:rPr>
          <w:sz w:val="20"/>
          <w:lang w:eastAsia="de-DE"/>
        </w:rPr>
        <w:t xml:space="preserve"> (</w:t>
      </w:r>
      <w:r w:rsidR="00CA53BF" w:rsidRPr="005B1F16">
        <w:rPr>
          <w:rFonts w:ascii="Symbol" w:hAnsi="Symbol"/>
          <w:sz w:val="20"/>
          <w:lang w:eastAsia="de-DE"/>
        </w:rPr>
        <w:t></w:t>
      </w:r>
      <w:r w:rsidR="00CA53BF" w:rsidRPr="005B1F16">
        <w:rPr>
          <w:sz w:val="20"/>
          <w:lang w:eastAsia="de-DE"/>
        </w:rPr>
        <w:t>3-tubulin)</w:t>
      </w:r>
      <w:r w:rsidRPr="005B1F16">
        <w:rPr>
          <w:sz w:val="20"/>
          <w:lang w:eastAsia="de-DE"/>
        </w:rPr>
        <w:t xml:space="preserve"> was used for staining neuronal bodies and neurites, Phalloidin-Alexa594 for staining of the cytoskeleton of neurons and supporting glial cells. There were no differences of culture morphology between genotypes. </w:t>
      </w:r>
    </w:p>
    <w:p w:rsidR="008A61D6" w:rsidRPr="005B1F16" w:rsidRDefault="008A61D6" w:rsidP="008A61D6">
      <w:pPr>
        <w:rPr>
          <w:sz w:val="20"/>
          <w:lang w:eastAsia="de-DE"/>
        </w:rPr>
      </w:pPr>
      <w:r w:rsidRPr="005B1F16">
        <w:rPr>
          <w:b/>
          <w:sz w:val="20"/>
          <w:lang w:eastAsia="de-DE"/>
        </w:rPr>
        <w:t>B:</w:t>
      </w:r>
      <w:r w:rsidRPr="005B1F16">
        <w:rPr>
          <w:sz w:val="20"/>
          <w:lang w:eastAsia="de-DE"/>
        </w:rPr>
        <w:t xml:space="preserve"> To assess accumulation of </w:t>
      </w:r>
      <w:proofErr w:type="spellStart"/>
      <w:r w:rsidRPr="005B1F16">
        <w:rPr>
          <w:sz w:val="20"/>
          <w:lang w:eastAsia="de-DE"/>
        </w:rPr>
        <w:t>synuclein</w:t>
      </w:r>
      <w:proofErr w:type="spellEnd"/>
      <w:r w:rsidRPr="005B1F16">
        <w:rPr>
          <w:sz w:val="20"/>
          <w:lang w:eastAsia="de-DE"/>
        </w:rPr>
        <w:t xml:space="preserve"> and protein aggregates (SNCA and </w:t>
      </w:r>
      <w:proofErr w:type="spellStart"/>
      <w:r w:rsidRPr="005B1F16">
        <w:rPr>
          <w:sz w:val="20"/>
          <w:lang w:eastAsia="de-DE"/>
        </w:rPr>
        <w:t>proteostat</w:t>
      </w:r>
      <w:proofErr w:type="spellEnd"/>
      <w:r w:rsidRPr="005B1F16">
        <w:rPr>
          <w:sz w:val="20"/>
          <w:lang w:eastAsia="de-DE"/>
        </w:rPr>
        <w:t xml:space="preserve">), autophagy (LC3b and Sqstm1/p62), apoptosis (active caspase 3), ER (Eif2alpha) and plasma membrane morphology (wheat germ agglutinin, WGA) primary DRG cultures were prepared from 3, 5 or 12 months old Pink1SNCa and </w:t>
      </w:r>
      <w:proofErr w:type="spellStart"/>
      <w:r w:rsidRPr="005B1F16">
        <w:rPr>
          <w:sz w:val="20"/>
          <w:lang w:eastAsia="de-DE"/>
        </w:rPr>
        <w:t>wildtype</w:t>
      </w:r>
      <w:proofErr w:type="spellEnd"/>
      <w:r w:rsidRPr="005B1F16">
        <w:rPr>
          <w:sz w:val="20"/>
          <w:lang w:eastAsia="de-DE"/>
        </w:rPr>
        <w:t xml:space="preserve"> control mice, and marker proteins were detected with specific antibodies. NF200 and DAPI were used as neuronal and nuclear counterstain. Sqstm1/p62 </w:t>
      </w:r>
      <w:proofErr w:type="spellStart"/>
      <w:r w:rsidRPr="005B1F16">
        <w:rPr>
          <w:sz w:val="20"/>
          <w:lang w:eastAsia="de-DE"/>
        </w:rPr>
        <w:t>immunoreactive</w:t>
      </w:r>
      <w:proofErr w:type="spellEnd"/>
      <w:r w:rsidRPr="005B1F16">
        <w:rPr>
          <w:sz w:val="20"/>
          <w:lang w:eastAsia="de-DE"/>
        </w:rPr>
        <w:t xml:space="preserve"> dots appeared to be more abundant in neurons of Pink1SNCA mice. There were no overt differences of other markers. The quantitative analysis was based on the percentage area covered with the respective </w:t>
      </w:r>
      <w:proofErr w:type="spellStart"/>
      <w:r w:rsidRPr="005B1F16">
        <w:rPr>
          <w:sz w:val="20"/>
          <w:lang w:eastAsia="de-DE"/>
        </w:rPr>
        <w:t>immunoreactive</w:t>
      </w:r>
      <w:proofErr w:type="spellEnd"/>
      <w:r w:rsidRPr="005B1F16">
        <w:rPr>
          <w:sz w:val="20"/>
          <w:lang w:eastAsia="de-DE"/>
        </w:rPr>
        <w:t xml:space="preserve"> structures, which was assessed with FIJI </w:t>
      </w:r>
      <w:proofErr w:type="spellStart"/>
      <w:r w:rsidRPr="005B1F16">
        <w:rPr>
          <w:sz w:val="20"/>
          <w:lang w:eastAsia="de-DE"/>
        </w:rPr>
        <w:t>ImageJ</w:t>
      </w:r>
      <w:proofErr w:type="spellEnd"/>
      <w:r w:rsidRPr="005B1F16">
        <w:rPr>
          <w:sz w:val="20"/>
          <w:lang w:eastAsia="de-DE"/>
        </w:rPr>
        <w:t xml:space="preserve"> after subtraction of background and conversion to binary images. Thresholds were set with algorithms provided by FIJI. </w:t>
      </w:r>
    </w:p>
    <w:p w:rsidR="005B1F16" w:rsidRDefault="005B1F16" w:rsidP="008A61D6">
      <w:pPr>
        <w:rPr>
          <w:lang w:eastAsia="de-DE"/>
        </w:rPr>
      </w:pPr>
    </w:p>
    <w:p w:rsidR="005B1F16" w:rsidRDefault="005B1F16" w:rsidP="008A61D6">
      <w:pPr>
        <w:rPr>
          <w:lang w:eastAsia="de-DE"/>
        </w:rPr>
      </w:pPr>
    </w:p>
    <w:p w:rsidR="008A61D6" w:rsidRDefault="00BA36F6" w:rsidP="00BA36F6">
      <w:pPr>
        <w:jc w:val="center"/>
        <w:rPr>
          <w:lang w:eastAsia="de-DE"/>
        </w:rPr>
      </w:pPr>
      <w:r w:rsidRPr="00BA36F6">
        <w:rPr>
          <w:noProof/>
          <w:lang w:val="de-DE" w:eastAsia="de-DE"/>
        </w:rPr>
        <w:lastRenderedPageBreak/>
        <w:drawing>
          <wp:inline distT="0" distB="0" distL="0" distR="0" wp14:anchorId="00411325" wp14:editId="10F51D99">
            <wp:extent cx="4244638" cy="5760000"/>
            <wp:effectExtent l="0" t="0" r="381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244638" cy="5760000"/>
                    </a:xfrm>
                    <a:prstGeom prst="rect">
                      <a:avLst/>
                    </a:prstGeom>
                  </pic:spPr>
                </pic:pic>
              </a:graphicData>
            </a:graphic>
          </wp:inline>
        </w:drawing>
      </w:r>
    </w:p>
    <w:p w:rsidR="008A61D6" w:rsidRDefault="008A61D6" w:rsidP="008A61D6">
      <w:pPr>
        <w:pStyle w:val="berschrift2"/>
        <w:rPr>
          <w:lang w:eastAsia="de-DE"/>
        </w:rPr>
      </w:pPr>
      <w:r>
        <w:rPr>
          <w:lang w:eastAsia="de-DE"/>
        </w:rPr>
        <w:t>Suppl. Figure 4</w:t>
      </w:r>
    </w:p>
    <w:p w:rsidR="008A61D6" w:rsidRDefault="008A61D6" w:rsidP="008A61D6">
      <w:pPr>
        <w:pStyle w:val="berschrift3"/>
        <w:rPr>
          <w:rFonts w:ascii="Calibri" w:hAnsi="Calibri"/>
          <w:color w:val="auto"/>
          <w:lang w:eastAsia="de-DE"/>
        </w:rPr>
      </w:pPr>
      <w:proofErr w:type="spellStart"/>
      <w:r>
        <w:rPr>
          <w:rFonts w:ascii="Calibri" w:hAnsi="Calibri"/>
          <w:color w:val="auto"/>
          <w:lang w:eastAsia="de-DE"/>
        </w:rPr>
        <w:t>Immunofluoresence</w:t>
      </w:r>
      <w:proofErr w:type="spellEnd"/>
      <w:r>
        <w:rPr>
          <w:rFonts w:ascii="Calibri" w:hAnsi="Calibri"/>
          <w:color w:val="auto"/>
          <w:lang w:eastAsia="de-DE"/>
        </w:rPr>
        <w:t xml:space="preserve"> analysis autophagy, apoptosis and inflammatory cells </w:t>
      </w:r>
    </w:p>
    <w:p w:rsidR="008A61D6" w:rsidRPr="005B1F16" w:rsidRDefault="008A61D6" w:rsidP="008A61D6">
      <w:pPr>
        <w:rPr>
          <w:sz w:val="20"/>
          <w:lang w:eastAsia="de-DE"/>
        </w:rPr>
      </w:pPr>
      <w:r w:rsidRPr="005B1F16">
        <w:rPr>
          <w:b/>
          <w:sz w:val="20"/>
          <w:lang w:eastAsia="de-DE"/>
        </w:rPr>
        <w:t>A:</w:t>
      </w:r>
      <w:r w:rsidRPr="005B1F16">
        <w:rPr>
          <w:sz w:val="20"/>
          <w:lang w:eastAsia="de-DE"/>
        </w:rPr>
        <w:t xml:space="preserve"> Pink1SNCA and </w:t>
      </w:r>
      <w:proofErr w:type="spellStart"/>
      <w:r w:rsidRPr="005B1F16">
        <w:rPr>
          <w:sz w:val="20"/>
          <w:lang w:eastAsia="de-DE"/>
        </w:rPr>
        <w:t>wildtype</w:t>
      </w:r>
      <w:proofErr w:type="spellEnd"/>
      <w:r w:rsidRPr="005B1F16">
        <w:rPr>
          <w:sz w:val="20"/>
          <w:lang w:eastAsia="de-DE"/>
        </w:rPr>
        <w:t xml:space="preserve"> mice were 18 months old at the time of tissue preparation. Autophagy was assessed via staining of LC3b and p62, and apoptosis via staining with active caspase 3. The respective left panels show overviews, the right panels show higher magnifications. The occurrence and distribution of </w:t>
      </w:r>
      <w:proofErr w:type="spellStart"/>
      <w:r w:rsidRPr="005B1F16">
        <w:rPr>
          <w:sz w:val="20"/>
          <w:lang w:eastAsia="de-DE"/>
        </w:rPr>
        <w:t>immunoreactive</w:t>
      </w:r>
      <w:proofErr w:type="spellEnd"/>
      <w:r w:rsidRPr="005B1F16">
        <w:rPr>
          <w:sz w:val="20"/>
          <w:lang w:eastAsia="de-DE"/>
        </w:rPr>
        <w:t xml:space="preserve"> structures did not significantly differ between genotypes. The quantification was done with FIJI as in Suppl. Fig. 1. </w:t>
      </w:r>
    </w:p>
    <w:p w:rsidR="008A61D6" w:rsidRPr="005B1F16" w:rsidRDefault="008A61D6" w:rsidP="008A61D6">
      <w:pPr>
        <w:rPr>
          <w:sz w:val="20"/>
          <w:lang w:eastAsia="de-DE"/>
        </w:rPr>
      </w:pPr>
      <w:r w:rsidRPr="005B1F16">
        <w:rPr>
          <w:b/>
          <w:sz w:val="20"/>
          <w:lang w:eastAsia="de-DE"/>
        </w:rPr>
        <w:t>B:</w:t>
      </w:r>
      <w:r w:rsidRPr="005B1F16">
        <w:rPr>
          <w:sz w:val="20"/>
          <w:lang w:eastAsia="de-DE"/>
        </w:rPr>
        <w:t xml:space="preserve"> Immunofluorescence analysis of the myeloid cell markers, IBA1 and CD11b in the DRGs, sciatic nerve and spinal cord reveal satellite cells or macrophages in the periphery and microglia in the spinal cord. There were no overt differences in the cellularity and distribution of the </w:t>
      </w:r>
      <w:proofErr w:type="spellStart"/>
      <w:r w:rsidRPr="005B1F16">
        <w:rPr>
          <w:sz w:val="20"/>
          <w:lang w:eastAsia="de-DE"/>
        </w:rPr>
        <w:t>immunoreactivity</w:t>
      </w:r>
      <w:proofErr w:type="spellEnd"/>
      <w:r w:rsidRPr="005B1F16">
        <w:rPr>
          <w:sz w:val="20"/>
          <w:lang w:eastAsia="de-DE"/>
        </w:rPr>
        <w:t xml:space="preserve"> of these inflammatory marker molecules in these tissues. </w:t>
      </w:r>
    </w:p>
    <w:p w:rsidR="00BA36F6" w:rsidRDefault="00BA36F6" w:rsidP="00BA36F6">
      <w:pPr>
        <w:pStyle w:val="berschrift2"/>
        <w:jc w:val="left"/>
        <w:rPr>
          <w:lang w:eastAsia="de-DE"/>
        </w:rPr>
      </w:pPr>
      <w:r w:rsidRPr="00BA36F6">
        <w:rPr>
          <w:noProof/>
          <w:lang w:val="de-DE" w:eastAsia="de-DE"/>
        </w:rPr>
        <w:lastRenderedPageBreak/>
        <w:drawing>
          <wp:anchor distT="0" distB="0" distL="107950" distR="180340" simplePos="0" relativeHeight="251659264" behindDoc="1" locked="0" layoutInCell="1" allowOverlap="1">
            <wp:simplePos x="0" y="0"/>
            <wp:positionH relativeFrom="column">
              <wp:posOffset>-1905</wp:posOffset>
            </wp:positionH>
            <wp:positionV relativeFrom="paragraph">
              <wp:posOffset>0</wp:posOffset>
            </wp:positionV>
            <wp:extent cx="3949200" cy="5652000"/>
            <wp:effectExtent l="0" t="0" r="0" b="6350"/>
            <wp:wrapTight wrapText="bothSides">
              <wp:wrapPolygon edited="0">
                <wp:start x="0" y="0"/>
                <wp:lineTo x="0" y="21551"/>
                <wp:lineTo x="21465" y="21551"/>
                <wp:lineTo x="21465" y="0"/>
                <wp:lineTo x="0" y="0"/>
              </wp:wrapPolygon>
            </wp:wrapTight>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949200" cy="5652000"/>
                    </a:xfrm>
                    <a:prstGeom prst="rect">
                      <a:avLst/>
                    </a:prstGeom>
                  </pic:spPr>
                </pic:pic>
              </a:graphicData>
            </a:graphic>
            <wp14:sizeRelH relativeFrom="margin">
              <wp14:pctWidth>0</wp14:pctWidth>
            </wp14:sizeRelH>
            <wp14:sizeRelV relativeFrom="margin">
              <wp14:pctHeight>0</wp14:pctHeight>
            </wp14:sizeRelV>
          </wp:anchor>
        </w:drawing>
      </w:r>
    </w:p>
    <w:p w:rsidR="008A61D6" w:rsidRDefault="008A61D6" w:rsidP="00BA36F6">
      <w:pPr>
        <w:pStyle w:val="berschrift2"/>
        <w:jc w:val="left"/>
        <w:rPr>
          <w:lang w:eastAsia="de-DE"/>
        </w:rPr>
      </w:pPr>
      <w:r>
        <w:rPr>
          <w:lang w:eastAsia="de-DE"/>
        </w:rPr>
        <w:t>Suppl. Figure 5</w:t>
      </w:r>
    </w:p>
    <w:p w:rsidR="008A61D6" w:rsidRDefault="008A61D6" w:rsidP="008A61D6">
      <w:pPr>
        <w:pStyle w:val="berschrift3"/>
        <w:rPr>
          <w:rFonts w:ascii="Calibri" w:hAnsi="Calibri"/>
          <w:color w:val="auto"/>
          <w:lang w:eastAsia="de-DE"/>
        </w:rPr>
      </w:pPr>
      <w:r>
        <w:rPr>
          <w:rFonts w:ascii="Calibri" w:hAnsi="Calibri"/>
          <w:color w:val="auto"/>
          <w:lang w:eastAsia="de-DE"/>
        </w:rPr>
        <w:t xml:space="preserve">Sphingolipids and ceramides in DRGs, sciatic nerve and spinal cord </w:t>
      </w:r>
    </w:p>
    <w:p w:rsidR="008A61D6" w:rsidRPr="005B1F16" w:rsidRDefault="008A61D6" w:rsidP="008A61D6">
      <w:pPr>
        <w:jc w:val="left"/>
        <w:rPr>
          <w:sz w:val="20"/>
          <w:lang w:eastAsia="de-DE"/>
        </w:rPr>
      </w:pPr>
      <w:r w:rsidRPr="005B1F16">
        <w:rPr>
          <w:b/>
          <w:sz w:val="20"/>
          <w:lang w:eastAsia="de-DE"/>
        </w:rPr>
        <w:t>A:</w:t>
      </w:r>
      <w:r w:rsidRPr="005B1F16">
        <w:rPr>
          <w:sz w:val="20"/>
          <w:lang w:eastAsia="de-DE"/>
        </w:rPr>
        <w:t xml:space="preserve"> Scatter matrix of the sphingolipid species, which were strongly deregulated in Pink1SNCA mice. Mice (n = 8 per group) were 12 months old at the time of tissue preparation. Percentages were used because total lipid concentrations differ by several orders of magnitude. The respective lipid mean of all samples was set to 100%. The dots are individual mice, and each mouse is represented 3-times for DRG, </w:t>
      </w:r>
      <w:proofErr w:type="spellStart"/>
      <w:r w:rsidRPr="005B1F16">
        <w:rPr>
          <w:sz w:val="20"/>
          <w:lang w:eastAsia="de-DE"/>
        </w:rPr>
        <w:t>ScN</w:t>
      </w:r>
      <w:proofErr w:type="spellEnd"/>
      <w:r w:rsidRPr="005B1F16">
        <w:rPr>
          <w:sz w:val="20"/>
          <w:lang w:eastAsia="de-DE"/>
        </w:rPr>
        <w:t xml:space="preserve"> and SC. d18:0 SPH = </w:t>
      </w:r>
      <w:proofErr w:type="spellStart"/>
      <w:r w:rsidRPr="005B1F16">
        <w:rPr>
          <w:sz w:val="20"/>
          <w:lang w:eastAsia="de-DE"/>
        </w:rPr>
        <w:t>sphinganine</w:t>
      </w:r>
      <w:proofErr w:type="spellEnd"/>
      <w:r w:rsidRPr="005B1F16">
        <w:rPr>
          <w:sz w:val="20"/>
          <w:lang w:eastAsia="de-DE"/>
        </w:rPr>
        <w:t xml:space="preserve">, d18:1 = sphinganine-1-phosphate. </w:t>
      </w:r>
    </w:p>
    <w:p w:rsidR="00BA36F6" w:rsidRPr="005B1F16" w:rsidRDefault="008A61D6" w:rsidP="008A61D6">
      <w:pPr>
        <w:jc w:val="left"/>
        <w:rPr>
          <w:sz w:val="20"/>
          <w:lang w:eastAsia="de-DE"/>
        </w:rPr>
      </w:pPr>
      <w:r w:rsidRPr="005B1F16">
        <w:rPr>
          <w:b/>
          <w:sz w:val="20"/>
          <w:lang w:eastAsia="de-DE"/>
        </w:rPr>
        <w:t>B:</w:t>
      </w:r>
      <w:r w:rsidRPr="005B1F16">
        <w:rPr>
          <w:sz w:val="20"/>
          <w:lang w:eastAsia="de-DE"/>
        </w:rPr>
        <w:t xml:space="preserve"> </w:t>
      </w:r>
      <w:proofErr w:type="spellStart"/>
      <w:r w:rsidR="00BA36F6" w:rsidRPr="005B1F16">
        <w:rPr>
          <w:sz w:val="20"/>
          <w:lang w:eastAsia="de-DE"/>
        </w:rPr>
        <w:t>CanDisc</w:t>
      </w:r>
      <w:proofErr w:type="spellEnd"/>
      <w:r w:rsidR="00BA36F6" w:rsidRPr="005B1F16">
        <w:rPr>
          <w:sz w:val="20"/>
          <w:lang w:eastAsia="de-DE"/>
        </w:rPr>
        <w:t xml:space="preserve"> score plots of </w:t>
      </w:r>
      <w:r w:rsidRPr="005B1F16">
        <w:rPr>
          <w:sz w:val="20"/>
          <w:lang w:eastAsia="de-DE"/>
        </w:rPr>
        <w:t xml:space="preserve">the first two </w:t>
      </w:r>
      <w:r w:rsidR="00BA36F6" w:rsidRPr="005B1F16">
        <w:rPr>
          <w:sz w:val="20"/>
          <w:lang w:eastAsia="de-DE"/>
        </w:rPr>
        <w:t xml:space="preserve">components </w:t>
      </w:r>
      <w:r w:rsidRPr="005B1F16">
        <w:rPr>
          <w:sz w:val="20"/>
          <w:lang w:eastAsia="de-DE"/>
        </w:rPr>
        <w:t xml:space="preserve">showing the separation of the genotypes for each tissue based on 19 sphingolipid species used as input for a canonical discriminant analysis. </w:t>
      </w:r>
    </w:p>
    <w:p w:rsidR="008A61D6" w:rsidRPr="005B1F16" w:rsidRDefault="008A61D6" w:rsidP="008A61D6">
      <w:pPr>
        <w:jc w:val="left"/>
        <w:rPr>
          <w:sz w:val="20"/>
          <w:lang w:eastAsia="de-DE"/>
        </w:rPr>
      </w:pPr>
      <w:r w:rsidRPr="005B1F16">
        <w:rPr>
          <w:b/>
          <w:sz w:val="20"/>
          <w:lang w:eastAsia="de-DE"/>
        </w:rPr>
        <w:t>C:</w:t>
      </w:r>
      <w:r w:rsidRPr="005B1F16">
        <w:rPr>
          <w:sz w:val="20"/>
          <w:lang w:eastAsia="de-DE"/>
        </w:rPr>
        <w:t xml:space="preserve"> Polar plots of the mean lipid percentages in the spinal cord, where lipids were mostly unaffected. The respective polar plots of DRGs and </w:t>
      </w:r>
      <w:proofErr w:type="spellStart"/>
      <w:r w:rsidRPr="005B1F16">
        <w:rPr>
          <w:sz w:val="20"/>
          <w:lang w:eastAsia="de-DE"/>
        </w:rPr>
        <w:t>ScN</w:t>
      </w:r>
      <w:proofErr w:type="spellEnd"/>
      <w:r w:rsidRPr="005B1F16">
        <w:rPr>
          <w:sz w:val="20"/>
          <w:lang w:eastAsia="de-DE"/>
        </w:rPr>
        <w:t xml:space="preserve"> are presented in Figure 5. </w:t>
      </w:r>
    </w:p>
    <w:p w:rsidR="005B1F16" w:rsidRDefault="005B1F16" w:rsidP="008A61D6">
      <w:pPr>
        <w:jc w:val="left"/>
        <w:rPr>
          <w:b/>
          <w:lang w:eastAsia="de-DE"/>
        </w:rPr>
      </w:pPr>
    </w:p>
    <w:p w:rsidR="005B1F16" w:rsidRDefault="005B1F16" w:rsidP="008A61D6">
      <w:pPr>
        <w:jc w:val="left"/>
        <w:rPr>
          <w:b/>
          <w:sz w:val="20"/>
          <w:lang w:eastAsia="de-DE"/>
        </w:rPr>
      </w:pPr>
    </w:p>
    <w:p w:rsidR="008A61D6" w:rsidRPr="005B1F16" w:rsidRDefault="008A61D6" w:rsidP="008A61D6">
      <w:pPr>
        <w:jc w:val="left"/>
        <w:rPr>
          <w:sz w:val="20"/>
          <w:lang w:eastAsia="de-DE"/>
        </w:rPr>
      </w:pPr>
      <w:bookmarkStart w:id="0" w:name="_GoBack"/>
      <w:bookmarkEnd w:id="0"/>
      <w:r w:rsidRPr="005B1F16">
        <w:rPr>
          <w:b/>
          <w:sz w:val="20"/>
          <w:lang w:eastAsia="de-DE"/>
        </w:rPr>
        <w:t>D:</w:t>
      </w:r>
      <w:r w:rsidRPr="005B1F16">
        <w:rPr>
          <w:sz w:val="20"/>
          <w:lang w:eastAsia="de-DE"/>
        </w:rPr>
        <w:t xml:space="preserve"> Glucosylceramides are supposed to disrupt mitochondrial function. To assess the metabolic capacity of the mitochondria, citrate synthase activity was assessed via </w:t>
      </w:r>
      <w:proofErr w:type="spellStart"/>
      <w:r w:rsidRPr="005B1F16">
        <w:rPr>
          <w:sz w:val="20"/>
          <w:lang w:eastAsia="de-DE"/>
        </w:rPr>
        <w:t>Oxygraph</w:t>
      </w:r>
      <w:proofErr w:type="spellEnd"/>
      <w:r w:rsidRPr="005B1F16">
        <w:rPr>
          <w:sz w:val="20"/>
          <w:lang w:eastAsia="de-DE"/>
        </w:rPr>
        <w:t xml:space="preserve"> analysis in brain and sensory ganglia. Citrate synthase is the initial enzyme of the tricarboxylic acid (TCA) cycle. There were no differences between genotypes. </w:t>
      </w:r>
    </w:p>
    <w:p w:rsidR="00BA36F6" w:rsidRPr="005B1F16" w:rsidRDefault="00854E39" w:rsidP="00BA36F6">
      <w:pPr>
        <w:jc w:val="left"/>
        <w:rPr>
          <w:sz w:val="20"/>
          <w:lang w:eastAsia="de-DE"/>
        </w:rPr>
      </w:pPr>
      <w:r w:rsidRPr="005B1F16">
        <w:rPr>
          <w:sz w:val="20"/>
        </w:rPr>
        <w:t xml:space="preserve">Lipids: </w:t>
      </w:r>
      <w:proofErr w:type="spellStart"/>
      <w:r w:rsidRPr="005B1F16">
        <w:rPr>
          <w:sz w:val="20"/>
        </w:rPr>
        <w:t>Dehydro</w:t>
      </w:r>
      <w:proofErr w:type="spellEnd"/>
      <w:r w:rsidRPr="005B1F16">
        <w:rPr>
          <w:sz w:val="20"/>
        </w:rPr>
        <w:t>-Ceramides</w:t>
      </w:r>
      <w:r w:rsidR="00BA36F6" w:rsidRPr="005B1F16">
        <w:rPr>
          <w:sz w:val="20"/>
        </w:rPr>
        <w:t xml:space="preserve"> </w:t>
      </w:r>
      <w:proofErr w:type="spellStart"/>
      <w:r w:rsidR="00BA36F6" w:rsidRPr="005B1F16">
        <w:rPr>
          <w:sz w:val="20"/>
        </w:rPr>
        <w:t>Cer</w:t>
      </w:r>
      <w:proofErr w:type="spellEnd"/>
      <w:r w:rsidR="00BA36F6" w:rsidRPr="005B1F16">
        <w:rPr>
          <w:sz w:val="20"/>
        </w:rPr>
        <w:t xml:space="preserve"> d18:0/16:0, </w:t>
      </w:r>
      <w:proofErr w:type="spellStart"/>
      <w:r w:rsidR="00BA36F6" w:rsidRPr="005B1F16">
        <w:rPr>
          <w:sz w:val="20"/>
        </w:rPr>
        <w:t>Cer</w:t>
      </w:r>
      <w:proofErr w:type="spellEnd"/>
      <w:r w:rsidR="00BA36F6" w:rsidRPr="005B1F16">
        <w:rPr>
          <w:sz w:val="20"/>
        </w:rPr>
        <w:t xml:space="preserve"> d18:0/18:0, </w:t>
      </w:r>
      <w:proofErr w:type="spellStart"/>
      <w:r w:rsidR="00BA36F6" w:rsidRPr="005B1F16">
        <w:rPr>
          <w:sz w:val="20"/>
        </w:rPr>
        <w:t>Cer</w:t>
      </w:r>
      <w:proofErr w:type="spellEnd"/>
      <w:r w:rsidR="00BA36F6" w:rsidRPr="005B1F16">
        <w:rPr>
          <w:sz w:val="20"/>
        </w:rPr>
        <w:t xml:space="preserve"> d18:0/24:0, </w:t>
      </w:r>
      <w:proofErr w:type="spellStart"/>
      <w:r w:rsidR="00BA36F6" w:rsidRPr="005B1F16">
        <w:rPr>
          <w:sz w:val="20"/>
        </w:rPr>
        <w:t>Cer</w:t>
      </w:r>
      <w:proofErr w:type="spellEnd"/>
      <w:r w:rsidR="00BA36F6" w:rsidRPr="005B1F16">
        <w:rPr>
          <w:sz w:val="20"/>
        </w:rPr>
        <w:t xml:space="preserve"> d18:0/24:1; ceramides </w:t>
      </w:r>
      <w:proofErr w:type="spellStart"/>
      <w:r w:rsidR="00BA36F6" w:rsidRPr="005B1F16">
        <w:rPr>
          <w:sz w:val="20"/>
        </w:rPr>
        <w:t>Cer</w:t>
      </w:r>
      <w:proofErr w:type="spellEnd"/>
      <w:r w:rsidR="00BA36F6" w:rsidRPr="005B1F16">
        <w:rPr>
          <w:sz w:val="20"/>
        </w:rPr>
        <w:t xml:space="preserve"> 18:1/16:0, </w:t>
      </w:r>
      <w:proofErr w:type="spellStart"/>
      <w:r w:rsidR="00BA36F6" w:rsidRPr="005B1F16">
        <w:rPr>
          <w:sz w:val="20"/>
        </w:rPr>
        <w:t>Cer</w:t>
      </w:r>
      <w:proofErr w:type="spellEnd"/>
      <w:r w:rsidR="00BA36F6" w:rsidRPr="005B1F16">
        <w:rPr>
          <w:sz w:val="20"/>
        </w:rPr>
        <w:t xml:space="preserve"> 18:1/18:0, </w:t>
      </w:r>
      <w:proofErr w:type="spellStart"/>
      <w:r w:rsidR="00BA36F6" w:rsidRPr="005B1F16">
        <w:rPr>
          <w:sz w:val="20"/>
        </w:rPr>
        <w:t>Cer</w:t>
      </w:r>
      <w:proofErr w:type="spellEnd"/>
      <w:r w:rsidR="00BA36F6" w:rsidRPr="005B1F16">
        <w:rPr>
          <w:sz w:val="20"/>
        </w:rPr>
        <w:t xml:space="preserve"> 18:1/20:0, </w:t>
      </w:r>
      <w:proofErr w:type="spellStart"/>
      <w:r w:rsidR="00BA36F6" w:rsidRPr="005B1F16">
        <w:rPr>
          <w:sz w:val="20"/>
        </w:rPr>
        <w:t>Cer</w:t>
      </w:r>
      <w:proofErr w:type="spellEnd"/>
      <w:r w:rsidR="00BA36F6" w:rsidRPr="005B1F16">
        <w:rPr>
          <w:sz w:val="20"/>
        </w:rPr>
        <w:t xml:space="preserve"> 18:1/22:0, </w:t>
      </w:r>
      <w:proofErr w:type="spellStart"/>
      <w:r w:rsidR="00BA36F6" w:rsidRPr="005B1F16">
        <w:rPr>
          <w:sz w:val="20"/>
        </w:rPr>
        <w:t>Cer</w:t>
      </w:r>
      <w:proofErr w:type="spellEnd"/>
      <w:r w:rsidR="00BA36F6" w:rsidRPr="005B1F16">
        <w:rPr>
          <w:sz w:val="20"/>
        </w:rPr>
        <w:t xml:space="preserve"> 18:1/24:0, </w:t>
      </w:r>
      <w:proofErr w:type="spellStart"/>
      <w:r w:rsidR="00BA36F6" w:rsidRPr="005B1F16">
        <w:rPr>
          <w:sz w:val="20"/>
        </w:rPr>
        <w:t>Cer</w:t>
      </w:r>
      <w:proofErr w:type="spellEnd"/>
      <w:r w:rsidR="00BA36F6" w:rsidRPr="005B1F16">
        <w:rPr>
          <w:sz w:val="20"/>
        </w:rPr>
        <w:t xml:space="preserve"> 18:1/24:1; glucosylceramide (</w:t>
      </w:r>
      <w:proofErr w:type="spellStart"/>
      <w:r w:rsidR="00BA36F6" w:rsidRPr="005B1F16">
        <w:rPr>
          <w:sz w:val="20"/>
        </w:rPr>
        <w:t>GlcCer</w:t>
      </w:r>
      <w:proofErr w:type="spellEnd"/>
      <w:r w:rsidR="00BA36F6" w:rsidRPr="005B1F16">
        <w:rPr>
          <w:sz w:val="20"/>
        </w:rPr>
        <w:t xml:space="preserve"> 16:0) and </w:t>
      </w:r>
      <w:proofErr w:type="spellStart"/>
      <w:r w:rsidR="00BA36F6" w:rsidRPr="005B1F16">
        <w:rPr>
          <w:sz w:val="20"/>
        </w:rPr>
        <w:t>lactosylceramides</w:t>
      </w:r>
      <w:proofErr w:type="spellEnd"/>
      <w:r w:rsidR="00BA36F6" w:rsidRPr="005B1F16">
        <w:rPr>
          <w:sz w:val="20"/>
        </w:rPr>
        <w:t xml:space="preserve"> (</w:t>
      </w:r>
      <w:proofErr w:type="spellStart"/>
      <w:r w:rsidR="00BA36F6" w:rsidRPr="005B1F16">
        <w:rPr>
          <w:sz w:val="20"/>
        </w:rPr>
        <w:t>LacCer</w:t>
      </w:r>
      <w:proofErr w:type="spellEnd"/>
      <w:r w:rsidR="00BA36F6" w:rsidRPr="005B1F16">
        <w:rPr>
          <w:sz w:val="20"/>
        </w:rPr>
        <w:t xml:space="preserve"> 18:0, </w:t>
      </w:r>
      <w:proofErr w:type="spellStart"/>
      <w:r w:rsidR="00BA36F6" w:rsidRPr="005B1F16">
        <w:rPr>
          <w:sz w:val="20"/>
        </w:rPr>
        <w:t>LacCer</w:t>
      </w:r>
      <w:proofErr w:type="spellEnd"/>
      <w:r w:rsidR="00BA36F6" w:rsidRPr="005B1F16">
        <w:rPr>
          <w:sz w:val="20"/>
        </w:rPr>
        <w:t xml:space="preserve"> 24:0, </w:t>
      </w:r>
      <w:proofErr w:type="spellStart"/>
      <w:r w:rsidR="00BA36F6" w:rsidRPr="005B1F16">
        <w:rPr>
          <w:sz w:val="20"/>
        </w:rPr>
        <w:t>LacCer</w:t>
      </w:r>
      <w:proofErr w:type="spellEnd"/>
      <w:r w:rsidR="00BA36F6" w:rsidRPr="005B1F16">
        <w:rPr>
          <w:sz w:val="20"/>
        </w:rPr>
        <w:t xml:space="preserve"> 24:1), </w:t>
      </w:r>
      <w:proofErr w:type="spellStart"/>
      <w:r w:rsidR="00BA36F6" w:rsidRPr="005B1F16">
        <w:rPr>
          <w:sz w:val="20"/>
        </w:rPr>
        <w:t>sphinganines</w:t>
      </w:r>
      <w:proofErr w:type="spellEnd"/>
      <w:r w:rsidR="00BA36F6" w:rsidRPr="005B1F16">
        <w:rPr>
          <w:sz w:val="20"/>
        </w:rPr>
        <w:t xml:space="preserve"> (d18:0 SPH, d20:0 SPH), sphingosine (d18:1 SPH) and the respective </w:t>
      </w:r>
      <w:proofErr w:type="spellStart"/>
      <w:r w:rsidR="00BA36F6" w:rsidRPr="005B1F16">
        <w:rPr>
          <w:sz w:val="20"/>
        </w:rPr>
        <w:t>phospho</w:t>
      </w:r>
      <w:proofErr w:type="spellEnd"/>
      <w:r w:rsidR="00BA36F6" w:rsidRPr="005B1F16">
        <w:rPr>
          <w:sz w:val="20"/>
        </w:rPr>
        <w:t>-SPH's (d18:0 S1P, d18:1 S1P)</w:t>
      </w:r>
    </w:p>
    <w:p w:rsidR="00BA36F6" w:rsidRPr="006357BA" w:rsidRDefault="00BA36F6" w:rsidP="008A61D6">
      <w:pPr>
        <w:jc w:val="left"/>
        <w:rPr>
          <w:lang w:eastAsia="de-DE"/>
        </w:rPr>
      </w:pPr>
    </w:p>
    <w:p w:rsidR="00FF2026" w:rsidRDefault="00FF2026"/>
    <w:sectPr w:rsidR="00FF2026" w:rsidSect="00247153">
      <w:footerReference w:type="default" r:id="rId12"/>
      <w:pgSz w:w="12240" w:h="15840"/>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04D14" w:rsidRDefault="00704D14">
      <w:pPr>
        <w:spacing w:after="0"/>
      </w:pPr>
      <w:r>
        <w:separator/>
      </w:r>
    </w:p>
  </w:endnote>
  <w:endnote w:type="continuationSeparator" w:id="0">
    <w:p w:rsidR="00704D14" w:rsidRDefault="00704D1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2543375"/>
      <w:docPartObj>
        <w:docPartGallery w:val="Page Numbers (Bottom of Page)"/>
        <w:docPartUnique/>
      </w:docPartObj>
    </w:sdtPr>
    <w:sdtEndPr/>
    <w:sdtContent>
      <w:p w:rsidR="00917655" w:rsidRDefault="007F44CC">
        <w:pPr>
          <w:pStyle w:val="Fuzeile"/>
          <w:jc w:val="center"/>
        </w:pPr>
        <w:r>
          <w:fldChar w:fldCharType="begin"/>
        </w:r>
        <w:r>
          <w:instrText>PAGE   \* MERGEFORMAT</w:instrText>
        </w:r>
        <w:r>
          <w:fldChar w:fldCharType="separate"/>
        </w:r>
        <w:r w:rsidR="005B1F16" w:rsidRPr="005B1F16">
          <w:rPr>
            <w:noProof/>
            <w:lang w:val="de-DE"/>
          </w:rPr>
          <w:t>1</w:t>
        </w:r>
        <w:r>
          <w:fldChar w:fldCharType="end"/>
        </w:r>
      </w:p>
    </w:sdtContent>
  </w:sdt>
  <w:p w:rsidR="00917655" w:rsidRDefault="00704D14">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04D14" w:rsidRDefault="00704D14">
      <w:pPr>
        <w:spacing w:after="0"/>
      </w:pPr>
      <w:r>
        <w:separator/>
      </w:r>
    </w:p>
  </w:footnote>
  <w:footnote w:type="continuationSeparator" w:id="0">
    <w:p w:rsidR="00704D14" w:rsidRDefault="00704D14">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61D6"/>
    <w:rsid w:val="0044398D"/>
    <w:rsid w:val="005B1F16"/>
    <w:rsid w:val="00704D14"/>
    <w:rsid w:val="007F44CC"/>
    <w:rsid w:val="00854E39"/>
    <w:rsid w:val="008A61D6"/>
    <w:rsid w:val="00BA36F6"/>
    <w:rsid w:val="00CA53BF"/>
    <w:rsid w:val="00FA3C78"/>
    <w:rsid w:val="00FF202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2A11AD"/>
  <w15:chartTrackingRefBased/>
  <w15:docId w15:val="{5BC72DD8-3FA9-439E-9864-BFC26819C5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8A61D6"/>
    <w:pPr>
      <w:spacing w:after="40" w:line="240" w:lineRule="auto"/>
      <w:jc w:val="both"/>
    </w:pPr>
  </w:style>
  <w:style w:type="paragraph" w:styleId="berschrift1">
    <w:name w:val="heading 1"/>
    <w:basedOn w:val="Standard"/>
    <w:next w:val="Standard"/>
    <w:link w:val="berschrift1Zchn"/>
    <w:uiPriority w:val="9"/>
    <w:qFormat/>
    <w:rsid w:val="008A61D6"/>
    <w:pPr>
      <w:keepNext/>
      <w:keepLines/>
      <w:spacing w:before="360" w:after="80"/>
      <w:outlineLvl w:val="0"/>
    </w:pPr>
    <w:rPr>
      <w:rFonts w:ascii="Candara" w:eastAsiaTheme="majorEastAsia" w:hAnsi="Candara" w:cstheme="majorBidi"/>
      <w:b/>
      <w:bCs/>
      <w:color w:val="2E74B5" w:themeColor="accent1" w:themeShade="BF"/>
      <w:sz w:val="26"/>
      <w:szCs w:val="28"/>
    </w:rPr>
  </w:style>
  <w:style w:type="paragraph" w:styleId="berschrift2">
    <w:name w:val="heading 2"/>
    <w:basedOn w:val="Standard"/>
    <w:next w:val="Standard"/>
    <w:link w:val="berschrift2Zchn"/>
    <w:uiPriority w:val="9"/>
    <w:unhideWhenUsed/>
    <w:qFormat/>
    <w:rsid w:val="008A61D6"/>
    <w:pPr>
      <w:keepNext/>
      <w:keepLines/>
      <w:spacing w:before="240" w:after="60"/>
      <w:outlineLvl w:val="1"/>
    </w:pPr>
    <w:rPr>
      <w:rFonts w:ascii="Calibri" w:eastAsiaTheme="majorEastAsia" w:hAnsi="Calibri" w:cstheme="majorBidi"/>
      <w:b/>
      <w:bCs/>
      <w:i/>
      <w:color w:val="5B9BD5" w:themeColor="accent1"/>
      <w:sz w:val="24"/>
      <w:szCs w:val="26"/>
    </w:rPr>
  </w:style>
  <w:style w:type="paragraph" w:styleId="berschrift3">
    <w:name w:val="heading 3"/>
    <w:basedOn w:val="Standard"/>
    <w:next w:val="Standard"/>
    <w:link w:val="berschrift3Zchn"/>
    <w:uiPriority w:val="9"/>
    <w:unhideWhenUsed/>
    <w:qFormat/>
    <w:rsid w:val="008A61D6"/>
    <w:pPr>
      <w:keepNext/>
      <w:keepLines/>
      <w:spacing w:before="120" w:after="0"/>
      <w:outlineLvl w:val="2"/>
    </w:pPr>
    <w:rPr>
      <w:rFonts w:asciiTheme="majorHAnsi" w:eastAsiaTheme="majorEastAsia" w:hAnsiTheme="majorHAnsi" w:cstheme="majorBidi"/>
      <w:b/>
      <w:bCs/>
      <w:color w:val="5B9BD5"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8A61D6"/>
    <w:rPr>
      <w:rFonts w:ascii="Candara" w:eastAsiaTheme="majorEastAsia" w:hAnsi="Candara" w:cstheme="majorBidi"/>
      <w:b/>
      <w:bCs/>
      <w:color w:val="2E74B5" w:themeColor="accent1" w:themeShade="BF"/>
      <w:sz w:val="26"/>
      <w:szCs w:val="28"/>
    </w:rPr>
  </w:style>
  <w:style w:type="character" w:customStyle="1" w:styleId="berschrift2Zchn">
    <w:name w:val="Überschrift 2 Zchn"/>
    <w:basedOn w:val="Absatz-Standardschriftart"/>
    <w:link w:val="berschrift2"/>
    <w:uiPriority w:val="9"/>
    <w:rsid w:val="008A61D6"/>
    <w:rPr>
      <w:rFonts w:ascii="Calibri" w:eastAsiaTheme="majorEastAsia" w:hAnsi="Calibri" w:cstheme="majorBidi"/>
      <w:b/>
      <w:bCs/>
      <w:i/>
      <w:color w:val="5B9BD5" w:themeColor="accent1"/>
      <w:sz w:val="24"/>
      <w:szCs w:val="26"/>
    </w:rPr>
  </w:style>
  <w:style w:type="character" w:customStyle="1" w:styleId="berschrift3Zchn">
    <w:name w:val="Überschrift 3 Zchn"/>
    <w:basedOn w:val="Absatz-Standardschriftart"/>
    <w:link w:val="berschrift3"/>
    <w:uiPriority w:val="9"/>
    <w:rsid w:val="008A61D6"/>
    <w:rPr>
      <w:rFonts w:asciiTheme="majorHAnsi" w:eastAsiaTheme="majorEastAsia" w:hAnsiTheme="majorHAnsi" w:cstheme="majorBidi"/>
      <w:b/>
      <w:bCs/>
      <w:color w:val="5B9BD5" w:themeColor="accent1"/>
    </w:rPr>
  </w:style>
  <w:style w:type="paragraph" w:styleId="Fuzeile">
    <w:name w:val="footer"/>
    <w:basedOn w:val="Standard"/>
    <w:link w:val="FuzeileZchn"/>
    <w:uiPriority w:val="99"/>
    <w:unhideWhenUsed/>
    <w:rsid w:val="008A61D6"/>
    <w:pPr>
      <w:tabs>
        <w:tab w:val="center" w:pos="4536"/>
        <w:tab w:val="right" w:pos="9072"/>
      </w:tabs>
      <w:spacing w:after="0"/>
    </w:pPr>
  </w:style>
  <w:style w:type="character" w:customStyle="1" w:styleId="FuzeileZchn">
    <w:name w:val="Fußzeile Zchn"/>
    <w:basedOn w:val="Absatz-Standardschriftart"/>
    <w:link w:val="Fuzeile"/>
    <w:uiPriority w:val="99"/>
    <w:rsid w:val="008A61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B87F12-AB46-4CC6-9C94-80A195787A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843</Words>
  <Characters>5313</Characters>
  <Application>Microsoft Office Word</Application>
  <DocSecurity>0</DocSecurity>
  <Lines>44</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Irmgard Tegeder</dc:creator>
  <cp:keywords/>
  <dc:description/>
  <cp:lastModifiedBy>Irmgard Tegeder</cp:lastModifiedBy>
  <cp:revision>5</cp:revision>
  <dcterms:created xsi:type="dcterms:W3CDTF">2020-02-16T14:02:00Z</dcterms:created>
  <dcterms:modified xsi:type="dcterms:W3CDTF">2020-03-15T13:28:00Z</dcterms:modified>
</cp:coreProperties>
</file>