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bookmarkStart w:id="17" w:name="_GoBack"/>
      <w:bookmarkEnd w:id="17"/>
      <w:bookmarkStart w:id="0" w:name="_Toc87561345"/>
      <w:r>
        <w:rPr>
          <w:b/>
          <w:sz w:val="28"/>
          <w:szCs w:val="28"/>
        </w:rPr>
        <w:t>Supplementary File S2. Supplementary Methods, Results and Discussion</w:t>
      </w:r>
      <w:bookmarkEnd w:id="0"/>
    </w:p>
    <w:p>
      <w:pPr>
        <w:rPr>
          <w:b/>
          <w:sz w:val="28"/>
          <w:szCs w:val="28"/>
        </w:rPr>
      </w:pPr>
    </w:p>
    <w:p>
      <w:pPr>
        <w:pStyle w:val="7"/>
        <w:spacing w:before="9"/>
        <w:rPr>
          <w:b/>
          <w:sz w:val="40"/>
        </w:rPr>
      </w:pPr>
    </w:p>
    <w:p>
      <w:pPr>
        <w:rPr>
          <w:lang w:eastAsia="zh-CN"/>
        </w:rPr>
      </w:pPr>
      <w:bookmarkStart w:id="1" w:name="_Toc87561346"/>
      <w:r>
        <w:rPr>
          <w:b/>
        </w:rPr>
        <w:t>Skew Inversions</w:t>
      </w:r>
      <w:r>
        <w:rPr>
          <w:b/>
          <w:lang w:eastAsia="zh-CN"/>
        </w:rPr>
        <w:t xml:space="preserve"> </w:t>
      </w:r>
      <w:r>
        <w:rPr>
          <w:b/>
          <w:spacing w:val="-11"/>
          <w:lang w:eastAsia="zh-CN"/>
        </w:rPr>
        <w:t>in</w:t>
      </w:r>
      <w:r>
        <w:rPr>
          <w:b/>
          <w:lang w:eastAsia="zh-CN"/>
        </w:rPr>
        <w:t xml:space="preserve"> Mitochondrial Genomes</w:t>
      </w:r>
      <w:r>
        <w:rPr>
          <w:b/>
          <w:spacing w:val="-11"/>
          <w:lang w:eastAsia="zh-CN"/>
        </w:rPr>
        <w:t xml:space="preserve"> Interfere with Evolutionary Analyses in </w:t>
      </w:r>
      <w:r>
        <w:rPr>
          <w:b/>
          <w:lang w:eastAsia="zh-CN"/>
        </w:rPr>
        <w:t>Annelida</w:t>
      </w:r>
    </w:p>
    <w:p>
      <w:pPr>
        <w:rPr>
          <w:lang w:eastAsia="zh-CN"/>
        </w:rPr>
      </w:pPr>
    </w:p>
    <w:p>
      <w:pPr>
        <w:rPr>
          <w:rFonts w:asciiTheme="minorHAnsi" w:hAnsiTheme="minorHAnsi" w:cstheme="minorHAnsi"/>
          <w:szCs w:val="20"/>
        </w:rPr>
      </w:pPr>
      <w:r>
        <w:rPr>
          <w:bCs/>
          <w:lang w:eastAsia="zh-CN"/>
        </w:rPr>
        <w:t xml:space="preserve">Hong-Peng Lei, </w:t>
      </w:r>
      <w:r>
        <w:t xml:space="preserve">Ivan </w:t>
      </w:r>
      <w:r>
        <w:rPr>
          <w:rFonts w:asciiTheme="minorHAnsi" w:hAnsiTheme="minorHAnsi" w:cstheme="minorHAnsi"/>
        </w:rPr>
        <w:t>Jakovlić, H</w:t>
      </w:r>
      <w:r>
        <w:rPr>
          <w:rFonts w:asciiTheme="minorHAnsi" w:hAnsiTheme="minorHAnsi" w:cstheme="minorHAnsi"/>
          <w:lang w:eastAsia="zh-CN"/>
        </w:rPr>
        <w:t>ong</w:t>
      </w:r>
      <w:r>
        <w:rPr>
          <w:rFonts w:asciiTheme="minorHAnsi" w:hAnsiTheme="minorHAnsi" w:cstheme="minorHAnsi"/>
        </w:rPr>
        <w:t xml:space="preserve"> Zou, Dong</w:t>
      </w:r>
      <w:r>
        <w:rPr>
          <w:rFonts w:asciiTheme="minorHAnsi" w:hAnsiTheme="minorHAnsi" w:cstheme="minorHAnsi"/>
          <w:spacing w:val="-22"/>
        </w:rPr>
        <w:t xml:space="preserve"> </w:t>
      </w:r>
      <w:r>
        <w:rPr>
          <w:rFonts w:asciiTheme="minorHAnsi" w:hAnsiTheme="minorHAnsi" w:cstheme="minorHAnsi"/>
          <w:spacing w:val="-3"/>
        </w:rPr>
        <w:t>Zhang</w:t>
      </w:r>
      <w:r>
        <w:rPr>
          <w:rFonts w:asciiTheme="minorHAnsi" w:hAnsiTheme="minorHAnsi" w:cstheme="minorHAnsi"/>
          <w:szCs w:val="20"/>
        </w:rPr>
        <w:t>*</w:t>
      </w:r>
    </w:p>
    <w:p>
      <w:pPr>
        <w:rPr>
          <w:rFonts w:asciiTheme="minorHAnsi" w:hAnsiTheme="minorHAnsi" w:cstheme="minorHAnsi"/>
          <w:szCs w:val="20"/>
          <w:lang w:eastAsia="zh-CN"/>
        </w:rPr>
      </w:pPr>
    </w:p>
    <w:p>
      <w:pPr>
        <w:rPr>
          <w:szCs w:val="20"/>
        </w:rPr>
      </w:pPr>
    </w:p>
    <w:p>
      <w:pPr>
        <w:rPr>
          <w:szCs w:val="20"/>
        </w:rPr>
      </w:pPr>
      <w:r>
        <w:rPr>
          <w:bCs/>
          <w:szCs w:val="20"/>
        </w:rPr>
        <w:t xml:space="preserve">*Author for Correspondence: Dong Zhang, State Key Laboratory of Grassland Agro-Ecosystem, Institute of Innovation Ecology, Lanzhou University, 730000, Lanzhou, China; Phone: +86-18717167887; Email: </w:t>
      </w:r>
      <w:r>
        <w:fldChar w:fldCharType="begin"/>
      </w:r>
      <w:r>
        <w:instrText xml:space="preserve"> HYPERLINK "mailto:dongzhang0725@gmail.com" \h </w:instrText>
      </w:r>
      <w:r>
        <w:fldChar w:fldCharType="separate"/>
      </w:r>
      <w:r>
        <w:rPr>
          <w:bCs/>
          <w:szCs w:val="20"/>
        </w:rPr>
        <w:t>dongzhang0725@gmail.com</w:t>
      </w:r>
      <w:r>
        <w:rPr>
          <w:bCs/>
          <w:szCs w:val="20"/>
        </w:rPr>
        <w:fldChar w:fldCharType="end"/>
      </w:r>
      <w:bookmarkEnd w:id="1"/>
    </w:p>
    <w:p/>
    <w:p/>
    <w:sdt>
      <w:sdtPr>
        <w:rPr>
          <w:lang w:val="zh-CN"/>
        </w:rPr>
        <w:id w:val="-179424942"/>
        <w:docPartObj>
          <w:docPartGallery w:val="Table of Contents"/>
          <w:docPartUnique/>
        </w:docPartObj>
      </w:sdtPr>
      <w:sdtEndPr>
        <w:rPr>
          <w:b/>
          <w:bCs/>
          <w:lang w:val="zh-CN"/>
        </w:rPr>
      </w:sdtEndPr>
      <w:sdtContent>
        <w:p>
          <w:pPr>
            <w:pStyle w:val="12"/>
            <w:tabs>
              <w:tab w:val="right" w:leader="dot" w:pos="9900"/>
            </w:tabs>
            <w:rPr>
              <w:b/>
              <w:lang w:val="en-GB"/>
            </w:rPr>
          </w:pPr>
          <w:r>
            <w:rPr>
              <w:rFonts w:hint="eastAsia"/>
              <w:b/>
              <w:lang w:val="zh-CN"/>
            </w:rPr>
            <w:t>Contents</w:t>
          </w:r>
        </w:p>
        <w:p>
          <w:pPr>
            <w:pStyle w:val="12"/>
            <w:tabs>
              <w:tab w:val="right" w:leader="dot" w:pos="9900"/>
            </w:tabs>
            <w:rPr>
              <w:rFonts w:asciiTheme="minorHAnsi" w:hAnsiTheme="minorHAnsi" w:eastAsiaTheme="minorEastAsia" w:cstheme="minorBidi"/>
              <w:lang w:val="en-GB" w:eastAsia="zh-CN"/>
            </w:rPr>
          </w:pPr>
          <w:r>
            <w:fldChar w:fldCharType="begin"/>
          </w:r>
          <w:r>
            <w:instrText xml:space="preserve"> TOC \o "1-3" \h \z \u </w:instrText>
          </w:r>
          <w:r>
            <w:fldChar w:fldCharType="separate"/>
          </w:r>
          <w:r>
            <w:fldChar w:fldCharType="begin"/>
          </w:r>
          <w:r>
            <w:instrText xml:space="preserve"> HYPERLINK \l "_Toc102127044" </w:instrText>
          </w:r>
          <w:r>
            <w:fldChar w:fldCharType="separate"/>
          </w:r>
          <w:r>
            <w:rPr>
              <w:rStyle w:val="22"/>
            </w:rPr>
            <w:t>Supplementary Results</w:t>
          </w:r>
          <w:r>
            <w:tab/>
          </w:r>
          <w:r>
            <w:fldChar w:fldCharType="begin"/>
          </w:r>
          <w:r>
            <w:instrText xml:space="preserve"> PAGEREF _Toc102127044 \h </w:instrText>
          </w:r>
          <w:r>
            <w:fldChar w:fldCharType="separate"/>
          </w:r>
          <w:r>
            <w:t>2</w:t>
          </w:r>
          <w:r>
            <w:fldChar w:fldCharType="end"/>
          </w:r>
          <w:r>
            <w:fldChar w:fldCharType="end"/>
          </w:r>
        </w:p>
        <w:p>
          <w:pPr>
            <w:pStyle w:val="13"/>
            <w:tabs>
              <w:tab w:val="right" w:leader="dot" w:pos="9900"/>
            </w:tabs>
            <w:rPr>
              <w:rFonts w:asciiTheme="minorHAnsi" w:hAnsiTheme="minorHAnsi" w:eastAsiaTheme="minorEastAsia" w:cstheme="minorBidi"/>
              <w:lang w:val="en-GB" w:eastAsia="zh-CN"/>
            </w:rPr>
          </w:pPr>
          <w:r>
            <w:fldChar w:fldCharType="begin"/>
          </w:r>
          <w:r>
            <w:instrText xml:space="preserve"> HYPERLINK \l "_Toc102127045" </w:instrText>
          </w:r>
          <w:r>
            <w:fldChar w:fldCharType="separate"/>
          </w:r>
          <w:r>
            <w:rPr>
              <w:rStyle w:val="22"/>
            </w:rPr>
            <w:t>Evolutionary history of ORIs in crustacean lineages</w:t>
          </w:r>
          <w:r>
            <w:tab/>
          </w:r>
          <w:r>
            <w:fldChar w:fldCharType="begin"/>
          </w:r>
          <w:r>
            <w:instrText xml:space="preserve"> PAGEREF _Toc102127045 \h </w:instrText>
          </w:r>
          <w:r>
            <w:fldChar w:fldCharType="separate"/>
          </w:r>
          <w:r>
            <w:t>2</w:t>
          </w:r>
          <w:r>
            <w:fldChar w:fldCharType="end"/>
          </w:r>
          <w:r>
            <w:fldChar w:fldCharType="end"/>
          </w:r>
        </w:p>
        <w:p>
          <w:pPr>
            <w:pStyle w:val="13"/>
            <w:tabs>
              <w:tab w:val="right" w:leader="dot" w:pos="9900"/>
            </w:tabs>
            <w:rPr>
              <w:rFonts w:asciiTheme="minorHAnsi" w:hAnsiTheme="minorHAnsi" w:eastAsiaTheme="minorEastAsia" w:cstheme="minorBidi"/>
              <w:lang w:val="en-GB" w:eastAsia="zh-CN"/>
            </w:rPr>
          </w:pPr>
          <w:r>
            <w:fldChar w:fldCharType="begin"/>
          </w:r>
          <w:r>
            <w:instrText xml:space="preserve"> HYPERLINK \l "_Toc102127046" </w:instrText>
          </w:r>
          <w:r>
            <w:fldChar w:fldCharType="separate"/>
          </w:r>
          <w:r>
            <w:rPr>
              <w:rStyle w:val="22"/>
              <w:lang w:eastAsia="zh-CN"/>
            </w:rPr>
            <w:t>Errantia</w:t>
          </w:r>
          <w:r>
            <w:rPr>
              <w:rStyle w:val="22"/>
            </w:rPr>
            <w:t xml:space="preserve"> (class)</w:t>
          </w:r>
          <w:r>
            <w:tab/>
          </w:r>
          <w:r>
            <w:fldChar w:fldCharType="begin"/>
          </w:r>
          <w:r>
            <w:instrText xml:space="preserve"> PAGEREF _Toc102127046 \h </w:instrText>
          </w:r>
          <w:r>
            <w:fldChar w:fldCharType="separate"/>
          </w:r>
          <w:r>
            <w:t>2</w:t>
          </w:r>
          <w:r>
            <w:fldChar w:fldCharType="end"/>
          </w:r>
          <w:r>
            <w:fldChar w:fldCharType="end"/>
          </w:r>
        </w:p>
        <w:p>
          <w:pPr>
            <w:pStyle w:val="13"/>
            <w:tabs>
              <w:tab w:val="right" w:leader="dot" w:pos="9900"/>
            </w:tabs>
            <w:rPr>
              <w:rFonts w:asciiTheme="minorHAnsi" w:hAnsiTheme="minorHAnsi" w:eastAsiaTheme="minorEastAsia" w:cstheme="minorBidi"/>
              <w:lang w:val="en-GB" w:eastAsia="zh-CN"/>
            </w:rPr>
          </w:pPr>
          <w:r>
            <w:fldChar w:fldCharType="begin"/>
          </w:r>
          <w:r>
            <w:instrText xml:space="preserve"> HYPERLINK \l "_Toc102127047" </w:instrText>
          </w:r>
          <w:r>
            <w:fldChar w:fldCharType="separate"/>
          </w:r>
          <w:r>
            <w:rPr>
              <w:rStyle w:val="22"/>
              <w:lang w:eastAsia="zh-CN"/>
            </w:rPr>
            <w:t>Sedentaria (class)</w:t>
          </w:r>
          <w:r>
            <w:tab/>
          </w:r>
          <w:r>
            <w:fldChar w:fldCharType="begin"/>
          </w:r>
          <w:r>
            <w:instrText xml:space="preserve"> PAGEREF _Toc102127047 \h </w:instrText>
          </w:r>
          <w:r>
            <w:fldChar w:fldCharType="separate"/>
          </w:r>
          <w:r>
            <w:t>2</w:t>
          </w:r>
          <w:r>
            <w:fldChar w:fldCharType="end"/>
          </w:r>
          <w:r>
            <w:fldChar w:fldCharType="end"/>
          </w:r>
        </w:p>
        <w:p>
          <w:pPr>
            <w:pStyle w:val="13"/>
            <w:tabs>
              <w:tab w:val="right" w:leader="dot" w:pos="9900"/>
            </w:tabs>
            <w:rPr>
              <w:rFonts w:asciiTheme="minorHAnsi" w:hAnsiTheme="minorHAnsi" w:eastAsiaTheme="minorEastAsia" w:cstheme="minorBidi"/>
              <w:lang w:val="en-GB" w:eastAsia="zh-CN"/>
            </w:rPr>
          </w:pPr>
          <w:r>
            <w:fldChar w:fldCharType="begin"/>
          </w:r>
          <w:r>
            <w:instrText xml:space="preserve"> HYPERLINK \l "_Toc102127048" </w:instrText>
          </w:r>
          <w:r>
            <w:fldChar w:fldCharType="separate"/>
          </w:r>
          <w:r>
            <w:rPr>
              <w:rStyle w:val="22"/>
              <w:rFonts w:eastAsia="宋体"/>
              <w:i/>
              <w:lang w:eastAsia="zh-CN"/>
            </w:rPr>
            <w:t>Erpobdella octoculata</w:t>
          </w:r>
          <w:r>
            <w:rPr>
              <w:rStyle w:val="22"/>
              <w:rFonts w:eastAsia="宋体"/>
              <w:lang w:eastAsia="zh-CN"/>
            </w:rPr>
            <w:t xml:space="preserve">: </w:t>
          </w:r>
          <w:r>
            <w:rPr>
              <w:rStyle w:val="22"/>
              <w:i/>
              <w:iCs/>
            </w:rPr>
            <w:t>Cox1</w:t>
          </w:r>
          <w:r>
            <w:rPr>
              <w:rStyle w:val="22"/>
            </w:rPr>
            <w:t xml:space="preserve"> and </w:t>
          </w:r>
          <w:r>
            <w:rPr>
              <w:rStyle w:val="22"/>
              <w:i/>
              <w:iCs/>
            </w:rPr>
            <w:t>18S</w:t>
          </w:r>
          <w:r>
            <w:rPr>
              <w:rStyle w:val="22"/>
            </w:rPr>
            <w:t xml:space="preserve"> phylogenetic analyses</w:t>
          </w:r>
          <w:r>
            <w:tab/>
          </w:r>
          <w:r>
            <w:fldChar w:fldCharType="begin"/>
          </w:r>
          <w:r>
            <w:instrText xml:space="preserve"> PAGEREF _Toc102127048 \h </w:instrText>
          </w:r>
          <w:r>
            <w:fldChar w:fldCharType="separate"/>
          </w:r>
          <w:r>
            <w:t>5</w:t>
          </w:r>
          <w:r>
            <w:fldChar w:fldCharType="end"/>
          </w:r>
          <w:r>
            <w:fldChar w:fldCharType="end"/>
          </w:r>
        </w:p>
        <w:p>
          <w:pPr>
            <w:pStyle w:val="12"/>
            <w:tabs>
              <w:tab w:val="right" w:leader="dot" w:pos="9900"/>
            </w:tabs>
            <w:rPr>
              <w:rFonts w:asciiTheme="minorHAnsi" w:hAnsiTheme="minorHAnsi" w:eastAsiaTheme="minorEastAsia" w:cstheme="minorBidi"/>
              <w:lang w:val="en-GB" w:eastAsia="zh-CN"/>
            </w:rPr>
          </w:pPr>
          <w:r>
            <w:fldChar w:fldCharType="begin"/>
          </w:r>
          <w:r>
            <w:instrText xml:space="preserve"> HYPERLINK \l "_Toc102127049" </w:instrText>
          </w:r>
          <w:r>
            <w:fldChar w:fldCharType="separate"/>
          </w:r>
          <w:r>
            <w:rPr>
              <w:rStyle w:val="22"/>
            </w:rPr>
            <w:t>Supplementary methods</w:t>
          </w:r>
          <w:r>
            <w:tab/>
          </w:r>
          <w:r>
            <w:fldChar w:fldCharType="begin"/>
          </w:r>
          <w:r>
            <w:instrText xml:space="preserve"> PAGEREF _Toc102127049 \h </w:instrText>
          </w:r>
          <w:r>
            <w:fldChar w:fldCharType="separate"/>
          </w:r>
          <w:r>
            <w:t>6</w:t>
          </w:r>
          <w:r>
            <w:fldChar w:fldCharType="end"/>
          </w:r>
          <w:r>
            <w:fldChar w:fldCharType="end"/>
          </w:r>
        </w:p>
        <w:p>
          <w:pPr>
            <w:pStyle w:val="13"/>
            <w:tabs>
              <w:tab w:val="right" w:leader="dot" w:pos="9900"/>
            </w:tabs>
            <w:rPr>
              <w:rFonts w:asciiTheme="minorHAnsi" w:hAnsiTheme="minorHAnsi" w:eastAsiaTheme="minorEastAsia" w:cstheme="minorBidi"/>
              <w:lang w:val="en-GB" w:eastAsia="zh-CN"/>
            </w:rPr>
          </w:pPr>
          <w:r>
            <w:fldChar w:fldCharType="begin"/>
          </w:r>
          <w:r>
            <w:instrText xml:space="preserve"> HYPERLINK \l "_Toc102127050" </w:instrText>
          </w:r>
          <w:r>
            <w:fldChar w:fldCharType="separate"/>
          </w:r>
          <w:r>
            <w:rPr>
              <w:rStyle w:val="22"/>
            </w:rPr>
            <w:t>Conserved sequence motif search</w:t>
          </w:r>
          <w:r>
            <w:tab/>
          </w:r>
          <w:r>
            <w:fldChar w:fldCharType="begin"/>
          </w:r>
          <w:r>
            <w:instrText xml:space="preserve"> PAGEREF _Toc102127050 \h </w:instrText>
          </w:r>
          <w:r>
            <w:fldChar w:fldCharType="separate"/>
          </w:r>
          <w:r>
            <w:t>6</w:t>
          </w:r>
          <w:r>
            <w:fldChar w:fldCharType="end"/>
          </w:r>
          <w:r>
            <w:fldChar w:fldCharType="end"/>
          </w:r>
        </w:p>
        <w:p>
          <w:pPr>
            <w:pStyle w:val="13"/>
            <w:tabs>
              <w:tab w:val="right" w:leader="dot" w:pos="9900"/>
            </w:tabs>
            <w:rPr>
              <w:rFonts w:asciiTheme="minorHAnsi" w:hAnsiTheme="minorHAnsi" w:eastAsiaTheme="minorEastAsia" w:cstheme="minorBidi"/>
              <w:lang w:val="en-GB" w:eastAsia="zh-CN"/>
            </w:rPr>
          </w:pPr>
          <w:r>
            <w:fldChar w:fldCharType="begin"/>
          </w:r>
          <w:r>
            <w:instrText xml:space="preserve"> HYPERLINK \l "_Toc102127051" </w:instrText>
          </w:r>
          <w:r>
            <w:fldChar w:fldCharType="separate"/>
          </w:r>
          <w:r>
            <w:rPr>
              <w:rStyle w:val="22"/>
            </w:rPr>
            <w:t>Phylogenetic analyses</w:t>
          </w:r>
          <w:r>
            <w:tab/>
          </w:r>
          <w:r>
            <w:fldChar w:fldCharType="begin"/>
          </w:r>
          <w:r>
            <w:instrText xml:space="preserve"> PAGEREF _Toc102127051 \h </w:instrText>
          </w:r>
          <w:r>
            <w:fldChar w:fldCharType="separate"/>
          </w:r>
          <w:r>
            <w:t>7</w:t>
          </w:r>
          <w:r>
            <w:fldChar w:fldCharType="end"/>
          </w:r>
          <w:r>
            <w:fldChar w:fldCharType="end"/>
          </w:r>
        </w:p>
        <w:p>
          <w:pPr>
            <w:pStyle w:val="13"/>
            <w:tabs>
              <w:tab w:val="right" w:leader="dot" w:pos="9900"/>
            </w:tabs>
            <w:rPr>
              <w:rFonts w:asciiTheme="minorHAnsi" w:hAnsiTheme="minorHAnsi" w:eastAsiaTheme="minorEastAsia" w:cstheme="minorBidi"/>
              <w:lang w:val="en-GB" w:eastAsia="zh-CN"/>
            </w:rPr>
          </w:pPr>
          <w:r>
            <w:fldChar w:fldCharType="begin"/>
          </w:r>
          <w:r>
            <w:instrText xml:space="preserve"> HYPERLINK \l "_Toc102127052" </w:instrText>
          </w:r>
          <w:r>
            <w:fldChar w:fldCharType="separate"/>
          </w:r>
          <w:r>
            <w:rPr>
              <w:rStyle w:val="22"/>
            </w:rPr>
            <w:t>dN/dS</w:t>
          </w:r>
          <w:r>
            <w:tab/>
          </w:r>
          <w:r>
            <w:fldChar w:fldCharType="begin"/>
          </w:r>
          <w:r>
            <w:instrText xml:space="preserve"> PAGEREF _Toc102127052 \h </w:instrText>
          </w:r>
          <w:r>
            <w:fldChar w:fldCharType="separate"/>
          </w:r>
          <w:r>
            <w:t>8</w:t>
          </w:r>
          <w:r>
            <w:fldChar w:fldCharType="end"/>
          </w:r>
          <w:r>
            <w:fldChar w:fldCharType="end"/>
          </w:r>
        </w:p>
        <w:p>
          <w:pPr>
            <w:pStyle w:val="12"/>
            <w:tabs>
              <w:tab w:val="right" w:leader="dot" w:pos="9900"/>
            </w:tabs>
            <w:rPr>
              <w:rFonts w:asciiTheme="minorHAnsi" w:hAnsiTheme="minorHAnsi" w:eastAsiaTheme="minorEastAsia" w:cstheme="minorBidi"/>
              <w:lang w:val="en-GB" w:eastAsia="zh-CN"/>
            </w:rPr>
          </w:pPr>
          <w:r>
            <w:fldChar w:fldCharType="begin"/>
          </w:r>
          <w:r>
            <w:instrText xml:space="preserve"> HYPERLINK \l "_Toc102127053" </w:instrText>
          </w:r>
          <w:r>
            <w:fldChar w:fldCharType="separate"/>
          </w:r>
          <w:r>
            <w:rPr>
              <w:rStyle w:val="22"/>
            </w:rPr>
            <w:t>References</w:t>
          </w:r>
          <w:r>
            <w:tab/>
          </w:r>
          <w:r>
            <w:fldChar w:fldCharType="begin"/>
          </w:r>
          <w:r>
            <w:instrText xml:space="preserve"> PAGEREF _Toc102127053 \h </w:instrText>
          </w:r>
          <w:r>
            <w:fldChar w:fldCharType="separate"/>
          </w:r>
          <w:r>
            <w:t>9</w:t>
          </w:r>
          <w:r>
            <w:fldChar w:fldCharType="end"/>
          </w:r>
          <w:r>
            <w:fldChar w:fldCharType="end"/>
          </w:r>
        </w:p>
        <w:p>
          <w:r>
            <w:rPr>
              <w:b/>
              <w:bCs/>
              <w:lang w:val="zh-CN"/>
            </w:rPr>
            <w:fldChar w:fldCharType="end"/>
          </w:r>
        </w:p>
      </w:sdtContent>
    </w:sdt>
    <w:p>
      <w:pPr>
        <w:sectPr>
          <w:headerReference r:id="rId3" w:type="default"/>
          <w:footerReference r:id="rId5" w:type="default"/>
          <w:headerReference r:id="rId4" w:type="even"/>
          <w:pgSz w:w="11910" w:h="16840"/>
          <w:pgMar w:top="1380" w:right="320" w:bottom="280" w:left="1680" w:header="720" w:footer="720" w:gutter="0"/>
          <w:cols w:space="720" w:num="1"/>
        </w:sectPr>
      </w:pPr>
    </w:p>
    <w:p>
      <w:pPr>
        <w:pStyle w:val="2"/>
      </w:pPr>
      <w:bookmarkStart w:id="2" w:name="_TOC_250011"/>
      <w:bookmarkEnd w:id="2"/>
      <w:bookmarkStart w:id="3" w:name="_Toc102127044"/>
      <w:r>
        <w:t>Supplementary Results</w:t>
      </w:r>
      <w:bookmarkEnd w:id="3"/>
    </w:p>
    <w:p>
      <w:pPr>
        <w:pStyle w:val="7"/>
        <w:spacing w:before="11"/>
        <w:rPr>
          <w:b/>
          <w:sz w:val="23"/>
        </w:rPr>
      </w:pPr>
    </w:p>
    <w:p>
      <w:pPr>
        <w:pStyle w:val="3"/>
        <w:spacing w:line="360" w:lineRule="auto"/>
        <w:ind w:right="3536"/>
      </w:pPr>
      <w:bookmarkStart w:id="4" w:name="_Toc102127045"/>
      <w:r>
        <w:t>Evolutionary history of ORIs in crustacean lineages</w:t>
      </w:r>
      <w:bookmarkEnd w:id="4"/>
      <w:r>
        <w:t xml:space="preserve"> </w:t>
      </w:r>
    </w:p>
    <w:p/>
    <w:p>
      <w:pPr>
        <w:pStyle w:val="3"/>
        <w:spacing w:line="523" w:lineRule="auto"/>
        <w:ind w:right="3536"/>
      </w:pPr>
      <w:bookmarkStart w:id="5" w:name="_Toc102127046"/>
      <w:r>
        <w:rPr>
          <w:rFonts w:hint="eastAsia"/>
          <w:lang w:eastAsia="zh-CN"/>
        </w:rPr>
        <w:t>Errantia</w:t>
      </w:r>
      <w:r>
        <w:t xml:space="preserve"> (class)</w:t>
      </w:r>
      <w:bookmarkEnd w:id="5"/>
    </w:p>
    <w:p>
      <w:pPr>
        <w:pStyle w:val="5"/>
        <w:spacing w:line="273" w:lineRule="auto"/>
        <w:ind w:left="120" w:right="2199"/>
      </w:pPr>
      <w:r>
        <w:rPr>
          <w:rFonts w:hint="eastAsia"/>
          <w:i w:val="0"/>
          <w:lang w:eastAsia="zh-CN"/>
        </w:rPr>
        <w:t>Phyllodocida</w:t>
      </w:r>
      <w:r>
        <w:rPr>
          <w:i w:val="0"/>
        </w:rPr>
        <w:t xml:space="preserve"> (</w:t>
      </w:r>
      <w:r>
        <w:rPr>
          <w:rFonts w:hint="eastAsia" w:eastAsia="宋体"/>
          <w:i w:val="0"/>
          <w:lang w:eastAsia="zh-CN"/>
        </w:rPr>
        <w:t>order</w:t>
      </w:r>
      <w:r>
        <w:rPr>
          <w:i w:val="0"/>
        </w:rPr>
        <w:t xml:space="preserve">): </w:t>
      </w:r>
      <w:r>
        <w:rPr>
          <w:rFonts w:hint="eastAsia"/>
          <w:lang w:eastAsia="zh-CN"/>
        </w:rPr>
        <w:t xml:space="preserve">Streptosyllis </w:t>
      </w:r>
      <w:r>
        <w:rPr>
          <w:rFonts w:hint="eastAsia"/>
          <w:i w:val="0"/>
          <w:iCs/>
          <w:lang w:eastAsia="zh-CN"/>
        </w:rPr>
        <w:t>sp.</w:t>
      </w:r>
      <w:r>
        <w:rPr>
          <w:rFonts w:hint="eastAsia"/>
          <w:i w:val="0"/>
          <w:lang w:eastAsia="zh-CN"/>
        </w:rPr>
        <w:t xml:space="preserve"> (Anoplosyllinae, Syllidae</w:t>
      </w:r>
      <w:r>
        <w:rPr>
          <w:rFonts w:hint="eastAsia" w:eastAsia="宋体"/>
          <w:i w:val="0"/>
          <w:lang w:eastAsia="zh-CN"/>
        </w:rPr>
        <w:t>)</w:t>
      </w:r>
    </w:p>
    <w:p>
      <w:pPr>
        <w:pStyle w:val="7"/>
        <w:spacing w:before="11"/>
        <w:rPr>
          <w:b/>
          <w:i/>
          <w:sz w:val="19"/>
        </w:rPr>
      </w:pPr>
    </w:p>
    <w:p>
      <w:pPr>
        <w:pStyle w:val="7"/>
        <w:spacing w:before="1" w:line="360" w:lineRule="auto"/>
        <w:ind w:left="120" w:right="1473"/>
        <w:rPr>
          <w:lang w:eastAsia="zh-CN"/>
        </w:rPr>
      </w:pPr>
      <w:r>
        <w:t xml:space="preserve">The entire </w:t>
      </w:r>
      <w:r>
        <w:rPr>
          <w:rFonts w:hint="eastAsia" w:eastAsia="宋体"/>
          <w:lang w:eastAsia="zh-CN"/>
        </w:rPr>
        <w:t>order</w:t>
      </w:r>
      <w:r>
        <w:t xml:space="preserve"> </w:t>
      </w:r>
      <w:r>
        <w:rPr>
          <w:rFonts w:hint="eastAsia"/>
          <w:lang w:eastAsia="zh-CN"/>
        </w:rPr>
        <w:t>Phyllodocida</w:t>
      </w:r>
      <w:r>
        <w:t xml:space="preserve"> exhibited </w:t>
      </w:r>
      <w:r>
        <w:rPr>
          <w:rFonts w:hint="eastAsia" w:eastAsia="宋体"/>
          <w:lang w:eastAsia="zh-CN"/>
        </w:rPr>
        <w:t>negative GC</w:t>
      </w:r>
      <w:r>
        <w:t xml:space="preserve"> skew</w:t>
      </w:r>
      <w:r>
        <w:rPr>
          <w:rFonts w:hint="eastAsia" w:eastAsia="宋体"/>
          <w:lang w:eastAsia="zh-CN"/>
        </w:rPr>
        <w:t>s</w:t>
      </w:r>
      <w:r>
        <w:rPr>
          <w:rFonts w:eastAsia="宋体"/>
          <w:lang w:eastAsia="zh-CN"/>
        </w:rPr>
        <w:t>,</w:t>
      </w:r>
      <w:r>
        <w:rPr>
          <w:rFonts w:hint="eastAsia" w:eastAsia="宋体"/>
          <w:lang w:eastAsia="zh-CN"/>
        </w:rPr>
        <w:t xml:space="preserve"> </w:t>
      </w:r>
      <w:r>
        <w:rPr>
          <w:rFonts w:hint="eastAsia"/>
        </w:rPr>
        <w:t>except for</w:t>
      </w:r>
      <w:r>
        <w:rPr>
          <w:rFonts w:hint="eastAsia" w:eastAsia="宋体"/>
          <w:lang w:eastAsia="zh-CN"/>
        </w:rPr>
        <w:t xml:space="preserve"> </w:t>
      </w:r>
      <w:r>
        <w:rPr>
          <w:rFonts w:hint="eastAsia"/>
          <w:i/>
          <w:lang w:eastAsia="zh-CN"/>
        </w:rPr>
        <w:t xml:space="preserve">Streptosyllis </w:t>
      </w:r>
      <w:r>
        <w:rPr>
          <w:rFonts w:hint="eastAsia"/>
          <w:iCs/>
          <w:lang w:eastAsia="zh-CN"/>
        </w:rPr>
        <w:t>sp.</w:t>
      </w:r>
      <w:r>
        <w:rPr>
          <w:iCs/>
          <w:lang w:eastAsia="zh-CN"/>
        </w:rPr>
        <w:t>.</w:t>
      </w:r>
      <w:r>
        <w:t xml:space="preserve"> This species exhibited fully inverted (+) skews, which indicated an ORI. This is the only mitogenome available for this genus, but there are six other members of the Syllidae family available, so the ORI event maps either to the species, or the entire genus. A</w:t>
      </w:r>
      <w:r>
        <w:rPr>
          <w:lang w:val="en-GB"/>
        </w:rPr>
        <w:t>n</w:t>
      </w:r>
      <w:r>
        <w:rPr>
          <w:rFonts w:hint="eastAsia"/>
          <w:lang w:val="en-GB"/>
        </w:rPr>
        <w:t xml:space="preserve"> inverted skew</w:t>
      </w:r>
      <w:r>
        <w:rPr>
          <w:lang w:val="en-GB"/>
        </w:rPr>
        <w:t xml:space="preserve"> in comparison to other annelids in </w:t>
      </w:r>
      <w:r>
        <w:rPr>
          <w:rFonts w:hint="eastAsia"/>
          <w:i/>
          <w:lang w:eastAsia="zh-CN"/>
        </w:rPr>
        <w:t xml:space="preserve">Streptosyllis </w:t>
      </w:r>
      <w:r>
        <w:rPr>
          <w:rFonts w:hint="eastAsia"/>
          <w:iCs/>
          <w:lang w:eastAsia="zh-CN"/>
        </w:rPr>
        <w:t>sp.</w:t>
      </w:r>
      <w:r>
        <w:t xml:space="preserve"> </w:t>
      </w:r>
      <w:bookmarkStart w:id="6" w:name="_Hlk101125303"/>
      <w:r>
        <w:t xml:space="preserve">was </w:t>
      </w:r>
      <w:r>
        <w:rPr>
          <w:rFonts w:hint="eastAsia"/>
          <w:lang w:val="en-GB"/>
        </w:rPr>
        <w:t xml:space="preserve">first observed </w:t>
      </w:r>
      <w:bookmarkEnd w:id="6"/>
      <w:r>
        <w:rPr>
          <w:lang w:val="en-GB"/>
        </w:rPr>
        <w:t xml:space="preserve">by </w:t>
      </w:r>
      <w:r>
        <w:rPr>
          <w:rFonts w:eastAsia="宋体"/>
          <w:lang w:eastAsia="zh-CN"/>
        </w:rPr>
        <w:fldChar w:fldCharType="begin"/>
      </w:r>
      <w:r>
        <w:rPr>
          <w:rFonts w:eastAsia="宋体"/>
          <w:lang w:eastAsia="zh-CN"/>
        </w:rPr>
        <w:instrText xml:space="preserve"> ADDIN EN.CITE &lt;EndNote&gt;&lt;Cite AuthorYear="1"&gt;&lt;Author&gt;Aguado&lt;/Author&gt;&lt;Year&gt;2016&lt;/Year&gt;&lt;RecNum&gt;218&lt;/RecNum&gt;&lt;DisplayText&gt;MT Aguado, S Richter, R Sontowski, A Golombek, TH Struck and C Bleidorn [1]&lt;/DisplayText&gt;&lt;record&gt;&lt;rec-number&gt;218&lt;/rec-number&gt;&lt;foreign-keys&gt;&lt;key app="EN" db-id="9wvd5satxtzds3eeefppxpwgpd9fas0p9aaw" timestamp="1655696164"&gt;218&lt;/key&gt;&lt;/foreign-keys&gt;&lt;ref-type name="Journal Article"&gt;17&lt;/ref-type&gt;&lt;contributors&gt;&lt;authors&gt;&lt;author&gt;Aguado, M Teresa&lt;/author&gt;&lt;author&gt;Richter, Sandy&lt;/author&gt;&lt;author&gt;Sontowski, Rebekka&lt;/author&gt;&lt;author&gt;Golombek, Anja&lt;/author&gt;&lt;author&gt;Struck, Torsten H&lt;/author&gt;&lt;author&gt;Bleidorn, Christoph&lt;/author&gt;&lt;/authors&gt;&lt;/contributors&gt;&lt;titles&gt;&lt;title&gt;Syllidae mitochondrial gene order is unusually variable for Annelida&lt;/title&gt;&lt;secondary-title&gt;Gene&lt;/secondary-title&gt;&lt;/titles&gt;&lt;periodical&gt;&lt;full-title&gt;Gene&lt;/full-title&gt;&lt;abbr-1&gt;Gene&lt;/abbr-1&gt;&lt;abbr-2&gt;Gene&lt;/abbr-2&gt;&lt;/periodical&gt;&lt;pages&gt;89-96&lt;/pages&gt;&lt;volume&gt;594&lt;/volume&gt;&lt;number&gt;1&lt;/number&gt;&lt;dates&gt;&lt;year&gt;2016&lt;/year&gt;&lt;/dates&gt;&lt;isbn&gt;0378-1119&lt;/isbn&gt;&lt;urls&gt;&lt;/urls&gt;&lt;electronic-resource-num&gt;https://doi.org/10.1016/j.gene.2016.08.050&lt;/electronic-resource-num&gt;&lt;/record&gt;&lt;/Cite&gt;&lt;/EndNote&gt;</w:instrText>
      </w:r>
      <w:r>
        <w:rPr>
          <w:rFonts w:eastAsia="宋体"/>
          <w:lang w:eastAsia="zh-CN"/>
        </w:rPr>
        <w:fldChar w:fldCharType="separate"/>
      </w:r>
      <w:r>
        <w:rPr>
          <w:rFonts w:eastAsia="宋体"/>
          <w:lang w:eastAsia="zh-CN"/>
        </w:rPr>
        <w:t>MT Aguado, S Richter, R Sontowski, A Golombek, TH Struck and C Bleidorn [1]</w:t>
      </w:r>
      <w:r>
        <w:rPr>
          <w:rFonts w:eastAsia="宋体"/>
          <w:lang w:eastAsia="zh-CN"/>
        </w:rPr>
        <w:fldChar w:fldCharType="end"/>
      </w:r>
      <w:r>
        <w:rPr>
          <w:rFonts w:eastAsia="宋体"/>
          <w:lang w:eastAsia="zh-CN"/>
        </w:rPr>
        <w:t>.</w:t>
      </w:r>
      <w:r>
        <w:rPr>
          <w:rFonts w:hint="eastAsia" w:eastAsia="宋体"/>
          <w:lang w:eastAsia="zh-CN"/>
        </w:rPr>
        <w:t xml:space="preserve"> Unusual for annelids, mitochondrial gene order</w:t>
      </w:r>
      <w:r>
        <w:rPr>
          <w:rFonts w:eastAsia="宋体"/>
          <w:lang w:eastAsia="zh-CN"/>
        </w:rPr>
        <w:t>s</w:t>
      </w:r>
      <w:r>
        <w:rPr>
          <w:rFonts w:hint="eastAsia" w:eastAsia="宋体"/>
          <w:lang w:eastAsia="zh-CN"/>
        </w:rPr>
        <w:t xml:space="preserve"> are highly variable in </w:t>
      </w:r>
      <w:r>
        <w:rPr>
          <w:rFonts w:hint="eastAsia" w:eastAsia="宋体"/>
          <w:i/>
          <w:lang w:eastAsia="zh-CN"/>
        </w:rPr>
        <w:t xml:space="preserve">Streptosyllis </w:t>
      </w:r>
      <w:r>
        <w:rPr>
          <w:rFonts w:hint="eastAsia" w:eastAsia="宋体"/>
          <w:iCs/>
          <w:lang w:eastAsia="zh-CN"/>
        </w:rPr>
        <w:t>sp.</w:t>
      </w:r>
      <w:r>
        <w:rPr>
          <w:rFonts w:hint="eastAsia" w:eastAsia="宋体"/>
          <w:lang w:eastAsia="zh-CN"/>
        </w:rPr>
        <w:t xml:space="preserve"> and within the Syllinae </w:t>
      </w:r>
      <w:r>
        <w:rPr>
          <w:rFonts w:eastAsia="宋体"/>
          <w:lang w:eastAsia="zh-CN"/>
        </w:rPr>
        <w:fldChar w:fldCharType="begin"/>
      </w:r>
      <w:r>
        <w:rPr>
          <w:rFonts w:eastAsia="宋体"/>
          <w:lang w:eastAsia="zh-CN"/>
        </w:rPr>
        <w:instrText xml:space="preserve"> ADDIN EN.CITE &lt;EndNote&gt;&lt;Cite&gt;&lt;Author&gt;Aguado&lt;/Author&gt;&lt;Year&gt;2016&lt;/Year&gt;&lt;RecNum&gt;218&lt;/RecNum&gt;&lt;DisplayText&gt;[1]&lt;/DisplayText&gt;&lt;record&gt;&lt;rec-number&gt;218&lt;/rec-number&gt;&lt;foreign-keys&gt;&lt;key app="EN" db-id="9wvd5satxtzds3eeefppxpwgpd9fas0p9aaw" timestamp="1655696164"&gt;218&lt;/key&gt;&lt;/foreign-keys&gt;&lt;ref-type name="Journal Article"&gt;17&lt;/ref-type&gt;&lt;contributors&gt;&lt;authors&gt;&lt;author&gt;Aguado, M Teresa&lt;/author&gt;&lt;author&gt;Richter, Sandy&lt;/author&gt;&lt;author&gt;Sontowski, Rebekka&lt;/author&gt;&lt;author&gt;Golombek, Anja&lt;/author&gt;&lt;author&gt;Struck, Torsten H&lt;/author&gt;&lt;author&gt;Bleidorn, Christoph&lt;/author&gt;&lt;/authors&gt;&lt;/contributors&gt;&lt;titles&gt;&lt;title&gt;Syllidae mitochondrial gene order is unusually variable for Annelida&lt;/title&gt;&lt;secondary-title&gt;Gene&lt;/secondary-title&gt;&lt;/titles&gt;&lt;periodical&gt;&lt;full-title&gt;Gene&lt;/full-title&gt;&lt;abbr-1&gt;Gene&lt;/abbr-1&gt;&lt;abbr-2&gt;Gene&lt;/abbr-2&gt;&lt;/periodical&gt;&lt;pages&gt;89-96&lt;/pages&gt;&lt;volume&gt;594&lt;/volume&gt;&lt;number&gt;1&lt;/number&gt;&lt;dates&gt;&lt;year&gt;2016&lt;/year&gt;&lt;/dates&gt;&lt;isbn&gt;0378-1119&lt;/isbn&gt;&lt;urls&gt;&lt;/urls&gt;&lt;electronic-resource-num&gt;https://doi.org/10.1016/j.gene.2016.08.050&lt;/electronic-resource-num&gt;&lt;/record&gt;&lt;/Cite&gt;&lt;/EndNote&gt;</w:instrText>
      </w:r>
      <w:r>
        <w:rPr>
          <w:rFonts w:eastAsia="宋体"/>
          <w:lang w:eastAsia="zh-CN"/>
        </w:rPr>
        <w:fldChar w:fldCharType="separate"/>
      </w:r>
      <w:r>
        <w:rPr>
          <w:rFonts w:eastAsia="宋体"/>
          <w:lang w:eastAsia="zh-CN"/>
        </w:rPr>
        <w:t>[1]</w:t>
      </w:r>
      <w:r>
        <w:rPr>
          <w:rFonts w:eastAsia="宋体"/>
          <w:lang w:eastAsia="zh-CN"/>
        </w:rPr>
        <w:fldChar w:fldCharType="end"/>
      </w:r>
      <w:r>
        <w:rPr>
          <w:rFonts w:hint="eastAsia" w:eastAsia="宋体"/>
          <w:lang w:eastAsia="zh-CN"/>
        </w:rPr>
        <w:t xml:space="preserve">. The only taxon so far completely deviating from </w:t>
      </w:r>
      <w:r>
        <w:rPr>
          <w:rFonts w:eastAsia="宋体"/>
          <w:lang w:eastAsia="zh-CN"/>
        </w:rPr>
        <w:t xml:space="preserve">the </w:t>
      </w:r>
      <w:r>
        <w:rPr>
          <w:rFonts w:hint="eastAsia" w:eastAsia="宋体"/>
          <w:lang w:eastAsia="zh-CN"/>
        </w:rPr>
        <w:t>putative annelid ground pattern is Syllidae (Errantia), which show completely rearranged mitochondrial genomes</w:t>
      </w:r>
      <w:r>
        <w:rPr>
          <w:rFonts w:eastAsia="宋体"/>
          <w:lang w:eastAsia="zh-CN"/>
        </w:rPr>
        <w:t xml:space="preserve"> </w:t>
      </w:r>
      <w:r>
        <w:rPr>
          <w:rFonts w:eastAsia="宋体"/>
          <w:lang w:eastAsia="zh-CN"/>
        </w:rPr>
        <w:fldChar w:fldCharType="begin"/>
      </w:r>
      <w:r>
        <w:rPr>
          <w:rFonts w:eastAsia="宋体"/>
          <w:lang w:eastAsia="zh-CN"/>
        </w:rPr>
        <w:instrText xml:space="preserve"> ADDIN EN.CITE &lt;EndNote&gt;&lt;Cite&gt;&lt;Author&gt;Aguado&lt;/Author&gt;&lt;Year&gt;2015&lt;/Year&gt;&lt;RecNum&gt;1&lt;/RecNum&gt;&lt;DisplayText&gt;[2]&lt;/DisplayText&gt;&lt;record&gt;&lt;rec-number&gt;1&lt;/rec-number&gt;&lt;foreign-keys&gt;&lt;key app="EN" db-id="9wvd5satxtzds3eeefppxpwgpd9fas0p9aaw" timestamp="1645758620"&gt;1&lt;/key&gt;&lt;/foreign-keys&gt;&lt;ref-type name="Journal Article"&gt;17&lt;/ref-type&gt;&lt;contributors&gt;&lt;authors&gt;&lt;author&gt;M Teresa Aguado&lt;/author&gt;&lt;author&gt;Christopher J Glasby&lt;/author&gt;&lt;author&gt;Paul C Schroeder&lt;/author&gt;&lt;author&gt;Anne Weigert&lt;/author&gt;&lt;author&gt;Christoph Bleidorn&lt;/author&gt;&lt;/authors&gt;&lt;/contributors&gt;&lt;titles&gt;&lt;title&gt;The making of a branching annelid: an analysis of complete mitochondrial genome and ribosomal data of Ramisyllis multicaudata&lt;/title&gt;&lt;secondary-title&gt;Scientific Reports&lt;/secondary-title&gt;&lt;/titles&gt;&lt;periodical&gt;&lt;full-title&gt;Scientific Reports&lt;/full-title&gt;&lt;abbr-1&gt;Sci. Rep.&lt;/abbr-1&gt;&lt;/periodical&gt;&lt;pages&gt;1-13&lt;/pages&gt;&lt;volume&gt;5&lt;/volume&gt;&lt;number&gt;1&lt;/number&gt;&lt;dates&gt;&lt;year&gt;2015&lt;/year&gt;&lt;/dates&gt;&lt;isbn&gt;2045-2322&lt;/isbn&gt;&lt;urls&gt;&lt;/urls&gt;&lt;electronic-resource-num&gt;https://doi.org/10.1093/molbev/msv157&lt;/electronic-resource-num&gt;&lt;/record&gt;&lt;/Cite&gt;&lt;/EndNote&gt;</w:instrText>
      </w:r>
      <w:r>
        <w:rPr>
          <w:rFonts w:eastAsia="宋体"/>
          <w:lang w:eastAsia="zh-CN"/>
        </w:rPr>
        <w:fldChar w:fldCharType="separate"/>
      </w:r>
      <w:r>
        <w:rPr>
          <w:rFonts w:eastAsia="宋体"/>
          <w:lang w:eastAsia="zh-CN"/>
        </w:rPr>
        <w:t>[2]</w:t>
      </w:r>
      <w:r>
        <w:rPr>
          <w:rFonts w:eastAsia="宋体"/>
          <w:lang w:eastAsia="zh-CN"/>
        </w:rPr>
        <w:fldChar w:fldCharType="end"/>
      </w:r>
      <w:r>
        <w:rPr>
          <w:rFonts w:hint="eastAsia" w:eastAsia="宋体"/>
          <w:lang w:eastAsia="zh-CN"/>
        </w:rPr>
        <w:t xml:space="preserve">. No conserved motif was </w:t>
      </w:r>
      <w:r>
        <w:rPr>
          <w:rFonts w:hint="eastAsia"/>
          <w:lang w:eastAsia="zh-CN"/>
        </w:rPr>
        <w:t xml:space="preserve">identified for </w:t>
      </w:r>
      <w:r>
        <w:rPr>
          <w:rFonts w:hint="eastAsia"/>
          <w:i/>
          <w:iCs/>
          <w:lang w:eastAsia="zh-CN"/>
        </w:rPr>
        <w:t xml:space="preserve">Streptosyllis </w:t>
      </w:r>
      <w:r>
        <w:rPr>
          <w:rFonts w:hint="eastAsia"/>
          <w:lang w:eastAsia="zh-CN"/>
        </w:rPr>
        <w:t>sp.</w:t>
      </w:r>
      <w:r>
        <w:rPr>
          <w:lang w:eastAsia="zh-CN"/>
        </w:rPr>
        <w:t>.</w:t>
      </w:r>
    </w:p>
    <w:p>
      <w:pPr>
        <w:pStyle w:val="7"/>
        <w:spacing w:before="1" w:line="360" w:lineRule="auto"/>
        <w:ind w:left="120" w:right="1473"/>
        <w:rPr>
          <w:lang w:eastAsia="zh-CN"/>
        </w:rPr>
      </w:pPr>
    </w:p>
    <w:p>
      <w:pPr>
        <w:pStyle w:val="7"/>
        <w:spacing w:before="1" w:line="360" w:lineRule="auto"/>
        <w:ind w:left="120" w:right="1473"/>
        <w:rPr>
          <w:sz w:val="25"/>
        </w:rPr>
      </w:pPr>
      <w:r>
        <w:rPr>
          <w:lang w:val="en-GB" w:eastAsia="zh-CN"/>
        </w:rPr>
        <w:drawing>
          <wp:inline distT="0" distB="0" distL="114300" distR="114300">
            <wp:extent cx="5295265" cy="2653030"/>
            <wp:effectExtent l="0" t="0" r="0" b="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7"/>
                    <a:stretch>
                      <a:fillRect/>
                    </a:stretch>
                  </pic:blipFill>
                  <pic:spPr>
                    <a:xfrm>
                      <a:off x="0" y="0"/>
                      <a:ext cx="5301359" cy="2656038"/>
                    </a:xfrm>
                    <a:prstGeom prst="rect">
                      <a:avLst/>
                    </a:prstGeom>
                    <a:noFill/>
                    <a:ln>
                      <a:noFill/>
                    </a:ln>
                  </pic:spPr>
                </pic:pic>
              </a:graphicData>
            </a:graphic>
          </wp:inline>
        </w:drawing>
      </w:r>
    </w:p>
    <w:p>
      <w:pPr>
        <w:pStyle w:val="7"/>
        <w:spacing w:line="360" w:lineRule="auto"/>
        <w:ind w:left="122" w:right="1472"/>
        <w:rPr>
          <w:spacing w:val="-4"/>
        </w:rPr>
      </w:pPr>
      <w:r>
        <w:rPr>
          <w:b/>
        </w:rPr>
        <w:t>Figure S1. Architecture</w:t>
      </w:r>
      <w:r>
        <w:rPr>
          <w:b/>
          <w:spacing w:val="-3"/>
        </w:rPr>
        <w:t xml:space="preserve"> </w:t>
      </w:r>
      <w:r>
        <w:rPr>
          <w:b/>
        </w:rPr>
        <w:t xml:space="preserve">in the </w:t>
      </w:r>
      <w:r>
        <w:rPr>
          <w:rFonts w:hint="eastAsia"/>
          <w:b/>
        </w:rPr>
        <w:t>Phyllodocida</w:t>
      </w:r>
      <w:r>
        <w:rPr>
          <w:b/>
        </w:rPr>
        <w:t xml:space="preserve">. </w:t>
      </w:r>
      <w:r>
        <w:t xml:space="preserve">GC </w:t>
      </w:r>
      <w:r>
        <w:rPr>
          <w:spacing w:val="-3"/>
        </w:rPr>
        <w:t>skews</w:t>
      </w:r>
      <w:r>
        <w:rPr>
          <w:rFonts w:hint="eastAsia" w:eastAsia="宋体"/>
          <w:lang w:eastAsia="zh-CN"/>
        </w:rPr>
        <w:t xml:space="preserve"> are represented by bars (axis = 0, left = negative values, right = positive values). G</w:t>
      </w:r>
      <w:r>
        <w:t xml:space="preserve">ene orders and </w:t>
      </w:r>
      <w:r>
        <w:rPr>
          <w:spacing w:val="-4"/>
        </w:rPr>
        <w:t>taxonomy</w:t>
      </w:r>
      <w:r>
        <w:rPr>
          <w:rFonts w:hint="eastAsia" w:eastAsia="宋体"/>
          <w:spacing w:val="-4"/>
          <w:lang w:eastAsia="zh-CN"/>
        </w:rPr>
        <w:t xml:space="preserve"> (class, order and family,</w:t>
      </w:r>
      <w:r>
        <w:rPr>
          <w:rFonts w:eastAsia="宋体"/>
          <w:spacing w:val="-4"/>
          <w:lang w:eastAsia="zh-CN"/>
        </w:rPr>
        <w:t xml:space="preserve"> </w:t>
      </w:r>
      <w:r>
        <w:rPr>
          <w:rFonts w:hint="eastAsia" w:eastAsia="宋体"/>
          <w:spacing w:val="-4"/>
          <w:lang w:eastAsia="zh-CN"/>
        </w:rPr>
        <w:t>respectively) are also shown</w:t>
      </w:r>
      <w:r>
        <w:rPr>
          <w:spacing w:val="-4"/>
        </w:rPr>
        <w:t xml:space="preserve">. </w:t>
      </w:r>
    </w:p>
    <w:p>
      <w:pPr>
        <w:pStyle w:val="7"/>
        <w:spacing w:line="360" w:lineRule="auto"/>
        <w:ind w:left="122" w:right="1472"/>
      </w:pPr>
    </w:p>
    <w:p>
      <w:pPr>
        <w:pStyle w:val="3"/>
        <w:spacing w:line="523" w:lineRule="auto"/>
        <w:ind w:right="3536"/>
        <w:rPr>
          <w:lang w:eastAsia="zh-CN"/>
        </w:rPr>
      </w:pPr>
      <w:bookmarkStart w:id="7" w:name="_TOC_250008"/>
      <w:bookmarkEnd w:id="7"/>
      <w:bookmarkStart w:id="8" w:name="_Toc102127047"/>
      <w:r>
        <w:rPr>
          <w:rFonts w:hint="eastAsia"/>
          <w:lang w:eastAsia="zh-CN"/>
        </w:rPr>
        <w:t>Sedentaria</w:t>
      </w:r>
      <w:r>
        <w:rPr>
          <w:lang w:eastAsia="zh-CN"/>
        </w:rPr>
        <w:t xml:space="preserve"> (class)</w:t>
      </w:r>
      <w:bookmarkEnd w:id="8"/>
    </w:p>
    <w:p>
      <w:pPr>
        <w:pStyle w:val="5"/>
        <w:ind w:left="120"/>
      </w:pPr>
      <w:r>
        <w:rPr>
          <w:i w:val="0"/>
          <w:lang w:eastAsia="zh-CN"/>
        </w:rPr>
        <w:t>Ampharetidae</w:t>
      </w:r>
      <w:r>
        <w:rPr>
          <w:i w:val="0"/>
        </w:rPr>
        <w:t xml:space="preserve"> (</w:t>
      </w:r>
      <w:r>
        <w:rPr>
          <w:rFonts w:hint="eastAsia" w:eastAsia="宋体"/>
          <w:i w:val="0"/>
          <w:lang w:eastAsia="zh-CN"/>
        </w:rPr>
        <w:t>family</w:t>
      </w:r>
      <w:r>
        <w:rPr>
          <w:i w:val="0"/>
        </w:rPr>
        <w:t>):</w:t>
      </w:r>
      <w:r>
        <w:rPr>
          <w:i w:val="0"/>
          <w:lang w:eastAsia="zh-CN"/>
        </w:rPr>
        <w:t xml:space="preserve"> Eclysippe &amp;</w:t>
      </w:r>
      <w:r>
        <w:rPr>
          <w:rFonts w:hint="eastAsia"/>
          <w:i w:val="0"/>
          <w:lang w:eastAsia="zh-CN"/>
        </w:rPr>
        <w:t xml:space="preserve"> </w:t>
      </w:r>
      <w:r>
        <w:rPr>
          <w:i w:val="0"/>
          <w:lang w:eastAsia="zh-CN"/>
        </w:rPr>
        <w:t>Auchenoplax CA</w:t>
      </w:r>
      <w:r>
        <w:rPr>
          <w:rFonts w:hint="eastAsia"/>
          <w:i w:val="0"/>
          <w:lang w:eastAsia="zh-CN"/>
        </w:rPr>
        <w:t xml:space="preserve"> </w:t>
      </w:r>
      <w:r>
        <w:rPr>
          <w:i w:val="0"/>
          <w:lang w:eastAsia="zh-CN"/>
        </w:rPr>
        <w:t>sister genera</w:t>
      </w:r>
    </w:p>
    <w:p>
      <w:pPr>
        <w:pStyle w:val="7"/>
        <w:spacing w:before="10"/>
        <w:rPr>
          <w:b/>
          <w:i/>
        </w:rPr>
      </w:pPr>
    </w:p>
    <w:p>
      <w:pPr>
        <w:pStyle w:val="7"/>
        <w:spacing w:line="360" w:lineRule="auto"/>
        <w:ind w:left="120" w:right="1473"/>
        <w:rPr>
          <w:rFonts w:eastAsia="宋体"/>
          <w:lang w:eastAsia="zh-CN"/>
        </w:rPr>
      </w:pPr>
      <w:r>
        <w:rPr>
          <w:rFonts w:hint="eastAsia"/>
        </w:rPr>
        <w:t>Ampharetidae</w:t>
      </w:r>
      <w:r>
        <w:rPr>
          <w:rFonts w:hint="eastAsia" w:eastAsia="宋体"/>
          <w:lang w:eastAsia="zh-CN"/>
        </w:rPr>
        <w:t xml:space="preserve"> is unlike the most mitochondrial gene order in annelids, it differs in a few rearranged genes (or blocks of genes) from the putative annelid ground pattern. </w:t>
      </w:r>
      <w:r>
        <w:rPr>
          <w:rFonts w:hint="eastAsia" w:eastAsia="宋体"/>
          <w:i/>
          <w:iCs/>
          <w:lang w:eastAsia="zh-CN"/>
        </w:rPr>
        <w:t>Eclysippe vanelli</w:t>
      </w:r>
      <w:r>
        <w:rPr>
          <w:rFonts w:hint="eastAsia" w:eastAsia="宋体"/>
          <w:lang w:eastAsia="zh-CN"/>
        </w:rPr>
        <w:t xml:space="preserve"> and </w:t>
      </w:r>
      <w:r>
        <w:rPr>
          <w:rFonts w:hint="eastAsia" w:eastAsia="宋体"/>
          <w:i/>
          <w:iCs/>
          <w:lang w:eastAsia="zh-CN"/>
        </w:rPr>
        <w:t xml:space="preserve">Auchenoplax crinita </w:t>
      </w:r>
      <w:r>
        <w:t>exhibited</w:t>
      </w:r>
      <w:r>
        <w:rPr>
          <w:rFonts w:hint="eastAsia" w:eastAsia="宋体"/>
          <w:lang w:eastAsia="zh-CN"/>
        </w:rPr>
        <w:t xml:space="preserve"> inverted GC skews</w:t>
      </w:r>
      <w:r>
        <w:t xml:space="preserve">, but the remaining three Ampharetidae mitogenomes (all </w:t>
      </w:r>
      <w:r>
        <w:rPr>
          <w:i/>
        </w:rPr>
        <w:t>Decemunciger</w:t>
      </w:r>
      <w:r>
        <w:t xml:space="preserve"> sp.) did not. </w:t>
      </w:r>
      <w:r>
        <w:rPr>
          <w:rFonts w:hint="eastAsia" w:eastAsiaTheme="minorEastAsia"/>
          <w:lang w:val="en-GB" w:eastAsia="zh-CN"/>
        </w:rPr>
        <w:t>A</w:t>
      </w:r>
      <w:r>
        <w:rPr>
          <w:lang w:val="en-GB"/>
        </w:rPr>
        <w:t>n</w:t>
      </w:r>
      <w:r>
        <w:rPr>
          <w:rFonts w:hint="eastAsia"/>
          <w:lang w:val="en-GB"/>
        </w:rPr>
        <w:t xml:space="preserve"> inverted skew</w:t>
      </w:r>
      <w:r>
        <w:rPr>
          <w:lang w:val="en-GB"/>
        </w:rPr>
        <w:t xml:space="preserve"> in comparison to two</w:t>
      </w:r>
      <w:r>
        <w:t xml:space="preserve"> Terebelliformia (Annelida) worms</w:t>
      </w:r>
      <w:r>
        <w:rPr>
          <w:rFonts w:hint="eastAsia" w:eastAsiaTheme="minorEastAsia"/>
          <w:lang w:eastAsia="zh-CN"/>
        </w:rPr>
        <w:t xml:space="preserve"> in</w:t>
      </w:r>
      <w:r>
        <w:rPr>
          <w:lang w:val="en-GB"/>
        </w:rPr>
        <w:t xml:space="preserve"> </w:t>
      </w:r>
      <w:r>
        <w:rPr>
          <w:rFonts w:hint="eastAsia" w:eastAsia="宋体"/>
          <w:i/>
          <w:iCs/>
          <w:lang w:eastAsia="zh-CN"/>
        </w:rPr>
        <w:t>E. vanelli</w:t>
      </w:r>
      <w:r>
        <w:t xml:space="preserve"> was </w:t>
      </w:r>
      <w:r>
        <w:rPr>
          <w:rFonts w:hint="eastAsia"/>
          <w:lang w:val="en-GB"/>
        </w:rPr>
        <w:t xml:space="preserve">first observed </w:t>
      </w:r>
      <w:r>
        <w:rPr>
          <w:lang w:val="en-GB"/>
        </w:rPr>
        <w:t xml:space="preserve">by </w:t>
      </w:r>
      <w:r>
        <w:rPr>
          <w:rFonts w:eastAsia="宋体" w:cstheme="minorHAnsi"/>
          <w:szCs w:val="20"/>
          <w:lang w:eastAsia="zh-CN"/>
        </w:rPr>
        <w:fldChar w:fldCharType="begin"/>
      </w:r>
      <w:r>
        <w:rPr>
          <w:rFonts w:eastAsia="宋体" w:cstheme="minorHAnsi"/>
          <w:szCs w:val="20"/>
          <w:lang w:eastAsia="zh-CN"/>
        </w:rPr>
        <w:instrText xml:space="preserve"> ADDIN EN.CITE &lt;EndNote&gt;&lt;Cite AuthorYear="1"&gt;&lt;Author&gt;Zhong&lt;/Author&gt;&lt;Year&gt;2008&lt;/Year&gt;&lt;RecNum&gt;88&lt;/RecNum&gt;&lt;DisplayText&gt;M Zhong, TH Struck and KM Halanych [3]&lt;/DisplayText&gt;&lt;record&gt;&lt;rec-number&gt;88&lt;/rec-number&gt;&lt;foreign-keys&gt;&lt;key app="EN" db-id="9wvd5satxtzds3eeefppxpwgpd9fas0p9aaw" timestamp="1645758620"&gt;88&lt;/key&gt;&lt;/foreign-keys&gt;&lt;ref-type name="Journal Article"&gt;17&lt;/ref-type&gt;&lt;contributors&gt;&lt;authors&gt;&lt;author&gt;Min Zhong&lt;/author&gt;&lt;author&gt;Torsten H. Struck&lt;/author&gt;&lt;author&gt;Kenneth M. Halanych&lt;/author&gt;&lt;/authors&gt;&lt;/contributors&gt;&lt;titles&gt;&lt;title&gt;Phylogenetic information from three mitochondrial genomes of Terebelliformia (Annelida) worms and duplication of the methionine tRNA&lt;/title&gt;&lt;secondary-title&gt;Gene&lt;/secondary-title&gt;&lt;/titles&gt;&lt;periodical&gt;&lt;full-title&gt;Gene&lt;/full-title&gt;&lt;abbr-1&gt;Gene&lt;/abbr-1&gt;&lt;abbr-2&gt;Gene&lt;/abbr-2&gt;&lt;/periodical&gt;&lt;pages&gt;11-21&lt;/pages&gt;&lt;volume&gt;416 1-2&lt;/volume&gt;&lt;dates&gt;&lt;year&gt;2008&lt;/year&gt;&lt;/dates&gt;&lt;urls&gt;&lt;/urls&gt;&lt;electronic-resource-num&gt;https://doi.org/10.1016/j.gene.2008.02.020&lt;/electronic-resource-num&gt;&lt;/record&gt;&lt;/Cite&gt;&lt;/EndNote&gt;</w:instrText>
      </w:r>
      <w:r>
        <w:rPr>
          <w:rFonts w:eastAsia="宋体" w:cstheme="minorHAnsi"/>
          <w:szCs w:val="20"/>
          <w:lang w:eastAsia="zh-CN"/>
        </w:rPr>
        <w:fldChar w:fldCharType="separate"/>
      </w:r>
      <w:r>
        <w:rPr>
          <w:rFonts w:eastAsia="宋体" w:cstheme="minorHAnsi"/>
          <w:szCs w:val="20"/>
          <w:lang w:eastAsia="zh-CN"/>
        </w:rPr>
        <w:t>M Zhong, TH Struck and KM Halanych [3]</w:t>
      </w:r>
      <w:r>
        <w:rPr>
          <w:rFonts w:eastAsia="宋体" w:cstheme="minorHAnsi"/>
          <w:szCs w:val="20"/>
          <w:lang w:eastAsia="zh-CN"/>
        </w:rPr>
        <w:fldChar w:fldCharType="end"/>
      </w:r>
      <w:r>
        <w:rPr>
          <w:rFonts w:eastAsia="宋体" w:cstheme="minorHAnsi"/>
          <w:szCs w:val="20"/>
          <w:lang w:eastAsia="zh-CN"/>
        </w:rPr>
        <w:t>, whereas</w:t>
      </w:r>
      <w:r>
        <w:rPr>
          <w:rFonts w:hint="eastAsia" w:eastAsia="宋体" w:cstheme="minorHAnsi"/>
          <w:szCs w:val="20"/>
          <w:lang w:eastAsia="zh-CN"/>
        </w:rPr>
        <w:t xml:space="preserve"> the one in</w:t>
      </w:r>
      <w:r>
        <w:rPr>
          <w:rFonts w:eastAsia="宋体" w:cstheme="minorHAnsi"/>
          <w:szCs w:val="20"/>
          <w:lang w:eastAsia="zh-CN"/>
        </w:rPr>
        <w:t xml:space="preserve"> </w:t>
      </w:r>
      <w:r>
        <w:rPr>
          <w:rFonts w:hint="eastAsia" w:eastAsia="宋体"/>
          <w:i/>
          <w:iCs/>
          <w:lang w:eastAsia="zh-CN"/>
        </w:rPr>
        <w:t>A. crinita</w:t>
      </w:r>
      <w:r>
        <w:rPr>
          <w:rFonts w:eastAsia="宋体" w:cstheme="minorHAnsi"/>
          <w:szCs w:val="20"/>
          <w:lang w:eastAsia="zh-CN"/>
        </w:rPr>
        <w:t xml:space="preserve"> was</w:t>
      </w:r>
      <w:r>
        <w:rPr>
          <w:rFonts w:hint="eastAsia" w:eastAsia="宋体" w:cstheme="minorHAnsi"/>
          <w:szCs w:val="20"/>
          <w:lang w:eastAsia="zh-CN"/>
        </w:rPr>
        <w:t xml:space="preserve"> first observed</w:t>
      </w:r>
      <w:r>
        <w:rPr>
          <w:rFonts w:eastAsia="宋体" w:cstheme="minorHAnsi"/>
          <w:szCs w:val="20"/>
          <w:lang w:eastAsia="zh-CN"/>
        </w:rPr>
        <w:t xml:space="preserve"> in this study.</w:t>
      </w:r>
      <w:r>
        <w:t xml:space="preserve"> Although a single ORI event in the common ancestor of these two genera is the most parsimonious scenario, we should also consider alternative scenarios. </w:t>
      </w:r>
      <w:r>
        <w:rPr>
          <w:rFonts w:hint="eastAsia" w:eastAsiaTheme="minorEastAsia"/>
          <w:lang w:eastAsia="zh-CN"/>
        </w:rPr>
        <w:t>A</w:t>
      </w:r>
      <w:r>
        <w:t xml:space="preserve">s </w:t>
      </w:r>
      <w:r>
        <w:rPr>
          <w:i/>
        </w:rPr>
        <w:t>Decemunciger</w:t>
      </w:r>
      <w:r>
        <w:t xml:space="preserve"> </w:t>
      </w:r>
      <w:r>
        <w:rPr>
          <w:rFonts w:hint="eastAsia" w:eastAsiaTheme="minorEastAsia"/>
          <w:lang w:eastAsia="zh-CN"/>
        </w:rPr>
        <w:t xml:space="preserve">sp. </w:t>
      </w:r>
      <w:r>
        <w:t>exhibit</w:t>
      </w:r>
      <w:r>
        <w:rPr>
          <w:rFonts w:hint="eastAsia" w:eastAsiaTheme="minorEastAsia"/>
          <w:lang w:eastAsia="zh-CN"/>
        </w:rPr>
        <w:t>s</w:t>
      </w:r>
      <w:r>
        <w:t xml:space="preserve"> a unique mitogenome with genes encoded on both strands, it may also be possible that the common ancestor of the entire family underwent an ORI, followed by a subsequent ORI in </w:t>
      </w:r>
      <w:r>
        <w:rPr>
          <w:i/>
        </w:rPr>
        <w:t>Decemunciger</w:t>
      </w:r>
      <w:r>
        <w:t>, but this remains highly hypothetical given the absence of data for other lineages in this family.</w:t>
      </w:r>
      <w:r>
        <w:rPr>
          <w:rFonts w:hint="eastAsia" w:eastAsia="宋体"/>
          <w:lang w:eastAsia="zh-CN"/>
        </w:rPr>
        <w:t xml:space="preserve"> No conserved motif was identified in </w:t>
      </w:r>
      <w:r>
        <w:rPr>
          <w:rFonts w:hint="eastAsia" w:eastAsia="宋体"/>
          <w:i/>
          <w:iCs/>
          <w:lang w:eastAsia="zh-CN"/>
        </w:rPr>
        <w:t>E. vanelli</w:t>
      </w:r>
      <w:r>
        <w:rPr>
          <w:rFonts w:hint="eastAsia" w:eastAsia="宋体"/>
          <w:lang w:eastAsia="zh-CN"/>
        </w:rPr>
        <w:t xml:space="preserve"> and </w:t>
      </w:r>
      <w:r>
        <w:rPr>
          <w:rFonts w:hint="eastAsia" w:eastAsia="宋体"/>
          <w:i/>
          <w:iCs/>
          <w:lang w:eastAsia="zh-CN"/>
        </w:rPr>
        <w:t>A. crinita</w:t>
      </w:r>
      <w:r>
        <w:rPr>
          <w:rFonts w:hint="eastAsia" w:eastAsia="宋体"/>
          <w:lang w:eastAsia="zh-CN"/>
        </w:rPr>
        <w:t xml:space="preserve">. </w:t>
      </w:r>
    </w:p>
    <w:p>
      <w:pPr>
        <w:pStyle w:val="7"/>
        <w:spacing w:before="8"/>
        <w:rPr>
          <w:sz w:val="19"/>
        </w:rPr>
      </w:pPr>
    </w:p>
    <w:p>
      <w:pPr>
        <w:pStyle w:val="5"/>
        <w:ind w:left="120"/>
        <w:rPr>
          <w:rFonts w:eastAsiaTheme="minorEastAsia"/>
          <w:i w:val="0"/>
        </w:rPr>
      </w:pPr>
      <w:r>
        <w:rPr>
          <w:i w:val="0"/>
          <w:lang w:eastAsia="zh-CN"/>
        </w:rPr>
        <w:t>Sabellidae</w:t>
      </w:r>
      <w:r>
        <w:rPr>
          <w:rFonts w:hint="eastAsia"/>
          <w:i w:val="0"/>
          <w:lang w:eastAsia="zh-CN"/>
        </w:rPr>
        <w:t xml:space="preserve"> </w:t>
      </w:r>
      <w:r>
        <w:rPr>
          <w:rFonts w:hint="eastAsia" w:eastAsiaTheme="minorEastAsia"/>
          <w:i w:val="0"/>
          <w:lang w:eastAsia="zh-CN"/>
        </w:rPr>
        <w:t>and</w:t>
      </w:r>
      <w:r>
        <w:rPr>
          <w:i w:val="0"/>
          <w:lang w:eastAsia="zh-CN"/>
        </w:rPr>
        <w:t xml:space="preserve"> Serpuidae </w:t>
      </w:r>
      <w:r>
        <w:rPr>
          <w:rFonts w:hint="eastAsia" w:eastAsiaTheme="minorEastAsia"/>
          <w:i w:val="0"/>
          <w:lang w:eastAsia="zh-CN"/>
        </w:rPr>
        <w:t>(</w:t>
      </w:r>
      <w:r>
        <w:rPr>
          <w:rFonts w:eastAsiaTheme="minorEastAsia"/>
          <w:i w:val="0"/>
          <w:lang w:eastAsia="zh-CN"/>
        </w:rPr>
        <w:t xml:space="preserve">the </w:t>
      </w:r>
      <w:r>
        <w:rPr>
          <w:rFonts w:hint="eastAsia" w:eastAsiaTheme="minorEastAsia"/>
          <w:i w:val="0"/>
          <w:lang w:eastAsia="zh-CN"/>
        </w:rPr>
        <w:t xml:space="preserve">common ancestor </w:t>
      </w:r>
      <w:r>
        <w:rPr>
          <w:i w:val="0"/>
          <w:lang w:eastAsia="zh-CN"/>
        </w:rPr>
        <w:t>of sister families</w:t>
      </w:r>
      <w:r>
        <w:rPr>
          <w:rFonts w:hint="eastAsia" w:eastAsiaTheme="minorEastAsia"/>
          <w:i w:val="0"/>
          <w:lang w:eastAsia="zh-CN"/>
        </w:rPr>
        <w:t>)</w:t>
      </w:r>
    </w:p>
    <w:p>
      <w:pPr>
        <w:pStyle w:val="7"/>
        <w:spacing w:before="10"/>
        <w:rPr>
          <w:b/>
          <w:i/>
        </w:rPr>
      </w:pPr>
    </w:p>
    <w:p>
      <w:pPr>
        <w:pStyle w:val="7"/>
        <w:spacing w:line="360" w:lineRule="auto"/>
        <w:ind w:left="120" w:right="1473"/>
        <w:rPr>
          <w:rFonts w:eastAsia="宋体"/>
          <w:lang w:eastAsia="zh-CN"/>
        </w:rPr>
      </w:pPr>
      <w:r>
        <w:t xml:space="preserve">Serpulidae, Sabellidae and Fabriciidae are considered to form a single clade </w:t>
      </w:r>
      <w:r>
        <w:fldChar w:fldCharType="begin"/>
      </w:r>
      <w:r>
        <w:instrText xml:space="preserve"> ADDIN ZOTERO_ITEM CSL_CITATION {"citationID":"wkXHwR6o","properties":{"formattedCitation":"(Weigert and Bleidorn 2016)","plainCitation":"(Weigert and Bleidorn 2016)","noteIndex":0},"citationItems":[{"id":8380,"uris":["http://zotero.org/users/2538668/items/SJ67TIHK"],"uri":["http://zotero.org/users/2538668/items/SJ67TIHK"],"itemData":{"id":8380,"type":"article-journal","abstract":"Annelida is an ecologically and morphologically diverse phylum within the Lophotrochozoa whose members occupy a wide range of environments and show diverse life styles. The phylogeny of this group comprising more than 17,000 species remained controversial for a long time. By using next-generation sequencing and phylogenomic analyses of huge data matrices, it was finally possible to reach a well-supported and resolved annelid backbone tree. Most annelid diversity is comprised in two reciprocal monophyletic groups, Sedentaria and Errantia, which are named after the predominant life style of their members. Errantia include Aciculata (Phyllodocida + Eunicida) and Protodriliformia, which is a taxon of interstitial polychaetes. Sedentaria comprise most of the polychaete families formerly classified as Canalipalpata or Scolecida, as well as the Clitellata. Six taxa branch as a basal grade outside of this major radiation: Oweniidae, Magelonidae, Chaetopteridae, Sipuncula, Amphinomida, and Lobatocerebrum. Oweniidae and Magelonidae form a monophyletic group which we name Palaeoannelida, which constitutes the sister taxon of the remaining annelids. The early splits of annelid phylogeny date back to the Cambrian. The new annelid phylogeny highlights the variability and lability of annelid body plans, and many instances of simplifications of body plan as adaptations to new life styles can be found. Therefore, annelids will be an appropriate model to understand major transitions in the evolution of Bilateria in general. Evolutionary developmental studies are one way to investigate macroevolutionary transition in annelids. We briefly summarize the state of developmental model organisms in Annelida and also propose new candidates on the background of the phylogeny.","container-title":"Organisms Diversity &amp; Evolution","DOI":"10.1007/s13127-016-0265-7","ISSN":"1618-1077","issue":"2","journalAbbreviation":"Org Divers Evol","language":"en","page":"345-362","source":"Springer Link","title":"Current status of annelid phylogeny","URL":"https://doi.org/10.1007/s13127-016-0265-7","volume":"16","author":[{"family":"Weigert","given":"Anne"},{"family":"Bleidorn","given":"Christoph"}],"accessed":{"date-parts":[["2020",11,18]]},"issued":{"date-parts":[["2016",6,1]]}}}],"schema":"https://github.com/citation-style-language/schema/raw/master/csl-citation.json"} </w:instrText>
      </w:r>
      <w:r>
        <w:fldChar w:fldCharType="separate"/>
      </w:r>
      <w:r>
        <w:t>(Weigert and Bleidorn 2016)</w:t>
      </w:r>
      <w:r>
        <w:fldChar w:fldCharType="end"/>
      </w:r>
      <w:r>
        <w:t>. All available Serpulidae species exhibited inverted skews (</w:t>
      </w:r>
      <w:r>
        <w:rPr>
          <w:i/>
        </w:rPr>
        <w:t>Spirobranchus giganteus</w:t>
      </w:r>
      <w:r>
        <w:t xml:space="preserve"> and all available mitochondrial genomes of </w:t>
      </w:r>
      <w:r>
        <w:rPr>
          <w:i/>
          <w:iCs/>
        </w:rPr>
        <w:t>Hydroides</w:t>
      </w:r>
      <w:r>
        <w:t xml:space="preserve">). The only species available for Sabellidae, </w:t>
      </w:r>
      <w:r>
        <w:rPr>
          <w:i/>
        </w:rPr>
        <w:t>Sabella spallanzanii</w:t>
      </w:r>
      <w:r>
        <w:t xml:space="preserve">, also exhibited an inverted skew. However, the only available species for Fabriciidae, </w:t>
      </w:r>
      <w:r>
        <w:rPr>
          <w:i/>
        </w:rPr>
        <w:t>Manayunkia occidentalis</w:t>
      </w:r>
      <w:r>
        <w:t xml:space="preserve">, exhibited a standard GC skew (-0.175). This prevents us from inferring an ORI event for the entire clade. If Fabriciidae is the sister-group to the other two families, the ORI might be mapped to the common ancestor of the two families. </w:t>
      </w:r>
      <w:r>
        <w:rPr>
          <w:rFonts w:hint="eastAsia" w:eastAsiaTheme="minorEastAsia"/>
          <w:lang w:eastAsia="zh-CN"/>
        </w:rPr>
        <w:t xml:space="preserve">Daffe et al. </w:t>
      </w:r>
      <w:r>
        <w:rPr>
          <w:rFonts w:eastAsia="微软雅黑"/>
          <w:color w:val="000000"/>
        </w:rPr>
        <w:t xml:space="preserve">only observed that </w:t>
      </w:r>
      <w:r>
        <w:rPr>
          <w:rFonts w:hint="eastAsia" w:eastAsia="微软雅黑"/>
          <w:color w:val="000000"/>
          <w:lang w:eastAsia="zh-CN"/>
        </w:rPr>
        <w:t>the mito</w:t>
      </w:r>
      <w:r>
        <w:rPr>
          <w:rFonts w:eastAsia="微软雅黑"/>
          <w:color w:val="000000"/>
        </w:rPr>
        <w:t>genome</w:t>
      </w:r>
      <w:r>
        <w:rPr>
          <w:rFonts w:hint="eastAsia" w:eastAsia="微软雅黑"/>
          <w:color w:val="000000"/>
          <w:lang w:eastAsia="zh-CN"/>
        </w:rPr>
        <w:t xml:space="preserve"> of</w:t>
      </w:r>
      <w:r>
        <w:rPr>
          <w:rFonts w:eastAsia="微软雅黑"/>
          <w:color w:val="000000"/>
        </w:rPr>
        <w:t xml:space="preserve"> </w:t>
      </w:r>
      <w:r>
        <w:rPr>
          <w:rFonts w:eastAsia="微软雅黑"/>
          <w:i/>
          <w:iCs/>
          <w:color w:val="000000"/>
        </w:rPr>
        <w:t>S</w:t>
      </w:r>
      <w:r>
        <w:rPr>
          <w:rFonts w:eastAsia="微软雅黑"/>
          <w:i/>
          <w:iCs/>
          <w:color w:val="000000"/>
          <w:lang w:eastAsia="zh-CN"/>
        </w:rPr>
        <w:t>.</w:t>
      </w:r>
      <w:r>
        <w:rPr>
          <w:rFonts w:eastAsia="微软雅黑"/>
          <w:i/>
          <w:iCs/>
          <w:color w:val="000000"/>
        </w:rPr>
        <w:t xml:space="preserve"> spallanzanii</w:t>
      </w:r>
      <w:r>
        <w:rPr>
          <w:rFonts w:eastAsia="微软雅黑"/>
          <w:color w:val="000000"/>
        </w:rPr>
        <w:t xml:space="preserve"> has </w:t>
      </w:r>
      <w:r>
        <w:rPr>
          <w:rFonts w:hint="eastAsia" w:eastAsia="微软雅黑"/>
          <w:color w:val="000000"/>
          <w:lang w:eastAsia="zh-CN"/>
        </w:rPr>
        <w:t xml:space="preserve">a </w:t>
      </w:r>
      <w:r>
        <w:rPr>
          <w:rFonts w:eastAsia="微软雅黑"/>
          <w:color w:val="000000"/>
        </w:rPr>
        <w:t xml:space="preserve">negative GC-Skew and a positive AT-Skew </w:t>
      </w:r>
      <w:r>
        <w:fldChar w:fldCharType="begin"/>
      </w:r>
      <w:r>
        <w:instrText xml:space="preserve"> ADDIN EN.CITE &lt;EndNote&gt;&lt;Cite&gt;&lt;Author&gt;Daffe&lt;/Author&gt;&lt;Year&gt;2021&lt;/Year&gt;&lt;RecNum&gt;18&lt;/RecNum&gt;&lt;DisplayText&gt;[4]&lt;/DisplayText&gt;&lt;record&gt;&lt;rec-number&gt;18&lt;/rec-number&gt;&lt;foreign-keys&gt;&lt;key app="EN" db-id="9wvd5satxtzds3eeefppxpwgpd9fas0p9aaw" timestamp="1645758620"&gt;18&lt;/key&gt;&lt;/foreign-keys&gt;&lt;ref-type name="Journal Article"&gt;17&lt;/ref-type&gt;&lt;contributors&gt;&lt;authors&gt;&lt;author&gt;Guillemine Daffe&lt;/author&gt;&lt;author&gt;Yanan Sun&lt;/author&gt;&lt;author&gt;Shane T Ahyong&lt;/author&gt;&lt;author&gt;Elena K Kupriyanova&lt;/author&gt;&lt;/authors&gt;&lt;/contributors&gt;&lt;titles&gt;&lt;title&gt;Mitochondrial genome of Sabella spallanzanii (Gmelin, 1791)(Sabellida: Sabellidae)&lt;/title&gt;&lt;secondary-title&gt;Mitochondrial DNA Part B&lt;/secondary-title&gt;&lt;/titles&gt;&lt;pages&gt;499-501&lt;/pages&gt;&lt;volume&gt;6&lt;/volume&gt;&lt;number&gt;2&lt;/number&gt;&lt;dates&gt;&lt;year&gt;2021&lt;/year&gt;&lt;/dates&gt;&lt;isbn&gt;2380-2359&lt;/isbn&gt;&lt;urls&gt;&lt;/urls&gt;&lt;electronic-resource-num&gt;https://doi.org/10.1080/23802359.2021.1872431&lt;/electronic-resource-num&gt;&lt;/record&gt;&lt;/Cite&gt;&lt;/EndNote&gt;</w:instrText>
      </w:r>
      <w:r>
        <w:fldChar w:fldCharType="separate"/>
      </w:r>
      <w:r>
        <w:t>[4]</w:t>
      </w:r>
      <w:r>
        <w:fldChar w:fldCharType="end"/>
      </w:r>
      <w:r>
        <w:rPr>
          <w:rFonts w:hint="eastAsia" w:eastAsia="微软雅黑"/>
          <w:color w:val="000000"/>
          <w:lang w:eastAsia="zh-CN"/>
        </w:rPr>
        <w:t>. T</w:t>
      </w:r>
      <w:r>
        <w:rPr>
          <w:rFonts w:eastAsia="微软雅黑"/>
          <w:color w:val="000000"/>
        </w:rPr>
        <w:t xml:space="preserve">he inversed GC skew in the </w:t>
      </w:r>
      <w:r>
        <w:rPr>
          <w:rFonts w:cstheme="minorHAnsi"/>
          <w:szCs w:val="20"/>
          <w:lang w:val="en-GB"/>
        </w:rPr>
        <w:t>mitochondrial ‘majority strand’</w:t>
      </w:r>
      <w:r>
        <w:rPr>
          <w:rFonts w:eastAsia="微软雅黑"/>
          <w:color w:val="000000"/>
        </w:rPr>
        <w:t xml:space="preserve"> was observed in this study. </w:t>
      </w:r>
      <w:r>
        <w:rPr>
          <w:rFonts w:hint="eastAsia"/>
        </w:rPr>
        <w:t>Within the Sedentaria, three lin</w:t>
      </w:r>
      <w:r>
        <w:t>e</w:t>
      </w:r>
      <w:r>
        <w:rPr>
          <w:rFonts w:hint="eastAsia"/>
        </w:rPr>
        <w:t xml:space="preserve">ages exhibit disproportionally highly elevated rates of mitogenomic architecture rearrangements: </w:t>
      </w:r>
      <w:r>
        <w:rPr>
          <w:rFonts w:hint="eastAsia"/>
          <w:i/>
          <w:iCs/>
        </w:rPr>
        <w:t>S. giganteus</w:t>
      </w:r>
      <w:r>
        <w:rPr>
          <w:i/>
          <w:iCs/>
        </w:rPr>
        <w:t xml:space="preserve"> </w:t>
      </w:r>
      <w:r>
        <w:fldChar w:fldCharType="begin"/>
      </w:r>
      <w:r>
        <w:instrText xml:space="preserve"> ADDIN EN.CITE &lt;EndNote&gt;&lt;Cite&gt;&lt;Author&gt;Seixas&lt;/Author&gt;&lt;Year&gt;2017&lt;/Year&gt;&lt;RecNum&gt;196&lt;/RecNum&gt;&lt;DisplayText&gt;[5]&lt;/DisplayText&gt;&lt;record&gt;&lt;rec-number&gt;196&lt;/rec-number&gt;&lt;foreign-keys&gt;&lt;key app="EN" db-id="9wvd5satxtzds3eeefppxpwgpd9fas0p9aaw" timestamp="1649679172"&gt;196&lt;/key&gt;&lt;/foreign-keys&gt;&lt;ref-type name="Journal Article"&gt;17&lt;/ref-type&gt;&lt;contributors&gt;&lt;authors&gt;&lt;author&gt;Victor Corrêa Seixas&lt;/author&gt;&lt;author&gt;Claudia Augusta de Moraes Russo&lt;/author&gt;&lt;author&gt;Paulo Cesar Paiva&lt;/author&gt;&lt;/authors&gt;&lt;/contributors&gt;&lt;titles&gt;&lt;title&gt;Mitochondrial genome of the Christmas tree worm Spirobranchus giganteus (Annelida: Serpulidae) reveals a high substitution rate among annelids&lt;/title&gt;&lt;secondary-title&gt;Gene&lt;/secondary-title&gt;&lt;/titles&gt;&lt;periodical&gt;&lt;full-title&gt;Gene&lt;/full-title&gt;&lt;abbr-1&gt;Gene&lt;/abbr-1&gt;&lt;abbr-2&gt;Gene&lt;/abbr-2&gt;&lt;/periodical&gt;&lt;pages&gt;43-53&lt;/pages&gt;&lt;volume&gt;605&lt;/volume&gt;&lt;dates&gt;&lt;year&gt;2017&lt;/year&gt;&lt;/dates&gt;&lt;isbn&gt;0378-1119&lt;/isbn&gt;&lt;urls&gt;&lt;/urls&gt;&lt;electronic-resource-num&gt;https://doi.org/10.1016/j.gene.2016.12.024&lt;/electronic-resource-num&gt;&lt;/record&gt;&lt;/Cite&gt;&lt;/EndNote&gt;</w:instrText>
      </w:r>
      <w:r>
        <w:fldChar w:fldCharType="separate"/>
      </w:r>
      <w:r>
        <w:t>[5]</w:t>
      </w:r>
      <w:r>
        <w:fldChar w:fldCharType="end"/>
      </w:r>
      <w:r>
        <w:rPr>
          <w:rFonts w:hint="eastAsia"/>
        </w:rPr>
        <w:t xml:space="preserve">, </w:t>
      </w:r>
      <w:r>
        <w:rPr>
          <w:rFonts w:hint="eastAsia"/>
          <w:i/>
          <w:iCs/>
        </w:rPr>
        <w:t>S. spallanzanii</w:t>
      </w:r>
      <w:r>
        <w:rPr>
          <w:rFonts w:hint="eastAsia"/>
        </w:rPr>
        <w:t xml:space="preserve"> </w:t>
      </w:r>
      <w:r>
        <w:fldChar w:fldCharType="begin"/>
      </w:r>
      <w:r>
        <w:instrText xml:space="preserve"> ADDIN EN.CITE &lt;EndNote&gt;&lt;Cite&gt;&lt;Author&gt;Daffe&lt;/Author&gt;&lt;Year&gt;2021&lt;/Year&gt;&lt;RecNum&gt;18&lt;/RecNum&gt;&lt;DisplayText&gt;[4]&lt;/DisplayText&gt;&lt;record&gt;&lt;rec-number&gt;18&lt;/rec-number&gt;&lt;foreign-keys&gt;&lt;key app="EN" db-id="9wvd5satxtzds3eeefppxpwgpd9fas0p9aaw" timestamp="1645758620"&gt;18&lt;/key&gt;&lt;/foreign-keys&gt;&lt;ref-type name="Journal Article"&gt;17&lt;/ref-type&gt;&lt;contributors&gt;&lt;authors&gt;&lt;author&gt;Guillemine Daffe&lt;/author&gt;&lt;author&gt;Yanan Sun&lt;/author&gt;&lt;author&gt;Shane T Ahyong&lt;/author&gt;&lt;author&gt;Elena K Kupriyanova&lt;/author&gt;&lt;/authors&gt;&lt;/contributors&gt;&lt;titles&gt;&lt;title&gt;Mitochondrial genome of Sabella spallanzanii (Gmelin, 1791)(Sabellida: Sabellidae)&lt;/title&gt;&lt;secondary-title&gt;Mitochondrial DNA Part B&lt;/secondary-title&gt;&lt;/titles&gt;&lt;pages&gt;499-501&lt;/pages&gt;&lt;volume&gt;6&lt;/volume&gt;&lt;number&gt;2&lt;/number&gt;&lt;dates&gt;&lt;year&gt;2021&lt;/year&gt;&lt;/dates&gt;&lt;isbn&gt;2380-2359&lt;/isbn&gt;&lt;urls&gt;&lt;/urls&gt;&lt;electronic-resource-num&gt;https://doi.org/10.1080/23802359.2021.1872431&lt;/electronic-resource-num&gt;&lt;/record&gt;&lt;/Cite&gt;&lt;/EndNote&gt;</w:instrText>
      </w:r>
      <w:r>
        <w:fldChar w:fldCharType="separate"/>
      </w:r>
      <w:r>
        <w:t>[4]</w:t>
      </w:r>
      <w:r>
        <w:fldChar w:fldCharType="end"/>
      </w:r>
      <w:r>
        <w:rPr>
          <w:rFonts w:hint="eastAsia"/>
        </w:rPr>
        <w:t xml:space="preserve"> and </w:t>
      </w:r>
      <w:r>
        <w:rPr>
          <w:i/>
        </w:rPr>
        <w:t>Polydora</w:t>
      </w:r>
      <w:r>
        <w:rPr>
          <w:rFonts w:hint="eastAsia" w:eastAsiaTheme="minorEastAsia"/>
          <w:i/>
          <w:lang w:eastAsia="zh-CN"/>
        </w:rPr>
        <w:t xml:space="preserve"> </w:t>
      </w:r>
      <w:r>
        <w:rPr>
          <w:rFonts w:hint="eastAsia" w:eastAsiaTheme="minorEastAsia"/>
          <w:lang w:eastAsia="zh-CN"/>
        </w:rPr>
        <w:t>sp</w:t>
      </w:r>
      <w:r>
        <w:rPr>
          <w:rFonts w:eastAsiaTheme="minorEastAsia"/>
          <w:lang w:eastAsia="zh-CN"/>
        </w:rPr>
        <w:t xml:space="preserve">. </w:t>
      </w:r>
      <w:r>
        <w:rPr>
          <w:rFonts w:eastAsiaTheme="minorEastAsia"/>
          <w:lang w:eastAsia="zh-CN"/>
        </w:rPr>
        <w:fldChar w:fldCharType="begin"/>
      </w:r>
      <w:r>
        <w:rPr>
          <w:rFonts w:eastAsiaTheme="minorEastAsia"/>
          <w:lang w:eastAsia="zh-CN"/>
        </w:rPr>
        <w:instrText xml:space="preserve"> ADDIN EN.CITE &lt;EndNote&gt;&lt;Cite&gt;&lt;Author&gt;Ye&lt;/Author&gt;&lt;Year&gt;2021&lt;/Year&gt;&lt;RecNum&gt;214&lt;/RecNum&gt;&lt;DisplayText&gt;[6]&lt;/DisplayText&gt;&lt;record&gt;&lt;rec-number&gt;214&lt;/rec-number&gt;&lt;foreign-keys&gt;&lt;key app="EN" db-id="9wvd5satxtzds3eeefppxpwgpd9fas0p9aaw" timestamp="1651152714"&gt;214&lt;/key&gt;&lt;/foreign-keys&gt;&lt;ref-type name="Journal Article"&gt;17&lt;/ref-type&gt;&lt;contributors&gt;&lt;authors&gt;&lt;author&gt;Ye, Lingtong&lt;/author&gt;&lt;author&gt;Yao, Tuo&lt;/author&gt;&lt;author&gt;Lu, Jie&lt;/author&gt;&lt;author&gt;Jiang, Jingzhe&lt;/author&gt;&lt;author&gt;Bai, Changming&lt;/author&gt;&lt;/authors&gt;&lt;/contributors&gt;&lt;titles&gt;&lt;title&gt;Mitochondrial genomes of two Polydora (Spionidae) species provide further evidence that mitochondrial architecture in the Sedentaria (Annelida) is not conserved&lt;/title&gt;&lt;secondary-title&gt;Scientific Reports&lt;/secondary-title&gt;&lt;/titles&gt;&lt;periodical&gt;&lt;full-title&gt;Scientific Reports&lt;/full-title&gt;&lt;abbr-1&gt;Sci. Rep.&lt;/abbr-1&gt;&lt;/periodical&gt;&lt;pages&gt;13552&lt;/pages&gt;&lt;volume&gt;11&lt;/volume&gt;&lt;number&gt;1&lt;/number&gt;&lt;dates&gt;&lt;year&gt;2021&lt;/year&gt;&lt;pub-dates&gt;&lt;date&gt;2021/06/30&lt;/date&gt;&lt;/pub-dates&gt;&lt;/dates&gt;&lt;isbn&gt;2045-2322&lt;/isbn&gt;&lt;urls&gt;&lt;related-urls&gt;&lt;url&gt;https://doi.org/10.1038/s41598-021-92994-3&lt;/url&gt;&lt;/related-urls&gt;&lt;/urls&gt;&lt;electronic-resource-num&gt;https://doi.org/10.1038/s41598-021-92994-3&lt;/electronic-resource-num&gt;&lt;/record&gt;&lt;/Cite&gt;&lt;/EndNote&gt;</w:instrText>
      </w:r>
      <w:r>
        <w:rPr>
          <w:rFonts w:eastAsiaTheme="minorEastAsia"/>
          <w:lang w:eastAsia="zh-CN"/>
        </w:rPr>
        <w:fldChar w:fldCharType="separate"/>
      </w:r>
      <w:r>
        <w:rPr>
          <w:rFonts w:eastAsiaTheme="minorEastAsia"/>
          <w:lang w:eastAsia="zh-CN"/>
        </w:rPr>
        <w:t>[6]</w:t>
      </w:r>
      <w:r>
        <w:rPr>
          <w:rFonts w:eastAsiaTheme="minorEastAsia"/>
          <w:lang w:eastAsia="zh-CN"/>
        </w:rPr>
        <w:fldChar w:fldCharType="end"/>
      </w:r>
      <w:r>
        <w:rPr>
          <w:rFonts w:hint="eastAsia"/>
        </w:rPr>
        <w:t>.</w:t>
      </w:r>
      <w:r>
        <w:rPr>
          <w:rFonts w:hint="eastAsia" w:eastAsia="宋体"/>
          <w:lang w:eastAsia="zh-CN"/>
        </w:rPr>
        <w:t xml:space="preserve"> </w:t>
      </w:r>
      <w:r>
        <w:rPr>
          <w:i/>
        </w:rPr>
        <w:t>S.</w:t>
      </w:r>
      <w:r>
        <w:rPr>
          <w:rFonts w:hint="eastAsia" w:eastAsia="宋体"/>
          <w:i/>
          <w:iCs/>
          <w:lang w:eastAsia="zh-CN"/>
        </w:rPr>
        <w:t xml:space="preserve"> giganteus </w:t>
      </w:r>
      <w:r>
        <w:rPr>
          <w:rFonts w:hint="eastAsia" w:eastAsia="宋体"/>
          <w:lang w:eastAsia="zh-CN"/>
        </w:rPr>
        <w:t>exhibited inverted skew and a number of unique evolutionary patterns among the annelids</w:t>
      </w:r>
      <w:r>
        <w:rPr>
          <w:rFonts w:eastAsia="宋体"/>
          <w:lang w:eastAsia="zh-CN"/>
        </w:rPr>
        <w:t xml:space="preserve"> </w:t>
      </w:r>
      <w:r>
        <w:rPr>
          <w:rFonts w:eastAsia="宋体"/>
          <w:lang w:eastAsia="zh-CN"/>
        </w:rPr>
        <w:fldChar w:fldCharType="begin"/>
      </w:r>
      <w:r>
        <w:rPr>
          <w:rFonts w:eastAsia="宋体"/>
          <w:lang w:eastAsia="zh-CN"/>
        </w:rPr>
        <w:instrText xml:space="preserve"> ADDIN EN.CITE &lt;EndNote&gt;&lt;Cite&gt;&lt;Author&gt;Seixas&lt;/Author&gt;&lt;Year&gt;2017&lt;/Year&gt;&lt;RecNum&gt;196&lt;/RecNum&gt;&lt;DisplayText&gt;[5]&lt;/DisplayText&gt;&lt;record&gt;&lt;rec-number&gt;196&lt;/rec-number&gt;&lt;foreign-keys&gt;&lt;key app="EN" db-id="9wvd5satxtzds3eeefppxpwgpd9fas0p9aaw" timestamp="1649679172"&gt;196&lt;/key&gt;&lt;/foreign-keys&gt;&lt;ref-type name="Journal Article"&gt;17&lt;/ref-type&gt;&lt;contributors&gt;&lt;authors&gt;&lt;author&gt;Victor Corrêa Seixas&lt;/author&gt;&lt;author&gt;Claudia Augusta de Moraes Russo&lt;/author&gt;&lt;author&gt;Paulo Cesar Paiva&lt;/author&gt;&lt;/authors&gt;&lt;/contributors&gt;&lt;titles&gt;&lt;title&gt;Mitochondrial genome of the Christmas tree worm Spirobranchus giganteus (Annelida: Serpulidae) reveals a high substitution rate among annelids&lt;/title&gt;&lt;secondary-title&gt;Gene&lt;/secondary-title&gt;&lt;/titles&gt;&lt;periodical&gt;&lt;full-title&gt;Gene&lt;/full-title&gt;&lt;abbr-1&gt;Gene&lt;/abbr-1&gt;&lt;abbr-2&gt;Gene&lt;/abbr-2&gt;&lt;/periodical&gt;&lt;pages&gt;43-53&lt;/pages&gt;&lt;volume&gt;605&lt;/volume&gt;&lt;dates&gt;&lt;year&gt;2017&lt;/year&gt;&lt;/dates&gt;&lt;isbn&gt;0378-1119&lt;/isbn&gt;&lt;urls&gt;&lt;/urls&gt;&lt;electronic-resource-num&gt;https://doi.org/10.1016/j.gene.2016.12.024&lt;/electronic-resource-num&gt;&lt;/record&gt;&lt;/Cite&gt;&lt;/EndNote&gt;</w:instrText>
      </w:r>
      <w:r>
        <w:rPr>
          <w:rFonts w:eastAsia="宋体"/>
          <w:lang w:eastAsia="zh-CN"/>
        </w:rPr>
        <w:fldChar w:fldCharType="separate"/>
      </w:r>
      <w:r>
        <w:rPr>
          <w:rFonts w:eastAsia="宋体"/>
          <w:lang w:eastAsia="zh-CN"/>
        </w:rPr>
        <w:t>[5]</w:t>
      </w:r>
      <w:r>
        <w:rPr>
          <w:rFonts w:eastAsia="宋体"/>
          <w:lang w:eastAsia="zh-CN"/>
        </w:rPr>
        <w:fldChar w:fldCharType="end"/>
      </w:r>
      <w:r>
        <w:rPr>
          <w:rFonts w:hint="eastAsia" w:eastAsia="宋体"/>
          <w:lang w:eastAsia="zh-CN"/>
        </w:rPr>
        <w:t xml:space="preserve">. In </w:t>
      </w:r>
      <w:r>
        <w:rPr>
          <w:rFonts w:hint="eastAsia"/>
        </w:rPr>
        <w:t>Sabellidae and Serpuidae</w:t>
      </w:r>
      <w:r>
        <w:rPr>
          <w:rFonts w:hint="eastAsia" w:eastAsia="宋体"/>
          <w:lang w:eastAsia="zh-CN"/>
        </w:rPr>
        <w:t xml:space="preserve">, the control region was located between </w:t>
      </w:r>
      <w:r>
        <w:rPr>
          <w:rFonts w:eastAsia="宋体"/>
          <w:i/>
          <w:lang w:eastAsia="zh-CN"/>
        </w:rPr>
        <w:t>trnH</w:t>
      </w:r>
      <w:r>
        <w:rPr>
          <w:rFonts w:hint="eastAsia" w:eastAsia="宋体"/>
          <w:lang w:eastAsia="zh-CN"/>
        </w:rPr>
        <w:t xml:space="preserve"> and </w:t>
      </w:r>
      <w:r>
        <w:rPr>
          <w:rFonts w:eastAsia="宋体"/>
          <w:i/>
          <w:lang w:eastAsia="zh-CN"/>
        </w:rPr>
        <w:t>trnR</w:t>
      </w:r>
      <w:r>
        <w:rPr>
          <w:rFonts w:eastAsia="宋体"/>
          <w:lang w:eastAsia="zh-CN"/>
        </w:rPr>
        <w:t xml:space="preserve"> </w:t>
      </w:r>
      <w:r>
        <w:rPr>
          <w:rFonts w:eastAsia="宋体"/>
          <w:lang w:eastAsia="zh-CN"/>
        </w:rPr>
        <w:fldChar w:fldCharType="begin"/>
      </w:r>
      <w:r>
        <w:rPr>
          <w:rFonts w:eastAsia="宋体"/>
          <w:lang w:eastAsia="zh-CN"/>
        </w:rPr>
        <w:instrText xml:space="preserve"> ADDIN EN.CITE &lt;EndNote&gt;&lt;Cite&gt;&lt;Author&gt;Patra&lt;/Author&gt;&lt;Year&gt;2016&lt;/Year&gt;&lt;RecNum&gt;47&lt;/RecNum&gt;&lt;DisplayText&gt;[7]&lt;/DisplayText&gt;&lt;record&gt;&lt;rec-number&gt;47&lt;/rec-number&gt;&lt;foreign-keys&gt;&lt;key app="EN" db-id="9wvd5satxtzds3eeefppxpwgpd9fas0p9aaw" timestamp="1645758620"&gt;47&lt;/key&gt;&lt;/foreign-keys&gt;&lt;ref-type name="Journal Article"&gt;17&lt;/ref-type&gt;&lt;contributors&gt;&lt;authors&gt;&lt;author&gt;Ajit Kumar Patra&lt;/author&gt;&lt;author&gt;Yong Min Kwon&lt;/author&gt;&lt;author&gt;Sung Gyun Kang&lt;/author&gt;&lt;author&gt;Yoshihiro Fujiwara&lt;/author&gt;&lt;author&gt;Sang-Jin Kim&lt;/author&gt;&lt;/authors&gt;&lt;/contributors&gt;&lt;titles&gt;&lt;title&gt;The complete mitochondrial genome sequence of the tubeworm Lamellibrachia satsuma and structural conservation in the mitochondrial genome control regions of Order Sabellida&lt;/title&gt;&lt;secondary-title&gt;Marine Genomics&lt;/secondary-title&gt;&lt;/titles&gt;&lt;pages&gt;63-71&lt;/pages&gt;&lt;volume&gt;26&lt;/volume&gt;&lt;dates&gt;&lt;year&gt;2016&lt;/year&gt;&lt;/dates&gt;&lt;isbn&gt;1874-7787&lt;/isbn&gt;&lt;urls&gt;&lt;/urls&gt;&lt;electronic-resource-num&gt;https://doi.org/10.1016/j.margen.2015.12.010&lt;/electronic-resource-num&gt;&lt;/record&gt;&lt;/Cite&gt;&lt;/EndNote&gt;</w:instrText>
      </w:r>
      <w:r>
        <w:rPr>
          <w:rFonts w:eastAsia="宋体"/>
          <w:lang w:eastAsia="zh-CN"/>
        </w:rPr>
        <w:fldChar w:fldCharType="separate"/>
      </w:r>
      <w:r>
        <w:rPr>
          <w:rFonts w:eastAsia="宋体"/>
          <w:lang w:eastAsia="zh-CN"/>
        </w:rPr>
        <w:t>[7]</w:t>
      </w:r>
      <w:r>
        <w:rPr>
          <w:rFonts w:eastAsia="宋体"/>
          <w:lang w:eastAsia="zh-CN"/>
        </w:rPr>
        <w:fldChar w:fldCharType="end"/>
      </w:r>
      <w:r>
        <w:rPr>
          <w:rFonts w:hint="eastAsia" w:eastAsia="宋体"/>
          <w:lang w:eastAsia="zh-CN"/>
        </w:rPr>
        <w:t xml:space="preserve">. </w:t>
      </w:r>
      <w:r>
        <w:rPr>
          <w:rFonts w:hint="eastAsia" w:eastAsia="宋体"/>
          <w:i/>
          <w:iCs/>
          <w:lang w:eastAsia="zh-CN"/>
        </w:rPr>
        <w:t>S</w:t>
      </w:r>
      <w:r>
        <w:rPr>
          <w:rFonts w:eastAsia="宋体"/>
          <w:i/>
          <w:iCs/>
          <w:lang w:eastAsia="zh-CN"/>
        </w:rPr>
        <w:t>.</w:t>
      </w:r>
      <w:r>
        <w:rPr>
          <w:rFonts w:hint="eastAsia" w:eastAsia="宋体"/>
          <w:i/>
          <w:iCs/>
          <w:lang w:eastAsia="zh-CN"/>
        </w:rPr>
        <w:t xml:space="preserve"> spallanzanii</w:t>
      </w:r>
      <w:r>
        <w:rPr>
          <w:rFonts w:hint="eastAsia" w:eastAsia="宋体"/>
          <w:lang w:eastAsia="zh-CN"/>
        </w:rPr>
        <w:t xml:space="preserve"> shows multiple deviations from the putative annelid gene order ground pattern. </w:t>
      </w:r>
      <w:r>
        <w:rPr>
          <w:rFonts w:eastAsia="宋体"/>
          <w:lang w:eastAsia="zh-CN"/>
        </w:rPr>
        <w:t>I</w:t>
      </w:r>
      <w:r>
        <w:rPr>
          <w:rFonts w:hint="eastAsia" w:eastAsia="宋体"/>
          <w:lang w:eastAsia="zh-CN"/>
        </w:rPr>
        <w:t xml:space="preserve">n other annelid mitochondrial genomes, all genes are encoded on the positive strand, except for some tRNAs in </w:t>
      </w:r>
      <w:r>
        <w:rPr>
          <w:rFonts w:hint="eastAsia" w:eastAsia="宋体"/>
          <w:i/>
          <w:iCs/>
          <w:lang w:eastAsia="zh-CN"/>
        </w:rPr>
        <w:t>Owenia fusiformis</w:t>
      </w:r>
      <w:r>
        <w:rPr>
          <w:rFonts w:hint="eastAsia" w:eastAsia="宋体"/>
          <w:lang w:eastAsia="zh-CN"/>
        </w:rPr>
        <w:t xml:space="preserve">, </w:t>
      </w:r>
      <w:r>
        <w:rPr>
          <w:rFonts w:hint="eastAsia" w:eastAsia="宋体"/>
          <w:i/>
          <w:iCs/>
          <w:lang w:eastAsia="zh-CN"/>
        </w:rPr>
        <w:t>Magelona mirabilis</w:t>
      </w:r>
      <w:r>
        <w:rPr>
          <w:rFonts w:hint="eastAsia" w:eastAsia="宋体"/>
          <w:lang w:eastAsia="zh-CN"/>
        </w:rPr>
        <w:t xml:space="preserve"> </w:t>
      </w:r>
      <w:r>
        <w:rPr>
          <w:rFonts w:eastAsia="宋体"/>
          <w:lang w:eastAsia="zh-CN"/>
        </w:rPr>
        <w:fldChar w:fldCharType="begin"/>
      </w:r>
      <w:r>
        <w:rPr>
          <w:rFonts w:eastAsia="宋体"/>
          <w:lang w:eastAsia="zh-CN"/>
        </w:rPr>
        <w:instrText xml:space="preserve"> ADDIN EN.CITE &lt;EndNote&gt;&lt;Cite&gt;&lt;Author&gt;Weigert&lt;/Author&gt;&lt;Year&gt;2016&lt;/Year&gt;&lt;RecNum&gt;75&lt;/RecNum&gt;&lt;DisplayText&gt;[8]&lt;/DisplayText&gt;&lt;record&gt;&lt;rec-number&gt;75&lt;/rec-number&gt;&lt;foreign-keys&gt;&lt;key app="EN" db-id="9wvd5satxtzds3eeefppxpwgpd9fas0p9aaw" timestamp="1645758620"&gt;75&lt;/key&gt;&lt;/foreign-keys&gt;&lt;ref-type name="Journal Article"&gt;17&lt;/ref-type&gt;&lt;contributors&gt;&lt;authors&gt;&lt;author&gt;Anne Weigert&lt;/author&gt;&lt;author&gt;Anja Golombek&lt;/author&gt;&lt;author&gt;Michael Gerth&lt;/author&gt;&lt;author&gt;Francine Schwarz&lt;/author&gt;&lt;author&gt;Torsten H Struck&lt;/author&gt;&lt;author&gt;Christoph Bleidorn&lt;/author&gt;&lt;/authors&gt;&lt;/contributors&gt;&lt;titles&gt;&lt;title&gt;Evolution of mitochondrial gene order in Annelida&lt;/title&gt;&lt;secondary-title&gt;Molecular Phylogenetics Evolution&lt;/secondary-title&gt;&lt;/titles&gt;&lt;periodical&gt;&lt;full-title&gt;Molecular Phylogenetics Evolution&lt;/full-title&gt;&lt;abbr-1&gt;Mol. Phylogenet. Evol.&lt;/abbr-1&gt;&lt;/periodical&gt;&lt;pages&gt;196-206&lt;/pages&gt;&lt;volume&gt;94&lt;/volume&gt;&lt;dates&gt;&lt;year&gt;2016&lt;/year&gt;&lt;/dates&gt;&lt;isbn&gt;1055-7903&lt;/isbn&gt;&lt;urls&gt;&lt;/urls&gt;&lt;electronic-resource-num&gt;https://doi.org/10.1016/j.ympev.2015.08.008&lt;/electronic-resource-num&gt;&lt;/record&gt;&lt;/Cite&gt;&lt;/EndNote&gt;</w:instrText>
      </w:r>
      <w:r>
        <w:rPr>
          <w:rFonts w:eastAsia="宋体"/>
          <w:lang w:eastAsia="zh-CN"/>
        </w:rPr>
        <w:fldChar w:fldCharType="separate"/>
      </w:r>
      <w:r>
        <w:rPr>
          <w:rFonts w:eastAsia="宋体"/>
          <w:lang w:eastAsia="zh-CN"/>
        </w:rPr>
        <w:t>[8]</w:t>
      </w:r>
      <w:r>
        <w:rPr>
          <w:rFonts w:eastAsia="宋体"/>
          <w:lang w:eastAsia="zh-CN"/>
        </w:rPr>
        <w:fldChar w:fldCharType="end"/>
      </w:r>
      <w:r>
        <w:rPr>
          <w:rFonts w:hint="eastAsia" w:eastAsia="宋体"/>
          <w:lang w:eastAsia="zh-CN"/>
        </w:rPr>
        <w:t xml:space="preserve">, and </w:t>
      </w:r>
      <w:r>
        <w:rPr>
          <w:rFonts w:hint="eastAsia" w:eastAsia="宋体"/>
          <w:i/>
          <w:iCs/>
          <w:lang w:eastAsia="zh-CN"/>
        </w:rPr>
        <w:t>Laeonereis culveri</w:t>
      </w:r>
      <w:r>
        <w:rPr>
          <w:rFonts w:hint="eastAsia" w:eastAsia="宋体"/>
          <w:lang w:eastAsia="zh-CN"/>
        </w:rPr>
        <w:t xml:space="preserve"> </w:t>
      </w:r>
      <w:r>
        <w:rPr>
          <w:rFonts w:eastAsia="宋体"/>
          <w:lang w:eastAsia="zh-CN"/>
        </w:rPr>
        <w:fldChar w:fldCharType="begin"/>
      </w:r>
      <w:r>
        <w:rPr>
          <w:rFonts w:eastAsia="宋体"/>
          <w:lang w:eastAsia="zh-CN"/>
        </w:rPr>
        <w:instrText xml:space="preserve"> ADDIN EN.CITE &lt;EndNote&gt;&lt;Cite&gt;&lt;Author&gt;Seixas&lt;/Author&gt;&lt;Year&gt;2016&lt;/Year&gt;&lt;RecNum&gt;62&lt;/RecNum&gt;&lt;DisplayText&gt;[9]&lt;/DisplayText&gt;&lt;record&gt;&lt;rec-number&gt;62&lt;/rec-number&gt;&lt;foreign-keys&gt;&lt;key app="EN" db-id="9wvd5satxtzds3eeefppxpwgpd9fas0p9aaw" timestamp="1645758620"&gt;62&lt;/key&gt;&lt;/foreign-keys&gt;&lt;ref-type name="Journal Article"&gt;17&lt;/ref-type&gt;&lt;contributors&gt;&lt;authors&gt;&lt;author&gt;Victor Corrêa Seixas&lt;/author&gt;&lt;author&gt;Paulo Cesar Paiva&lt;/author&gt;&lt;author&gt;Claudia Augusta de Moraes Russo&lt;/author&gt;&lt;/authors&gt;&lt;/contributors&gt;&lt;titles&gt;&lt;title&gt;Complete mitochondrial genomes are not necessarily more informative than individual mitochondrial genes to recover a well-established annelid phylogeny&lt;/title&gt;&lt;secondary-title&gt;Gene Reports&lt;/secondary-title&gt;&lt;/titles&gt;&lt;pages&gt;10-17&lt;/pages&gt;&lt;volume&gt;5&lt;/volume&gt;&lt;dates&gt;&lt;year&gt;2016&lt;/year&gt;&lt;/dates&gt;&lt;isbn&gt;2452-0144&lt;/isbn&gt;&lt;urls&gt;&lt;/urls&gt;&lt;electronic-resource-num&gt;https://doi.org/10.1016/j.genrep.2016.07.011&lt;/electronic-resource-num&gt;&lt;/record&gt;&lt;/Cite&gt;&lt;/EndNote&gt;</w:instrText>
      </w:r>
      <w:r>
        <w:rPr>
          <w:rFonts w:eastAsia="宋体"/>
          <w:lang w:eastAsia="zh-CN"/>
        </w:rPr>
        <w:fldChar w:fldCharType="separate"/>
      </w:r>
      <w:r>
        <w:rPr>
          <w:rFonts w:eastAsia="宋体"/>
          <w:lang w:eastAsia="zh-CN"/>
        </w:rPr>
        <w:t>[9]</w:t>
      </w:r>
      <w:r>
        <w:rPr>
          <w:rFonts w:eastAsia="宋体"/>
          <w:lang w:eastAsia="zh-CN"/>
        </w:rPr>
        <w:fldChar w:fldCharType="end"/>
      </w:r>
      <w:r>
        <w:rPr>
          <w:rFonts w:hint="eastAsia" w:eastAsia="宋体"/>
          <w:lang w:eastAsia="zh-CN"/>
        </w:rPr>
        <w:t>. Therefo</w:t>
      </w:r>
      <w:r>
        <w:rPr>
          <w:rFonts w:eastAsia="宋体"/>
          <w:lang w:eastAsia="zh-CN"/>
        </w:rPr>
        <w:t>r</w:t>
      </w:r>
      <w:r>
        <w:rPr>
          <w:rFonts w:hint="eastAsia" w:eastAsia="宋体"/>
          <w:lang w:eastAsia="zh-CN"/>
        </w:rPr>
        <w:t xml:space="preserve">e, genes </w:t>
      </w:r>
      <w:bookmarkStart w:id="9" w:name="_Hlk101125668"/>
      <w:r>
        <w:rPr>
          <w:rFonts w:eastAsia="宋体"/>
          <w:lang w:eastAsia="zh-CN"/>
        </w:rPr>
        <w:t>e</w:t>
      </w:r>
      <w:r>
        <w:rPr>
          <w:rFonts w:hint="eastAsia" w:eastAsia="宋体"/>
          <w:lang w:eastAsia="zh-CN"/>
        </w:rPr>
        <w:t xml:space="preserve">ncoded on the negative strand are </w:t>
      </w:r>
      <w:r>
        <w:rPr>
          <w:rFonts w:eastAsia="宋体"/>
          <w:lang w:eastAsia="zh-CN"/>
        </w:rPr>
        <w:t xml:space="preserve">an </w:t>
      </w:r>
      <w:r>
        <w:rPr>
          <w:rFonts w:hint="eastAsia" w:eastAsia="宋体"/>
          <w:lang w:eastAsia="zh-CN"/>
        </w:rPr>
        <w:t xml:space="preserve">unusual feature of </w:t>
      </w:r>
      <w:r>
        <w:rPr>
          <w:rFonts w:hint="eastAsia" w:eastAsia="宋体"/>
          <w:i/>
          <w:iCs/>
          <w:lang w:eastAsia="zh-CN"/>
        </w:rPr>
        <w:t>S. spallanzanii</w:t>
      </w:r>
      <w:r>
        <w:rPr>
          <w:rFonts w:hint="eastAsia" w:eastAsia="宋体"/>
          <w:lang w:eastAsia="zh-CN"/>
        </w:rPr>
        <w:t xml:space="preserve">. </w:t>
      </w:r>
      <w:bookmarkEnd w:id="9"/>
      <w:r>
        <w:rPr>
          <w:rFonts w:hint="eastAsia" w:eastAsia="宋体"/>
          <w:lang w:eastAsia="zh-CN"/>
        </w:rPr>
        <w:t xml:space="preserve">The mitochondrial genomes of </w:t>
      </w:r>
      <w:r>
        <w:rPr>
          <w:rFonts w:eastAsia="宋体"/>
          <w:i/>
          <w:lang w:eastAsia="zh-CN"/>
        </w:rPr>
        <w:t>Hydroides</w:t>
      </w:r>
      <w:r>
        <w:rPr>
          <w:rFonts w:hint="eastAsia" w:eastAsia="宋体"/>
          <w:lang w:eastAsia="zh-CN"/>
        </w:rPr>
        <w:t xml:space="preserve"> spp. exhibited a highly positive GC skew and a negative AT skew. This was previously observed only in the mitochondrial genome of </w:t>
      </w:r>
      <w:r>
        <w:rPr>
          <w:rFonts w:hint="eastAsia" w:eastAsia="宋体"/>
          <w:i/>
          <w:iCs/>
          <w:lang w:eastAsia="zh-CN"/>
        </w:rPr>
        <w:t>S. giganteus</w:t>
      </w:r>
      <w:r>
        <w:rPr>
          <w:rFonts w:eastAsia="宋体"/>
          <w:iCs/>
          <w:lang w:eastAsia="zh-CN"/>
        </w:rPr>
        <w:t xml:space="preserve"> </w:t>
      </w:r>
      <w:r>
        <w:rPr>
          <w:rFonts w:eastAsia="宋体"/>
          <w:lang w:eastAsia="zh-CN"/>
        </w:rPr>
        <w:fldChar w:fldCharType="begin"/>
      </w:r>
      <w:r>
        <w:rPr>
          <w:rFonts w:eastAsia="宋体"/>
          <w:lang w:eastAsia="zh-CN"/>
        </w:rPr>
        <w:instrText xml:space="preserve"> ADDIN EN.CITE &lt;EndNote&gt;&lt;Cite&gt;&lt;Author&gt;Sun&lt;/Author&gt;&lt;Year&gt;2021&lt;/Year&gt;&lt;RecNum&gt;66&lt;/RecNum&gt;&lt;DisplayText&gt;[10]&lt;/DisplayText&gt;&lt;record&gt;&lt;rec-number&gt;66&lt;/rec-number&gt;&lt;foreign-keys&gt;&lt;key app="EN" db-id="9wvd5satxtzds3eeefppxpwgpd9fas0p9aaw" timestamp="1645758620"&gt;66&lt;/key&gt;&lt;/foreign-keys&gt;&lt;ref-type name="Journal Article"&gt;17&lt;/ref-type&gt;&lt;contributors&gt;&lt;authors&gt;&lt;author&gt;Yanan Sun&lt;/author&gt;&lt;author&gt;Guillemine Daffe&lt;/author&gt;&lt;author&gt;Yanjie Zhang&lt;/author&gt;&lt;author&gt;Joan Pons&lt;/author&gt;&lt;author&gt;Jian-Wen Qiu&lt;/author&gt;&lt;author&gt;Elena K Kupriyanova&lt;/author&gt;&lt;/authors&gt;&lt;/contributors&gt;&lt;titles&gt;&lt;title&gt;Another blow to the conserved gene order in Annelida: Evidence from mitochondrial genomes of the calcareous tubeworm genus Hydroides&lt;/title&gt;&lt;secondary-title&gt;Molecular Phylogenetics Evolution&lt;/secondary-title&gt;&lt;/titles&gt;&lt;periodical&gt;&lt;full-title&gt;Molecular Phylogenetics Evolution&lt;/full-title&gt;&lt;abbr-1&gt;Mol. Phylogenet. Evol.&lt;/abbr-1&gt;&lt;/periodical&gt;&lt;pages&gt;107124&lt;/pages&gt;&lt;volume&gt;160&lt;/volume&gt;&lt;dates&gt;&lt;year&gt;2021&lt;/year&gt;&lt;/dates&gt;&lt;isbn&gt;1055-7903&lt;/isbn&gt;&lt;urls&gt;&lt;/urls&gt;&lt;electronic-resource-num&gt;https://doi.org/10.1016/j.ympev.2021.107124&lt;/electronic-resource-num&gt;&lt;/record&gt;&lt;/Cite&gt;&lt;/EndNote&gt;</w:instrText>
      </w:r>
      <w:r>
        <w:rPr>
          <w:rFonts w:eastAsia="宋体"/>
          <w:lang w:eastAsia="zh-CN"/>
        </w:rPr>
        <w:fldChar w:fldCharType="separate"/>
      </w:r>
      <w:r>
        <w:rPr>
          <w:rFonts w:eastAsia="宋体"/>
          <w:lang w:eastAsia="zh-CN"/>
        </w:rPr>
        <w:t>[10]</w:t>
      </w:r>
      <w:r>
        <w:rPr>
          <w:rFonts w:eastAsia="宋体"/>
          <w:lang w:eastAsia="zh-CN"/>
        </w:rPr>
        <w:fldChar w:fldCharType="end"/>
      </w:r>
      <w:r>
        <w:rPr>
          <w:rFonts w:hint="eastAsia" w:eastAsia="宋体"/>
          <w:lang w:eastAsia="zh-CN"/>
        </w:rPr>
        <w:t xml:space="preserve">. The </w:t>
      </w:r>
      <w:r>
        <w:rPr>
          <w:rFonts w:hint="eastAsia" w:eastAsia="宋体"/>
          <w:i/>
          <w:iCs/>
          <w:lang w:eastAsia="zh-CN"/>
        </w:rPr>
        <w:t>S. spallanzanii</w:t>
      </w:r>
      <w:r>
        <w:rPr>
          <w:rFonts w:hint="eastAsia" w:eastAsia="宋体"/>
          <w:lang w:eastAsia="zh-CN"/>
        </w:rPr>
        <w:t xml:space="preserve"> mitogenome differs from that of </w:t>
      </w:r>
      <w:r>
        <w:rPr>
          <w:rFonts w:hint="eastAsia" w:eastAsia="宋体"/>
          <w:i/>
          <w:iCs/>
          <w:lang w:eastAsia="zh-CN"/>
        </w:rPr>
        <w:t>S.</w:t>
      </w:r>
      <w:r>
        <w:rPr>
          <w:rFonts w:eastAsia="宋体"/>
          <w:i/>
          <w:iCs/>
          <w:lang w:eastAsia="zh-CN"/>
        </w:rPr>
        <w:t xml:space="preserve"> </w:t>
      </w:r>
      <w:r>
        <w:rPr>
          <w:rFonts w:hint="eastAsia" w:eastAsia="宋体"/>
          <w:i/>
          <w:iCs/>
          <w:lang w:eastAsia="zh-CN"/>
        </w:rPr>
        <w:t>giganteus</w:t>
      </w:r>
      <w:r>
        <w:rPr>
          <w:rFonts w:hint="eastAsia" w:eastAsia="宋体"/>
          <w:lang w:eastAsia="zh-CN"/>
        </w:rPr>
        <w:t xml:space="preserve"> where gene order is remarkably divergent from those of other annelid lineages</w:t>
      </w:r>
      <w:r>
        <w:rPr>
          <w:rFonts w:eastAsia="宋体"/>
          <w:lang w:eastAsia="zh-CN"/>
        </w:rPr>
        <w:t xml:space="preserve"> </w:t>
      </w:r>
      <w:r>
        <w:rPr>
          <w:rFonts w:eastAsia="宋体"/>
          <w:lang w:eastAsia="zh-CN"/>
        </w:rPr>
        <w:fldChar w:fldCharType="begin"/>
      </w:r>
      <w:r>
        <w:rPr>
          <w:rFonts w:eastAsia="宋体"/>
          <w:lang w:eastAsia="zh-CN"/>
        </w:rPr>
        <w:instrText xml:space="preserve"> ADDIN EN.CITE &lt;EndNote&gt;&lt;Cite&gt;&lt;Author&gt;Seixas&lt;/Author&gt;&lt;Year&gt;2017&lt;/Year&gt;&lt;RecNum&gt;196&lt;/RecNum&gt;&lt;DisplayText&gt;[5]&lt;/DisplayText&gt;&lt;record&gt;&lt;rec-number&gt;196&lt;/rec-number&gt;&lt;foreign-keys&gt;&lt;key app="EN" db-id="9wvd5satxtzds3eeefppxpwgpd9fas0p9aaw" timestamp="1649679172"&gt;196&lt;/key&gt;&lt;/foreign-keys&gt;&lt;ref-type name="Journal Article"&gt;17&lt;/ref-type&gt;&lt;contributors&gt;&lt;authors&gt;&lt;author&gt;Victor Corrêa Seixas&lt;/author&gt;&lt;author&gt;Claudia Augusta de Moraes Russo&lt;/author&gt;&lt;author&gt;Paulo Cesar Paiva&lt;/author&gt;&lt;/authors&gt;&lt;/contributors&gt;&lt;titles&gt;&lt;title&gt;Mitochondrial genome of the Christmas tree worm Spirobranchus giganteus (Annelida: Serpulidae) reveals a high substitution rate among annelids&lt;/title&gt;&lt;secondary-title&gt;Gene&lt;/secondary-title&gt;&lt;/titles&gt;&lt;periodical&gt;&lt;full-title&gt;Gene&lt;/full-title&gt;&lt;abbr-1&gt;Gene&lt;/abbr-1&gt;&lt;abbr-2&gt;Gene&lt;/abbr-2&gt;&lt;/periodical&gt;&lt;pages&gt;43-53&lt;/pages&gt;&lt;volume&gt;605&lt;/volume&gt;&lt;dates&gt;&lt;year&gt;2017&lt;/year&gt;&lt;/dates&gt;&lt;isbn&gt;0378-1119&lt;/isbn&gt;&lt;urls&gt;&lt;/urls&gt;&lt;electronic-resource-num&gt;https://doi.org/10.1016/j.gene.2016.12.024&lt;/electronic-resource-num&gt;&lt;/record&gt;&lt;/Cite&gt;&lt;/EndNote&gt;</w:instrText>
      </w:r>
      <w:r>
        <w:rPr>
          <w:rFonts w:eastAsia="宋体"/>
          <w:lang w:eastAsia="zh-CN"/>
        </w:rPr>
        <w:fldChar w:fldCharType="separate"/>
      </w:r>
      <w:r>
        <w:rPr>
          <w:rFonts w:eastAsia="宋体"/>
          <w:lang w:eastAsia="zh-CN"/>
        </w:rPr>
        <w:t>[5]</w:t>
      </w:r>
      <w:r>
        <w:rPr>
          <w:rFonts w:eastAsia="宋体"/>
          <w:lang w:eastAsia="zh-CN"/>
        </w:rPr>
        <w:fldChar w:fldCharType="end"/>
      </w:r>
      <w:r>
        <w:rPr>
          <w:rFonts w:hint="eastAsia" w:eastAsia="宋体"/>
          <w:lang w:eastAsia="zh-CN"/>
        </w:rPr>
        <w:t>. Conserved motifs were identified mainly on the minus strand, however, o</w:t>
      </w:r>
      <w:r>
        <w:rPr>
          <w:rFonts w:hint="eastAsia"/>
          <w:lang w:eastAsia="zh-CN"/>
        </w:rPr>
        <w:t xml:space="preserve">nly </w:t>
      </w:r>
      <w:r>
        <w:rPr>
          <w:rFonts w:hint="eastAsia" w:eastAsiaTheme="minorEastAsia"/>
          <w:lang w:eastAsia="zh-CN"/>
        </w:rPr>
        <w:t xml:space="preserve">the </w:t>
      </w:r>
      <w:r>
        <w:rPr>
          <w:rFonts w:hint="eastAsia"/>
          <w:lang w:eastAsia="zh-CN"/>
        </w:rPr>
        <w:t xml:space="preserve">conserved motif 4 was identified on the </w:t>
      </w:r>
      <w:r>
        <w:rPr>
          <w:rFonts w:hint="eastAsia" w:eastAsiaTheme="minorEastAsia"/>
          <w:lang w:eastAsia="zh-CN"/>
        </w:rPr>
        <w:t>plus</w:t>
      </w:r>
      <w:r>
        <w:rPr>
          <w:rFonts w:hint="eastAsia"/>
          <w:lang w:eastAsia="zh-CN"/>
        </w:rPr>
        <w:t xml:space="preserve"> strand for </w:t>
      </w:r>
      <w:r>
        <w:rPr>
          <w:rFonts w:hint="eastAsia" w:eastAsia="宋体"/>
          <w:i/>
          <w:iCs/>
          <w:lang w:eastAsia="zh-CN"/>
        </w:rPr>
        <w:t>Hydroides norvegica</w:t>
      </w:r>
      <w:r>
        <w:rPr>
          <w:rFonts w:hint="eastAsia" w:eastAsia="宋体"/>
          <w:lang w:eastAsia="zh-CN"/>
        </w:rPr>
        <w:t xml:space="preserve">. </w:t>
      </w:r>
    </w:p>
    <w:p>
      <w:pPr>
        <w:pStyle w:val="7"/>
        <w:ind w:left="156"/>
        <w:rPr>
          <w:sz w:val="20"/>
        </w:rPr>
      </w:pPr>
    </w:p>
    <w:p>
      <w:pPr>
        <w:pStyle w:val="7"/>
        <w:spacing w:before="8"/>
        <w:rPr>
          <w:sz w:val="29"/>
        </w:rPr>
      </w:pPr>
      <w:r>
        <w:rPr>
          <w:lang w:val="en-GB" w:eastAsia="zh-CN"/>
        </w:rPr>
        <w:drawing>
          <wp:inline distT="0" distB="0" distL="114300" distR="114300">
            <wp:extent cx="6291580" cy="627380"/>
            <wp:effectExtent l="0" t="0" r="2540" b="12700"/>
            <wp:docPr id="1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8"/>
                    <pic:cNvPicPr>
                      <a:picLocks noChangeAspect="1"/>
                    </pic:cNvPicPr>
                  </pic:nvPicPr>
                  <pic:blipFill>
                    <a:blip r:embed="rId8"/>
                    <a:stretch>
                      <a:fillRect/>
                    </a:stretch>
                  </pic:blipFill>
                  <pic:spPr>
                    <a:xfrm>
                      <a:off x="0" y="0"/>
                      <a:ext cx="6291580" cy="627380"/>
                    </a:xfrm>
                    <a:prstGeom prst="rect">
                      <a:avLst/>
                    </a:prstGeom>
                    <a:noFill/>
                    <a:ln>
                      <a:noFill/>
                    </a:ln>
                  </pic:spPr>
                </pic:pic>
              </a:graphicData>
            </a:graphic>
          </wp:inline>
        </w:drawing>
      </w:r>
    </w:p>
    <w:p>
      <w:pPr>
        <w:spacing w:line="360" w:lineRule="auto"/>
        <w:rPr>
          <w:rFonts w:eastAsiaTheme="minorEastAsia"/>
          <w:lang w:eastAsia="zh-CN"/>
        </w:rPr>
      </w:pPr>
      <w:r>
        <w:rPr>
          <w:b/>
        </w:rPr>
        <w:t xml:space="preserve">Figure </w:t>
      </w:r>
      <w:r>
        <w:rPr>
          <w:rFonts w:hint="eastAsia" w:eastAsia="宋体"/>
          <w:b/>
          <w:lang w:eastAsia="zh-CN"/>
        </w:rPr>
        <w:t>S</w:t>
      </w:r>
      <w:r>
        <w:rPr>
          <w:rFonts w:eastAsia="宋体"/>
          <w:b/>
          <w:lang w:eastAsia="zh-CN"/>
        </w:rPr>
        <w:t>2</w:t>
      </w:r>
      <w:r>
        <w:rPr>
          <w:b/>
        </w:rPr>
        <w:t xml:space="preserve">. Architecture and </w:t>
      </w:r>
      <w:r>
        <w:rPr>
          <w:b/>
          <w:spacing w:val="-3"/>
        </w:rPr>
        <w:t xml:space="preserve">skews </w:t>
      </w:r>
      <w:r>
        <w:rPr>
          <w:b/>
        </w:rPr>
        <w:t xml:space="preserve">in six families of Sedentaria: </w:t>
      </w:r>
      <w:r>
        <w:rPr>
          <w:rFonts w:hint="eastAsia"/>
          <w:b/>
        </w:rPr>
        <w:t>Ampharetidae</w:t>
      </w:r>
      <w:r>
        <w:rPr>
          <w:rFonts w:hint="eastAsia" w:eastAsia="宋体"/>
          <w:b/>
          <w:lang w:eastAsia="zh-CN"/>
        </w:rPr>
        <w:t>, Sabellidae and Serpuidae</w:t>
      </w:r>
      <w:r>
        <w:rPr>
          <w:b/>
        </w:rPr>
        <w:t xml:space="preserve">. </w:t>
      </w:r>
      <w:r>
        <w:t xml:space="preserve">GC </w:t>
      </w:r>
      <w:r>
        <w:rPr>
          <w:spacing w:val="-3"/>
        </w:rPr>
        <w:t>skews</w:t>
      </w:r>
      <w:r>
        <w:rPr>
          <w:rFonts w:hint="eastAsia" w:eastAsia="宋体"/>
          <w:lang w:eastAsia="zh-CN"/>
        </w:rPr>
        <w:t xml:space="preserve"> are represented by bars (axis = 0, left = negative values, right = positive values). G</w:t>
      </w:r>
      <w:r>
        <w:t xml:space="preserve">ene orders and </w:t>
      </w:r>
      <w:r>
        <w:rPr>
          <w:spacing w:val="-4"/>
        </w:rPr>
        <w:t>taxonomy</w:t>
      </w:r>
      <w:r>
        <w:rPr>
          <w:rFonts w:hint="eastAsia" w:eastAsia="宋体"/>
          <w:spacing w:val="-4"/>
          <w:lang w:eastAsia="zh-CN"/>
        </w:rPr>
        <w:t xml:space="preserve"> (class, order and family,</w:t>
      </w:r>
      <w:r>
        <w:rPr>
          <w:rFonts w:eastAsia="宋体"/>
          <w:spacing w:val="-4"/>
          <w:lang w:eastAsia="zh-CN"/>
        </w:rPr>
        <w:t xml:space="preserve"> </w:t>
      </w:r>
      <w:r>
        <w:rPr>
          <w:rFonts w:hint="eastAsia" w:eastAsia="宋体"/>
          <w:spacing w:val="-4"/>
          <w:lang w:eastAsia="zh-CN"/>
        </w:rPr>
        <w:t>respectively) are also shown</w:t>
      </w:r>
      <w:r>
        <w:rPr>
          <w:spacing w:val="-4"/>
        </w:rPr>
        <w:t xml:space="preserve">. </w:t>
      </w:r>
      <w:r>
        <w:t xml:space="preserve"> </w:t>
      </w:r>
    </w:p>
    <w:p>
      <w:pPr>
        <w:spacing w:before="57" w:line="360" w:lineRule="auto"/>
        <w:ind w:right="1473"/>
        <w:rPr>
          <w:rFonts w:eastAsiaTheme="minorEastAsia"/>
          <w:lang w:eastAsia="zh-CN"/>
        </w:rPr>
      </w:pPr>
    </w:p>
    <w:p>
      <w:pPr>
        <w:pStyle w:val="5"/>
        <w:ind w:left="120"/>
      </w:pPr>
      <w:r>
        <w:rPr>
          <w:i w:val="0"/>
          <w:lang w:eastAsia="zh-CN"/>
        </w:rPr>
        <w:t>Clitellata (order)</w:t>
      </w:r>
      <w:r>
        <w:rPr>
          <w:rFonts w:hint="eastAsia"/>
          <w:i w:val="0"/>
          <w:lang w:eastAsia="zh-CN"/>
        </w:rPr>
        <w:t xml:space="preserve">: </w:t>
      </w:r>
      <w:r>
        <w:rPr>
          <w:iCs/>
          <w:lang w:eastAsia="zh-CN"/>
        </w:rPr>
        <w:t>Drawida</w:t>
      </w:r>
      <w:r>
        <w:rPr>
          <w:rFonts w:hint="eastAsia"/>
          <w:iCs/>
          <w:lang w:eastAsia="zh-CN"/>
        </w:rPr>
        <w:t xml:space="preserve"> </w:t>
      </w:r>
      <w:r>
        <w:rPr>
          <w:iCs/>
          <w:lang w:eastAsia="zh-CN"/>
        </w:rPr>
        <w:t>japonica</w:t>
      </w:r>
      <w:r>
        <w:rPr>
          <w:rFonts w:hint="eastAsia"/>
          <w:i w:val="0"/>
          <w:lang w:eastAsia="zh-CN"/>
        </w:rPr>
        <w:t xml:space="preserve"> </w:t>
      </w:r>
      <w:r>
        <w:rPr>
          <w:i w:val="0"/>
          <w:lang w:eastAsia="zh-CN"/>
        </w:rPr>
        <w:t>(Moniligastridae</w:t>
      </w:r>
      <w:r>
        <w:rPr>
          <w:rFonts w:hint="eastAsia"/>
          <w:i w:val="0"/>
          <w:lang w:eastAsia="zh-CN"/>
        </w:rPr>
        <w:t>)</w:t>
      </w:r>
    </w:p>
    <w:p>
      <w:pPr>
        <w:pStyle w:val="7"/>
        <w:spacing w:before="10"/>
        <w:rPr>
          <w:b/>
          <w:i/>
        </w:rPr>
      </w:pPr>
    </w:p>
    <w:p>
      <w:pPr>
        <w:pStyle w:val="7"/>
        <w:spacing w:line="360" w:lineRule="auto"/>
        <w:ind w:left="122" w:right="1470"/>
      </w:pPr>
      <w:r>
        <w:rPr>
          <w:rFonts w:hint="eastAsia"/>
          <w:spacing w:val="-4"/>
        </w:rPr>
        <w:t xml:space="preserve">The </w:t>
      </w:r>
      <w:r>
        <w:rPr>
          <w:rFonts w:hint="eastAsia" w:eastAsiaTheme="minorEastAsia"/>
          <w:spacing w:val="-4"/>
          <w:lang w:eastAsia="zh-CN"/>
        </w:rPr>
        <w:t xml:space="preserve">commonly found </w:t>
      </w:r>
      <w:r>
        <w:rPr>
          <w:rFonts w:hint="eastAsia"/>
          <w:spacing w:val="-4"/>
        </w:rPr>
        <w:t>gene order of Clitellata</w:t>
      </w:r>
      <w:r>
        <w:rPr>
          <w:rFonts w:hint="eastAsia" w:eastAsia="宋体"/>
          <w:spacing w:val="-4"/>
          <w:lang w:eastAsia="zh-CN"/>
        </w:rPr>
        <w:t xml:space="preserve"> </w:t>
      </w:r>
      <w:r>
        <w:rPr>
          <w:rFonts w:hint="eastAsia"/>
          <w:spacing w:val="-4"/>
        </w:rPr>
        <w:t xml:space="preserve">is identical </w:t>
      </w:r>
      <w:r>
        <w:rPr>
          <w:spacing w:val="-4"/>
        </w:rPr>
        <w:t>to</w:t>
      </w:r>
      <w:r>
        <w:rPr>
          <w:rFonts w:hint="eastAsia"/>
          <w:spacing w:val="-4"/>
        </w:rPr>
        <w:t xml:space="preserve"> the one found in the putative ground pattern of Pleistoannelida</w:t>
      </w:r>
      <w:r>
        <w:rPr>
          <w:rFonts w:hint="eastAsia" w:eastAsia="宋体"/>
          <w:spacing w:val="-4"/>
          <w:lang w:eastAsia="zh-CN"/>
        </w:rPr>
        <w:t>.</w:t>
      </w:r>
      <w:r>
        <w:rPr>
          <w:rFonts w:hint="eastAsia"/>
          <w:spacing w:val="-4"/>
        </w:rPr>
        <w:t xml:space="preserve"> The </w:t>
      </w:r>
      <w:r>
        <w:rPr>
          <w:rFonts w:hint="eastAsia"/>
          <w:i/>
          <w:iCs/>
          <w:spacing w:val="-4"/>
        </w:rPr>
        <w:t>Drawida japonica</w:t>
      </w:r>
      <w:r>
        <w:rPr>
          <w:rFonts w:hint="eastAsia"/>
          <w:spacing w:val="-4"/>
        </w:rPr>
        <w:t xml:space="preserve"> mitogenome </w:t>
      </w:r>
      <w:r>
        <w:rPr>
          <w:rFonts w:hint="eastAsia" w:eastAsia="宋体"/>
          <w:spacing w:val="-4"/>
          <w:lang w:eastAsia="zh-CN"/>
        </w:rPr>
        <w:t>exhibit</w:t>
      </w:r>
      <w:r>
        <w:rPr>
          <w:rFonts w:hint="eastAsia"/>
          <w:spacing w:val="-4"/>
        </w:rPr>
        <w:t xml:space="preserve">ed </w:t>
      </w:r>
      <w:r>
        <w:rPr>
          <w:rFonts w:hint="eastAsia" w:eastAsiaTheme="minorEastAsia"/>
          <w:spacing w:val="-4"/>
          <w:lang w:eastAsia="zh-CN"/>
        </w:rPr>
        <w:t xml:space="preserve">a </w:t>
      </w:r>
      <w:r>
        <w:rPr>
          <w:rFonts w:hint="eastAsia" w:eastAsia="宋体"/>
          <w:spacing w:val="-4"/>
          <w:lang w:eastAsia="zh-CN"/>
        </w:rPr>
        <w:t>high</w:t>
      </w:r>
      <w:r>
        <w:rPr>
          <w:rFonts w:hint="eastAsia"/>
          <w:spacing w:val="-4"/>
        </w:rPr>
        <w:t xml:space="preserve"> A</w:t>
      </w:r>
      <w:r>
        <w:rPr>
          <w:rFonts w:hint="eastAsia" w:eastAsiaTheme="minorEastAsia"/>
          <w:spacing w:val="-4"/>
          <w:lang w:eastAsia="zh-CN"/>
        </w:rPr>
        <w:t xml:space="preserve"> </w:t>
      </w:r>
      <w:r>
        <w:rPr>
          <w:rFonts w:hint="eastAsia"/>
          <w:spacing w:val="-4"/>
        </w:rPr>
        <w:t>+</w:t>
      </w:r>
      <w:r>
        <w:rPr>
          <w:rFonts w:hint="eastAsia" w:eastAsiaTheme="minorEastAsia"/>
          <w:spacing w:val="-4"/>
          <w:lang w:eastAsia="zh-CN"/>
        </w:rPr>
        <w:t xml:space="preserve"> </w:t>
      </w:r>
      <w:r>
        <w:rPr>
          <w:rFonts w:hint="eastAsia"/>
          <w:spacing w:val="-4"/>
        </w:rPr>
        <w:t xml:space="preserve">T content, reversed GC-skew </w:t>
      </w:r>
      <w:r>
        <w:rPr>
          <w:rFonts w:hint="eastAsia" w:eastAsia="宋体"/>
          <w:spacing w:val="-4"/>
          <w:lang w:eastAsia="zh-CN"/>
        </w:rPr>
        <w:t xml:space="preserve">(0.042) </w:t>
      </w:r>
      <w:r>
        <w:rPr>
          <w:rFonts w:hint="eastAsia"/>
          <w:spacing w:val="-4"/>
        </w:rPr>
        <w:t xml:space="preserve">and </w:t>
      </w:r>
      <w:r>
        <w:rPr>
          <w:rFonts w:hint="eastAsia" w:eastAsia="宋体"/>
          <w:spacing w:val="-4"/>
          <w:lang w:eastAsia="zh-CN"/>
        </w:rPr>
        <w:t>high</w:t>
      </w:r>
      <w:r>
        <w:rPr>
          <w:rFonts w:hint="eastAsia"/>
          <w:spacing w:val="-4"/>
        </w:rPr>
        <w:t xml:space="preserve"> genetic diversity</w:t>
      </w:r>
      <w:r>
        <w:rPr>
          <w:rFonts w:hint="eastAsia" w:eastAsiaTheme="minorEastAsia"/>
          <w:spacing w:val="-4"/>
          <w:lang w:eastAsia="zh-CN"/>
        </w:rPr>
        <w:t xml:space="preserve">, </w:t>
      </w:r>
      <w:r>
        <w:rPr>
          <w:spacing w:val="-4"/>
        </w:rPr>
        <w:t xml:space="preserve">which was observed by </w:t>
      </w:r>
      <w:r>
        <w:rPr>
          <w:rFonts w:eastAsia="宋体"/>
          <w:lang w:eastAsia="zh-CN"/>
        </w:rPr>
        <w:fldChar w:fldCharType="begin"/>
      </w:r>
      <w:r>
        <w:rPr>
          <w:rFonts w:eastAsia="宋体"/>
          <w:lang w:eastAsia="zh-CN"/>
        </w:rPr>
        <w:instrText xml:space="preserve"> ADDIN EN.CITE &lt;EndNote&gt;&lt;Cite AuthorYear="1"&gt;&lt;Author&gt;Zhang&lt;/Author&gt;&lt;Year&gt;2016&lt;/Year&gt;&lt;RecNum&gt;87&lt;/RecNum&gt;&lt;DisplayText&gt;L Zhang, P Sechi, M Yuan, J Jiang, Y Dong and J Qiu [11]&lt;/DisplayText&gt;&lt;record&gt;&lt;rec-number&gt;87&lt;/rec-number&gt;&lt;foreign-keys&gt;&lt;key app="EN" db-id="9wvd5satxtzds3eeefppxpwgpd9fas0p9aaw" timestamp="1645758620"&gt;87&lt;/key&gt;&lt;/foreign-keys&gt;&lt;ref-type name="Journal Article"&gt;17&lt;/ref-type&gt;&lt;contributors&gt;&lt;authors&gt;&lt;author&gt;Liangliang Zhang&lt;/author&gt;&lt;author&gt;Pierfrancesco Sechi&lt;/author&gt;&lt;author&gt;Minglong Yuan&lt;/author&gt;&lt;author&gt;Jibao Jiang&lt;/author&gt;&lt;author&gt;Yan Dong&lt;/author&gt;&lt;author&gt;Jiangping Qiu&lt;/author&gt;&lt;/authors&gt;&lt;/contributors&gt;&lt;titles&gt;&lt;title&gt;Fifteen new earthworm mitogenomes shed new light on phylogeny within the Pheretima complex&lt;/title&gt;&lt;secondary-title&gt;Scientific Reports&lt;/secondary-title&gt;&lt;/titles&gt;&lt;periodical&gt;&lt;full-title&gt;Scientific Reports&lt;/full-title&gt;&lt;abbr-1&gt;Sci. Rep.&lt;/abbr-1&gt;&lt;/periodical&gt;&lt;pages&gt;1-11&lt;/pages&gt;&lt;volume&gt;6&lt;/volume&gt;&lt;number&gt;1&lt;/number&gt;&lt;dates&gt;&lt;year&gt;2016&lt;/year&gt;&lt;/dates&gt;&lt;isbn&gt;2045-2322&lt;/isbn&gt;&lt;urls&gt;&lt;/urls&gt;&lt;electronic-resource-num&gt;https://doi.org/10.1038/srep20096&lt;/electronic-resource-num&gt;&lt;/record&gt;&lt;/Cite&gt;&lt;/EndNote&gt;</w:instrText>
      </w:r>
      <w:r>
        <w:rPr>
          <w:rFonts w:eastAsia="宋体"/>
          <w:lang w:eastAsia="zh-CN"/>
        </w:rPr>
        <w:fldChar w:fldCharType="separate"/>
      </w:r>
      <w:r>
        <w:rPr>
          <w:rFonts w:eastAsia="宋体"/>
          <w:lang w:eastAsia="zh-CN"/>
        </w:rPr>
        <w:t>L Zhang, P Sechi, M Yuan, J Jiang, Y Dong and J Qiu [11]</w:t>
      </w:r>
      <w:r>
        <w:rPr>
          <w:rFonts w:eastAsia="宋体"/>
          <w:lang w:eastAsia="zh-CN"/>
        </w:rPr>
        <w:fldChar w:fldCharType="end"/>
      </w:r>
      <w:r>
        <w:rPr>
          <w:rFonts w:hint="eastAsia"/>
          <w:spacing w:val="-4"/>
        </w:rPr>
        <w:t>.</w:t>
      </w:r>
      <w:r>
        <w:rPr>
          <w:rFonts w:hint="eastAsia" w:eastAsia="宋体"/>
          <w:spacing w:val="-4"/>
          <w:lang w:eastAsia="zh-CN"/>
        </w:rPr>
        <w:t xml:space="preserve"> No conserved motif was identified for </w:t>
      </w:r>
      <w:r>
        <w:rPr>
          <w:rFonts w:hint="eastAsia"/>
          <w:i/>
          <w:iCs/>
          <w:spacing w:val="-4"/>
        </w:rPr>
        <w:t>D</w:t>
      </w:r>
      <w:r>
        <w:rPr>
          <w:rFonts w:hint="eastAsia" w:eastAsiaTheme="minorEastAsia"/>
          <w:i/>
          <w:iCs/>
          <w:spacing w:val="-4"/>
          <w:lang w:eastAsia="zh-CN"/>
        </w:rPr>
        <w:t>.</w:t>
      </w:r>
      <w:r>
        <w:rPr>
          <w:rFonts w:hint="eastAsia"/>
          <w:i/>
          <w:iCs/>
          <w:spacing w:val="-4"/>
        </w:rPr>
        <w:t xml:space="preserve"> japonica</w:t>
      </w:r>
      <w:r>
        <w:rPr>
          <w:rFonts w:hint="eastAsia" w:eastAsia="宋体"/>
          <w:i/>
          <w:iCs/>
          <w:spacing w:val="-4"/>
          <w:lang w:eastAsia="zh-CN"/>
        </w:rPr>
        <w:t xml:space="preserve">. </w:t>
      </w:r>
    </w:p>
    <w:p>
      <w:pPr>
        <w:pStyle w:val="7"/>
        <w:spacing w:before="8"/>
        <w:rPr>
          <w:sz w:val="24"/>
        </w:rPr>
      </w:pPr>
    </w:p>
    <w:p>
      <w:pPr>
        <w:pStyle w:val="5"/>
        <w:ind w:left="120"/>
        <w:rPr>
          <w:i w:val="0"/>
          <w:lang w:eastAsia="zh-CN"/>
        </w:rPr>
      </w:pPr>
      <w:bookmarkStart w:id="10" w:name="_TOC_250005"/>
      <w:bookmarkEnd w:id="10"/>
      <w:r>
        <w:rPr>
          <w:rFonts w:hint="eastAsia"/>
          <w:i w:val="0"/>
          <w:lang w:eastAsia="zh-CN"/>
        </w:rPr>
        <w:t xml:space="preserve">Clitellata (order): Hirudinidae &amp; Haemopidae CA (Hirudiniformes, Arhynchobdellida, </w:t>
      </w:r>
    </w:p>
    <w:p>
      <w:pPr>
        <w:pStyle w:val="5"/>
        <w:ind w:left="120"/>
        <w:rPr>
          <w:i w:val="0"/>
          <w:lang w:eastAsia="zh-CN"/>
        </w:rPr>
      </w:pPr>
      <w:r>
        <w:rPr>
          <w:rFonts w:hint="eastAsia"/>
          <w:i w:val="0"/>
          <w:lang w:eastAsia="zh-CN"/>
        </w:rPr>
        <w:t>Euhirudinea, Hlirudinea)</w:t>
      </w:r>
    </w:p>
    <w:p>
      <w:pPr>
        <w:pStyle w:val="7"/>
        <w:rPr>
          <w:b/>
          <w:i/>
          <w:sz w:val="23"/>
        </w:rPr>
      </w:pPr>
    </w:p>
    <w:p>
      <w:pPr>
        <w:pStyle w:val="7"/>
        <w:spacing w:line="360" w:lineRule="auto"/>
        <w:ind w:left="122" w:right="1470"/>
        <w:rPr>
          <w:spacing w:val="-4"/>
        </w:rPr>
      </w:pPr>
      <w:r>
        <w:rPr>
          <w:rFonts w:hint="eastAsia"/>
          <w:spacing w:val="-4"/>
        </w:rPr>
        <w:t xml:space="preserve">We identified </w:t>
      </w:r>
      <w:r>
        <w:t>all available</w:t>
      </w:r>
      <w:r>
        <w:rPr>
          <w:rFonts w:hint="eastAsia" w:eastAsiaTheme="minorEastAsia"/>
          <w:spacing w:val="-4"/>
          <w:lang w:eastAsia="zh-CN"/>
        </w:rPr>
        <w:t xml:space="preserve"> species with inverted skews </w:t>
      </w:r>
      <w:r>
        <w:rPr>
          <w:rFonts w:hint="eastAsia"/>
          <w:spacing w:val="-4"/>
        </w:rPr>
        <w:t>within this suborder (Hirudiniformes)</w:t>
      </w:r>
      <w:r>
        <w:rPr>
          <w:rFonts w:hint="eastAsia" w:eastAsiaTheme="minorEastAsia"/>
          <w:spacing w:val="-4"/>
          <w:lang w:eastAsia="zh-CN"/>
        </w:rPr>
        <w:t xml:space="preserve">. </w:t>
      </w:r>
      <w:r>
        <w:t>This allows us to infer the ORI in the common ancestor of te whole clade.</w:t>
      </w:r>
      <w:r>
        <w:rPr>
          <w:rFonts w:hint="eastAsia" w:eastAsiaTheme="minorEastAsia"/>
          <w:spacing w:val="-4"/>
          <w:lang w:eastAsia="zh-CN"/>
        </w:rPr>
        <w:t xml:space="preserve"> Some of the associated studies </w:t>
      </w:r>
      <w:r>
        <w:t xml:space="preserve">reported </w:t>
      </w:r>
      <w:r>
        <w:rPr>
          <w:rFonts w:hint="eastAsia" w:eastAsiaTheme="minorEastAsia"/>
          <w:lang w:eastAsia="zh-CN"/>
        </w:rPr>
        <w:t>positive</w:t>
      </w:r>
      <w:r>
        <w:t xml:space="preserve"> GC skews </w:t>
      </w:r>
      <w:r>
        <w:fldChar w:fldCharType="begin"/>
      </w:r>
      <w:r>
        <w:instrText xml:space="preserve"> ADDIN EN.CITE &lt;EndNote&gt;&lt;Cite&gt;&lt;Author&gt;Shen&lt;/Author&gt;&lt;Year&gt;2011&lt;/Year&gt;&lt;RecNum&gt;204&lt;/RecNum&gt;&lt;DisplayText&gt;[12, 13]&lt;/DisplayText&gt;&lt;record&gt;&lt;rec-number&gt;204&lt;/rec-number&gt;&lt;foreign-keys&gt;&lt;key app="EN" db-id="9wvd5satxtzds3eeefppxpwgpd9fas0p9aaw" timestamp="1650208553"&gt;204&lt;/key&gt;&lt;/foreign-keys&gt;&lt;ref-type name="Journal Article"&gt;17&lt;/ref-type&gt;&lt;contributors&gt;&lt;authors&gt;&lt;author&gt;Xin Shen&lt;/author&gt;&lt;author&gt;Zhigang Wu&lt;/author&gt;&lt;author&gt;Jianfeng Ren&lt;/author&gt;&lt;author&gt;Bin Liu&lt;/author&gt;&lt;/authors&gt;&lt;/contributors&gt;&lt;titles&gt;&lt;title&gt;The complete mitochondrial genome sequence of Whitmania pigra (Annelida, Hirudinea): the first representative from the class Hirudinea&lt;/title&gt;&lt;secondary-title&gt;Comparative Biochemistry Physiology Part D: Genomics Proteomics&lt;/secondary-title&gt;&lt;/titles&gt;&lt;pages&gt;133-138&lt;/pages&gt;&lt;volume&gt;6&lt;/volume&gt;&lt;number&gt;2&lt;/number&gt;&lt;dates&gt;&lt;year&gt;2011&lt;/year&gt;&lt;/dates&gt;&lt;isbn&gt;1744-117X&lt;/isbn&gt;&lt;urls&gt;&lt;/urls&gt;&lt;electronic-resource-num&gt;https://doi.org/10.1016/j.cbd.2010.12.001&lt;/electronic-resource-num&gt;&lt;/record&gt;&lt;/Cite&gt;&lt;Cite&gt;&lt;Author&gt;Xu&lt;/Author&gt;&lt;Year&gt;2016&lt;/Year&gt;&lt;RecNum&gt;197&lt;/RecNum&gt;&lt;record&gt;&lt;rec-number&gt;197&lt;/rec-number&gt;&lt;foreign-keys&gt;&lt;key app="EN" db-id="9wvd5satxtzds3eeefppxpwgpd9fas0p9aaw" timestamp="1649679424"&gt;197&lt;/key&gt;&lt;/foreign-keys&gt;&lt;ref-type name="Journal Article"&gt;17&lt;/ref-type&gt;&lt;contributors&gt;&lt;authors&gt;&lt;author&gt;Yun-Ling Xu&lt;/author&gt;&lt;author&gt;Jing Nie&lt;/author&gt;&lt;/authors&gt;&lt;/contributors&gt;&lt;titles&gt;&lt;title&gt;The complete mitochondrial genome sequence of Erpobdella octoculata (Hirudinea: Arhynchobdellida: Erpobdellidae)&lt;/title&gt;&lt;secondary-title&gt;Mitochondrial DNA Part A&lt;/secondary-title&gt;&lt;/titles&gt;&lt;periodical&gt;&lt;full-title&gt;Mitochondrial DNA Part A&lt;/full-title&gt;&lt;/periodical&gt;&lt;pages&gt;1924-1925&lt;/pages&gt;&lt;volume&gt;27&lt;/volume&gt;&lt;number&gt;3&lt;/number&gt;&lt;dates&gt;&lt;year&gt;2016&lt;/year&gt;&lt;/dates&gt;&lt;isbn&gt;2470-1394&lt;/isbn&gt;&lt;urls&gt;&lt;/urls&gt;&lt;electronic-resource-num&gt;https://doi.org/10.3109/19401736.2014.971289&lt;/electronic-resource-num&gt;&lt;/record&gt;&lt;/Cite&gt;&lt;/EndNote&gt;</w:instrText>
      </w:r>
      <w:r>
        <w:fldChar w:fldCharType="separate"/>
      </w:r>
      <w:r>
        <w:t>[12, 13]</w:t>
      </w:r>
      <w:r>
        <w:fldChar w:fldCharType="end"/>
      </w:r>
      <w:r>
        <w:t xml:space="preserve">, but none of them </w:t>
      </w:r>
      <w:r>
        <w:rPr>
          <w:rFonts w:hint="eastAsia" w:eastAsiaTheme="minorEastAsia"/>
          <w:lang w:eastAsia="zh-CN"/>
        </w:rPr>
        <w:t xml:space="preserve">observed </w:t>
      </w:r>
      <w:r>
        <w:t>that they are inverted in comparison to other Annelida</w:t>
      </w:r>
      <w:r>
        <w:rPr>
          <w:spacing w:val="-4"/>
        </w:rPr>
        <w:t xml:space="preserve">. </w:t>
      </w:r>
      <w:r>
        <w:rPr>
          <w:rFonts w:hint="eastAsia"/>
          <w:spacing w:val="-4"/>
        </w:rPr>
        <w:t xml:space="preserve">No conserved motif was identified for Hirudinidae &amp; Haemopidae CA. </w:t>
      </w:r>
    </w:p>
    <w:p>
      <w:pPr>
        <w:pStyle w:val="7"/>
        <w:spacing w:line="360" w:lineRule="auto"/>
        <w:ind w:left="122" w:right="1470"/>
        <w:rPr>
          <w:spacing w:val="-4"/>
        </w:rPr>
      </w:pPr>
    </w:p>
    <w:p>
      <w:pPr>
        <w:pStyle w:val="7"/>
        <w:rPr>
          <w:sz w:val="20"/>
        </w:rPr>
      </w:pPr>
      <w:r>
        <w:rPr>
          <w:lang w:val="en-GB" w:eastAsia="zh-CN"/>
        </w:rPr>
        <w:drawing>
          <wp:inline distT="0" distB="0" distL="114300" distR="114300">
            <wp:extent cx="6281420" cy="2985770"/>
            <wp:effectExtent l="0" t="0" r="12700" b="1270"/>
            <wp:docPr id="1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
                    <pic:cNvPicPr>
                      <a:picLocks noChangeAspect="1"/>
                    </pic:cNvPicPr>
                  </pic:nvPicPr>
                  <pic:blipFill>
                    <a:blip r:embed="rId9"/>
                    <a:stretch>
                      <a:fillRect/>
                    </a:stretch>
                  </pic:blipFill>
                  <pic:spPr>
                    <a:xfrm>
                      <a:off x="0" y="0"/>
                      <a:ext cx="6281420" cy="2985770"/>
                    </a:xfrm>
                    <a:prstGeom prst="rect">
                      <a:avLst/>
                    </a:prstGeom>
                    <a:noFill/>
                    <a:ln>
                      <a:noFill/>
                    </a:ln>
                  </pic:spPr>
                </pic:pic>
              </a:graphicData>
            </a:graphic>
          </wp:inline>
        </w:drawing>
      </w:r>
    </w:p>
    <w:p>
      <w:pPr>
        <w:spacing w:before="48" w:line="360" w:lineRule="auto"/>
        <w:ind w:left="122" w:right="1475"/>
      </w:pPr>
      <w:r>
        <w:rPr>
          <w:b/>
        </w:rPr>
        <w:t>Figure S</w:t>
      </w:r>
      <w:r>
        <w:rPr>
          <w:rFonts w:eastAsia="宋体"/>
          <w:b/>
          <w:lang w:eastAsia="zh-CN"/>
        </w:rPr>
        <w:t>3</w:t>
      </w:r>
      <w:r>
        <w:rPr>
          <w:b/>
        </w:rPr>
        <w:t xml:space="preserve">. Architecture and </w:t>
      </w:r>
      <w:r>
        <w:rPr>
          <w:b/>
          <w:spacing w:val="-3"/>
        </w:rPr>
        <w:t xml:space="preserve">skews </w:t>
      </w:r>
      <w:r>
        <w:rPr>
          <w:b/>
        </w:rPr>
        <w:t xml:space="preserve">in the Clitellata. </w:t>
      </w:r>
      <w:r>
        <w:t xml:space="preserve">GC </w:t>
      </w:r>
      <w:r>
        <w:rPr>
          <w:spacing w:val="-3"/>
        </w:rPr>
        <w:t>skews</w:t>
      </w:r>
      <w:r>
        <w:rPr>
          <w:rFonts w:hint="eastAsia" w:eastAsia="宋体"/>
          <w:lang w:eastAsia="zh-CN"/>
        </w:rPr>
        <w:t xml:space="preserve"> are represented by bars (axis = 0, left = negative values, right = positive values). G</w:t>
      </w:r>
      <w:r>
        <w:t xml:space="preserve">ene orders and </w:t>
      </w:r>
      <w:r>
        <w:rPr>
          <w:spacing w:val="-4"/>
        </w:rPr>
        <w:t>taxonomy</w:t>
      </w:r>
      <w:r>
        <w:rPr>
          <w:rFonts w:hint="eastAsia" w:eastAsia="宋体"/>
          <w:spacing w:val="-4"/>
          <w:lang w:eastAsia="zh-CN"/>
        </w:rPr>
        <w:t xml:space="preserve"> (class, order and family,</w:t>
      </w:r>
      <w:r>
        <w:rPr>
          <w:rFonts w:eastAsia="宋体"/>
          <w:spacing w:val="-4"/>
          <w:lang w:eastAsia="zh-CN"/>
        </w:rPr>
        <w:t xml:space="preserve"> </w:t>
      </w:r>
      <w:r>
        <w:rPr>
          <w:rFonts w:hint="eastAsia" w:eastAsia="宋体"/>
          <w:spacing w:val="-4"/>
          <w:lang w:eastAsia="zh-CN"/>
        </w:rPr>
        <w:t>respectively) are also shown</w:t>
      </w:r>
      <w:r>
        <w:rPr>
          <w:spacing w:val="-4"/>
        </w:rPr>
        <w:t xml:space="preserve">. </w:t>
      </w:r>
      <w:r>
        <w:t xml:space="preserve"> </w:t>
      </w:r>
    </w:p>
    <w:p>
      <w:pPr>
        <w:pStyle w:val="7"/>
        <w:spacing w:before="11"/>
        <w:rPr>
          <w:sz w:val="29"/>
        </w:rPr>
      </w:pPr>
    </w:p>
    <w:p>
      <w:pPr>
        <w:pStyle w:val="5"/>
        <w:ind w:left="120"/>
        <w:rPr>
          <w:i w:val="0"/>
          <w:lang w:eastAsia="zh-CN"/>
        </w:rPr>
      </w:pPr>
      <w:r>
        <w:rPr>
          <w:rFonts w:hint="eastAsia"/>
          <w:i w:val="0"/>
          <w:lang w:eastAsia="zh-CN"/>
        </w:rPr>
        <w:t>Basal branching lineage</w:t>
      </w:r>
      <w:r>
        <w:rPr>
          <w:i w:val="0"/>
          <w:lang w:eastAsia="zh-CN"/>
        </w:rPr>
        <w:t>s</w:t>
      </w:r>
      <w:r>
        <w:rPr>
          <w:rFonts w:hint="eastAsia"/>
          <w:i w:val="0"/>
          <w:lang w:eastAsia="zh-CN"/>
        </w:rPr>
        <w:t xml:space="preserve">: </w:t>
      </w:r>
      <w:r>
        <w:rPr>
          <w:rFonts w:hint="eastAsia"/>
          <w:iCs/>
          <w:lang w:eastAsia="zh-CN"/>
        </w:rPr>
        <w:t>Owenia fusiformis</w:t>
      </w:r>
      <w:r>
        <w:rPr>
          <w:rFonts w:hint="eastAsia"/>
          <w:i w:val="0"/>
          <w:lang w:eastAsia="zh-CN"/>
        </w:rPr>
        <w:t xml:space="preserve"> (Oweniidae)</w:t>
      </w:r>
    </w:p>
    <w:p>
      <w:pPr>
        <w:pStyle w:val="7"/>
        <w:spacing w:before="10"/>
        <w:rPr>
          <w:b/>
          <w:i/>
        </w:rPr>
      </w:pPr>
    </w:p>
    <w:p>
      <w:pPr>
        <w:pStyle w:val="7"/>
        <w:spacing w:line="360" w:lineRule="auto"/>
        <w:ind w:left="122" w:right="1473"/>
        <w:rPr>
          <w:rFonts w:eastAsia="宋体"/>
          <w:lang w:eastAsia="zh-CN"/>
        </w:rPr>
      </w:pPr>
      <w:r>
        <w:t>The ORI of</w:t>
      </w:r>
      <w:r>
        <w:rPr>
          <w:i/>
          <w:iCs/>
        </w:rPr>
        <w:t xml:space="preserve"> O. fusiformis </w:t>
      </w:r>
      <w:r>
        <w:t>was first observed in this study</w:t>
      </w:r>
      <w:r>
        <w:rPr>
          <w:i/>
          <w:iCs/>
        </w:rPr>
        <w:t>. O. fusiformis</w:t>
      </w:r>
      <w:r>
        <w:t xml:space="preserve"> is the only </w:t>
      </w:r>
      <w:r>
        <w:rPr>
          <w:rFonts w:eastAsiaTheme="minorEastAsia"/>
          <w:lang w:eastAsia="zh-CN"/>
        </w:rPr>
        <w:t>available</w:t>
      </w:r>
      <w:r>
        <w:rPr>
          <w:rFonts w:hint="eastAsia" w:eastAsiaTheme="minorEastAsia"/>
          <w:lang w:eastAsia="zh-CN"/>
        </w:rPr>
        <w:t xml:space="preserve"> </w:t>
      </w:r>
      <w:r>
        <w:t xml:space="preserve">representative of the family Owenidae, so the ORI could have also occurred in the common ancestor (CA) of the entire family. </w:t>
      </w:r>
      <w:r>
        <w:rPr>
          <w:rFonts w:hint="eastAsia"/>
        </w:rPr>
        <w:t xml:space="preserve">The mitochondrial gene order of </w:t>
      </w:r>
      <w:r>
        <w:rPr>
          <w:rFonts w:hint="eastAsia" w:eastAsia="宋体"/>
          <w:lang w:eastAsia="zh-CN"/>
        </w:rPr>
        <w:t>b</w:t>
      </w:r>
      <w:r>
        <w:rPr>
          <w:rFonts w:hint="eastAsia"/>
        </w:rPr>
        <w:t>asal branching lineage</w:t>
      </w:r>
      <w:r>
        <w:rPr>
          <w:rFonts w:hint="eastAsia" w:eastAsiaTheme="minorEastAsia"/>
          <w:lang w:eastAsia="zh-CN"/>
        </w:rPr>
        <w:t>s</w:t>
      </w:r>
      <w:r>
        <w:rPr>
          <w:rFonts w:hint="eastAsia"/>
        </w:rPr>
        <w:t xml:space="preserve"> is different from the </w:t>
      </w:r>
      <w:r>
        <w:rPr>
          <w:rFonts w:hint="eastAsia" w:eastAsiaTheme="minorEastAsia"/>
          <w:lang w:eastAsia="zh-CN"/>
        </w:rPr>
        <w:t xml:space="preserve">common </w:t>
      </w:r>
      <w:r>
        <w:rPr>
          <w:rFonts w:hint="eastAsia"/>
        </w:rPr>
        <w:t xml:space="preserve">pattern </w:t>
      </w:r>
      <w:r>
        <w:rPr>
          <w:rFonts w:hint="eastAsia" w:eastAsia="宋体"/>
          <w:lang w:eastAsia="zh-CN"/>
        </w:rPr>
        <w:t>of</w:t>
      </w:r>
      <w:r>
        <w:rPr>
          <w:rFonts w:hint="eastAsia"/>
        </w:rPr>
        <w:t xml:space="preserve"> Pleistoannelida. </w:t>
      </w:r>
      <w:r>
        <w:rPr>
          <w:rFonts w:hint="eastAsia"/>
          <w:i/>
          <w:iCs/>
        </w:rPr>
        <w:t>O</w:t>
      </w:r>
      <w:r>
        <w:rPr>
          <w:i/>
          <w:iCs/>
        </w:rPr>
        <w:t>.</w:t>
      </w:r>
      <w:r>
        <w:rPr>
          <w:rFonts w:hint="eastAsia"/>
          <w:i/>
          <w:iCs/>
        </w:rPr>
        <w:t xml:space="preserve"> fusiformis</w:t>
      </w:r>
      <w:r>
        <w:rPr>
          <w:rFonts w:hint="eastAsia" w:eastAsia="宋体"/>
          <w:i/>
          <w:iCs/>
          <w:lang w:eastAsia="zh-CN"/>
        </w:rPr>
        <w:t xml:space="preserve"> </w:t>
      </w:r>
      <w:r>
        <w:rPr>
          <w:rFonts w:hint="eastAsia" w:eastAsia="宋体"/>
          <w:lang w:eastAsia="zh-CN"/>
        </w:rPr>
        <w:t>is one of the few annelids with genes encoded on both strands of the mitochondrial genome: tRNA-P and tRNA-T genes are</w:t>
      </w:r>
      <w:r>
        <w:rPr>
          <w:rFonts w:hint="eastAsia" w:eastAsia="宋体"/>
          <w:i/>
          <w:iCs/>
          <w:lang w:eastAsia="zh-CN"/>
        </w:rPr>
        <w:t xml:space="preserve"> </w:t>
      </w:r>
      <w:r>
        <w:rPr>
          <w:rFonts w:hint="eastAsia" w:eastAsia="宋体"/>
          <w:lang w:eastAsia="zh-CN"/>
        </w:rPr>
        <w:t>encoded on the</w:t>
      </w:r>
      <w:r>
        <w:rPr>
          <w:rFonts w:hint="eastAsia" w:eastAsia="宋体"/>
          <w:iCs/>
          <w:lang w:eastAsia="zh-CN"/>
        </w:rPr>
        <w:t xml:space="preserve"> minus </w:t>
      </w:r>
      <w:r>
        <w:rPr>
          <w:rFonts w:hint="eastAsia" w:eastAsia="宋体"/>
          <w:lang w:eastAsia="zh-CN"/>
        </w:rPr>
        <w:t>strand</w:t>
      </w:r>
      <w:r>
        <w:rPr>
          <w:rFonts w:eastAsia="宋体"/>
          <w:iCs/>
          <w:lang w:eastAsia="zh-CN"/>
        </w:rPr>
        <w:t xml:space="preserve"> </w:t>
      </w:r>
      <w:r>
        <w:rPr>
          <w:rFonts w:eastAsia="宋体"/>
          <w:lang w:eastAsia="zh-CN"/>
        </w:rPr>
        <w:fldChar w:fldCharType="begin"/>
      </w:r>
      <w:r>
        <w:rPr>
          <w:rFonts w:eastAsia="宋体"/>
          <w:lang w:eastAsia="zh-CN"/>
        </w:rPr>
        <w:instrText xml:space="preserve"> ADDIN EN.CITE &lt;EndNote&gt;&lt;Cite&gt;&lt;Author&gt;Weigert&lt;/Author&gt;&lt;Year&gt;2016&lt;/Year&gt;&lt;RecNum&gt;75&lt;/RecNum&gt;&lt;DisplayText&gt;[8]&lt;/DisplayText&gt;&lt;record&gt;&lt;rec-number&gt;75&lt;/rec-number&gt;&lt;foreign-keys&gt;&lt;key app="EN" db-id="9wvd5satxtzds3eeefppxpwgpd9fas0p9aaw" timestamp="1645758620"&gt;75&lt;/key&gt;&lt;/foreign-keys&gt;&lt;ref-type name="Journal Article"&gt;17&lt;/ref-type&gt;&lt;contributors&gt;&lt;authors&gt;&lt;author&gt;Anne Weigert&lt;/author&gt;&lt;author&gt;Anja Golombek&lt;/author&gt;&lt;author&gt;Michael Gerth&lt;/author&gt;&lt;author&gt;Francine Schwarz&lt;/author&gt;&lt;author&gt;Torsten H Struck&lt;/author&gt;&lt;author&gt;Christoph Bleidorn&lt;/author&gt;&lt;/authors&gt;&lt;/contributors&gt;&lt;titles&gt;&lt;title&gt;Evolution of mitochondrial gene order in Annelida&lt;/title&gt;&lt;secondary-title&gt;Molecular Phylogenetics Evolution&lt;/secondary-title&gt;&lt;/titles&gt;&lt;periodical&gt;&lt;full-title&gt;Molecular Phylogenetics Evolution&lt;/full-title&gt;&lt;abbr-1&gt;Mol. Phylogenet. Evol.&lt;/abbr-1&gt;&lt;/periodical&gt;&lt;pages&gt;196-206&lt;/pages&gt;&lt;volume&gt;94&lt;/volume&gt;&lt;dates&gt;&lt;year&gt;2016&lt;/year&gt;&lt;/dates&gt;&lt;isbn&gt;1055-7903&lt;/isbn&gt;&lt;urls&gt;&lt;/urls&gt;&lt;electronic-resource-num&gt;https://doi.org/10.1016/j.ympev.2015.08.008&lt;/electronic-resource-num&gt;&lt;/record&gt;&lt;/Cite&gt;&lt;/EndNote&gt;</w:instrText>
      </w:r>
      <w:r>
        <w:rPr>
          <w:rFonts w:eastAsia="宋体"/>
          <w:lang w:eastAsia="zh-CN"/>
        </w:rPr>
        <w:fldChar w:fldCharType="separate"/>
      </w:r>
      <w:r>
        <w:rPr>
          <w:rFonts w:eastAsia="宋体"/>
          <w:lang w:eastAsia="zh-CN"/>
        </w:rPr>
        <w:t>[8]</w:t>
      </w:r>
      <w:r>
        <w:rPr>
          <w:rFonts w:eastAsia="宋体"/>
          <w:lang w:eastAsia="zh-CN"/>
        </w:rPr>
        <w:fldChar w:fldCharType="end"/>
      </w:r>
      <w:r>
        <w:rPr>
          <w:rFonts w:hint="eastAsia" w:eastAsia="宋体"/>
          <w:lang w:eastAsia="zh-CN"/>
        </w:rPr>
        <w:t xml:space="preserve">. The mitochondrial genome of </w:t>
      </w:r>
      <w:r>
        <w:rPr>
          <w:rFonts w:hint="eastAsia" w:eastAsia="宋体"/>
          <w:i/>
          <w:lang w:eastAsia="zh-CN"/>
        </w:rPr>
        <w:t>O. fusiformis</w:t>
      </w:r>
      <w:r>
        <w:rPr>
          <w:rFonts w:hint="eastAsia" w:eastAsia="宋体"/>
          <w:lang w:eastAsia="zh-CN"/>
        </w:rPr>
        <w:t xml:space="preserve"> contains as many as seven non-coding regions larger than 100 bp. The organization of the mitochondrial genome of </w:t>
      </w:r>
      <w:r>
        <w:rPr>
          <w:rFonts w:hint="eastAsia" w:eastAsia="宋体"/>
          <w:i/>
          <w:lang w:eastAsia="zh-CN"/>
        </w:rPr>
        <w:t>O. fusiformis</w:t>
      </w:r>
      <w:r>
        <w:rPr>
          <w:rFonts w:hint="eastAsia" w:eastAsia="宋体"/>
          <w:lang w:eastAsia="zh-CN"/>
        </w:rPr>
        <w:t xml:space="preserve"> differs in one transposition, one reverse transposition, one reversal and two tandem-duplication-random-loss events to Pleistoannelida</w:t>
      </w:r>
      <w:r>
        <w:rPr>
          <w:rFonts w:eastAsia="宋体"/>
          <w:lang w:eastAsia="zh-CN"/>
        </w:rPr>
        <w:t xml:space="preserve"> </w:t>
      </w:r>
      <w:r>
        <w:rPr>
          <w:rFonts w:eastAsia="宋体"/>
          <w:lang w:eastAsia="zh-CN"/>
        </w:rPr>
        <w:fldChar w:fldCharType="begin"/>
      </w:r>
      <w:r>
        <w:rPr>
          <w:rFonts w:eastAsia="宋体"/>
          <w:lang w:eastAsia="zh-CN"/>
        </w:rPr>
        <w:instrText xml:space="preserve"> ADDIN EN.CITE &lt;EndNote&gt;&lt;Cite&gt;&lt;Author&gt;Weigert&lt;/Author&gt;&lt;Year&gt;2016&lt;/Year&gt;&lt;RecNum&gt;75&lt;/RecNum&gt;&lt;DisplayText&gt;[8]&lt;/DisplayText&gt;&lt;record&gt;&lt;rec-number&gt;75&lt;/rec-number&gt;&lt;foreign-keys&gt;&lt;key app="EN" db-id="9wvd5satxtzds3eeefppxpwgpd9fas0p9aaw" timestamp="1645758620"&gt;75&lt;/key&gt;&lt;/foreign-keys&gt;&lt;ref-type name="Journal Article"&gt;17&lt;/ref-type&gt;&lt;contributors&gt;&lt;authors&gt;&lt;author&gt;Anne Weigert&lt;/author&gt;&lt;author&gt;Anja Golombek&lt;/author&gt;&lt;author&gt;Michael Gerth&lt;/author&gt;&lt;author&gt;Francine Schwarz&lt;/author&gt;&lt;author&gt;Torsten H Struck&lt;/author&gt;&lt;author&gt;Christoph Bleidorn&lt;/author&gt;&lt;/authors&gt;&lt;/contributors&gt;&lt;titles&gt;&lt;title&gt;Evolution of mitochondrial gene order in Annelida&lt;/title&gt;&lt;secondary-title&gt;Molecular Phylogenetics Evolution&lt;/secondary-title&gt;&lt;/titles&gt;&lt;periodical&gt;&lt;full-title&gt;Molecular Phylogenetics Evolution&lt;/full-title&gt;&lt;abbr-1&gt;Mol. Phylogenet. Evol.&lt;/abbr-1&gt;&lt;/periodical&gt;&lt;pages&gt;196-206&lt;/pages&gt;&lt;volume&gt;94&lt;/volume&gt;&lt;dates&gt;&lt;year&gt;2016&lt;/year&gt;&lt;/dates&gt;&lt;isbn&gt;1055-7903&lt;/isbn&gt;&lt;urls&gt;&lt;/urls&gt;&lt;electronic-resource-num&gt;https://doi.org/10.1016/j.ympev.2015.08.008&lt;/electronic-resource-num&gt;&lt;/record&gt;&lt;/Cite&gt;&lt;/EndNote&gt;</w:instrText>
      </w:r>
      <w:r>
        <w:rPr>
          <w:rFonts w:eastAsia="宋体"/>
          <w:lang w:eastAsia="zh-CN"/>
        </w:rPr>
        <w:fldChar w:fldCharType="separate"/>
      </w:r>
      <w:r>
        <w:rPr>
          <w:rFonts w:eastAsia="宋体"/>
          <w:lang w:eastAsia="zh-CN"/>
        </w:rPr>
        <w:t>[8]</w:t>
      </w:r>
      <w:r>
        <w:rPr>
          <w:rFonts w:eastAsia="宋体"/>
          <w:lang w:eastAsia="zh-CN"/>
        </w:rPr>
        <w:fldChar w:fldCharType="end"/>
      </w:r>
      <w:r>
        <w:rPr>
          <w:rFonts w:hint="eastAsia" w:eastAsia="宋体"/>
          <w:lang w:eastAsia="zh-CN"/>
        </w:rPr>
        <w:t xml:space="preserve">. The same study also found that </w:t>
      </w:r>
      <w:r>
        <w:rPr>
          <w:rFonts w:hint="eastAsia" w:eastAsia="宋体"/>
          <w:i/>
          <w:lang w:eastAsia="zh-CN"/>
        </w:rPr>
        <w:t>O. fusiformis</w:t>
      </w:r>
      <w:r>
        <w:rPr>
          <w:rFonts w:hint="eastAsia" w:eastAsia="宋体"/>
          <w:lang w:eastAsia="zh-CN"/>
        </w:rPr>
        <w:t xml:space="preserve"> is a </w:t>
      </w:r>
      <w:r>
        <w:rPr>
          <w:rFonts w:eastAsia="宋体"/>
          <w:lang w:eastAsia="zh-CN"/>
        </w:rPr>
        <w:t>‘</w:t>
      </w:r>
      <w:r>
        <w:rPr>
          <w:rFonts w:hint="eastAsia" w:eastAsia="宋体"/>
          <w:lang w:eastAsia="zh-CN"/>
        </w:rPr>
        <w:t>rogue</w:t>
      </w:r>
      <w:r>
        <w:rPr>
          <w:rFonts w:eastAsia="宋体"/>
          <w:lang w:eastAsia="zh-CN"/>
        </w:rPr>
        <w:t>’</w:t>
      </w:r>
      <w:r>
        <w:rPr>
          <w:rFonts w:hint="eastAsia" w:eastAsia="宋体"/>
          <w:lang w:eastAsia="zh-CN"/>
        </w:rPr>
        <w:t xml:space="preserve"> species causing phylogenetic artefacts. </w:t>
      </w:r>
    </w:p>
    <w:p>
      <w:pPr>
        <w:pStyle w:val="7"/>
        <w:spacing w:line="360" w:lineRule="auto"/>
        <w:ind w:left="122" w:right="1472"/>
      </w:pPr>
    </w:p>
    <w:p>
      <w:pPr>
        <w:pStyle w:val="7"/>
        <w:spacing w:before="8"/>
      </w:pPr>
      <w:r>
        <w:rPr>
          <w:lang w:val="en-GB" w:eastAsia="zh-CN"/>
        </w:rPr>
        <w:drawing>
          <wp:inline distT="0" distB="0" distL="0" distR="0">
            <wp:extent cx="6292850" cy="48514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6292850" cy="485140"/>
                    </a:xfrm>
                    <a:prstGeom prst="rect">
                      <a:avLst/>
                    </a:prstGeom>
                    <a:noFill/>
                    <a:ln>
                      <a:noFill/>
                    </a:ln>
                  </pic:spPr>
                </pic:pic>
              </a:graphicData>
            </a:graphic>
          </wp:inline>
        </w:drawing>
      </w:r>
    </w:p>
    <w:p>
      <w:pPr>
        <w:spacing w:before="64" w:line="357" w:lineRule="auto"/>
        <w:ind w:left="122" w:right="1475"/>
      </w:pPr>
      <w:r>
        <w:rPr>
          <w:b/>
        </w:rPr>
        <w:t>Figure S</w:t>
      </w:r>
      <w:r>
        <w:rPr>
          <w:rFonts w:eastAsia="宋体"/>
          <w:b/>
          <w:lang w:eastAsia="zh-CN"/>
        </w:rPr>
        <w:t>4</w:t>
      </w:r>
      <w:r>
        <w:rPr>
          <w:b/>
        </w:rPr>
        <w:t xml:space="preserve">. Architecture and </w:t>
      </w:r>
      <w:r>
        <w:rPr>
          <w:b/>
          <w:spacing w:val="-3"/>
        </w:rPr>
        <w:t xml:space="preserve">skews </w:t>
      </w:r>
      <w:r>
        <w:rPr>
          <w:b/>
        </w:rPr>
        <w:t xml:space="preserve">in the </w:t>
      </w:r>
      <w:r>
        <w:rPr>
          <w:b/>
          <w:spacing w:val="-2"/>
        </w:rPr>
        <w:t>basal-branching lineages</w:t>
      </w:r>
      <w:r>
        <w:rPr>
          <w:rFonts w:hint="eastAsia"/>
          <w:b/>
          <w:spacing w:val="-2"/>
        </w:rPr>
        <w:t xml:space="preserve"> </w:t>
      </w:r>
      <w:r>
        <w:rPr>
          <w:b/>
          <w:spacing w:val="-2"/>
        </w:rPr>
        <w:t xml:space="preserve">(containing </w:t>
      </w:r>
      <w:r>
        <w:rPr>
          <w:rFonts w:hint="eastAsia"/>
          <w:b/>
          <w:i/>
          <w:iCs/>
          <w:spacing w:val="-2"/>
        </w:rPr>
        <w:t>Owenia fusiformis</w:t>
      </w:r>
      <w:r>
        <w:rPr>
          <w:b/>
          <w:spacing w:val="-2"/>
        </w:rPr>
        <w:t>)</w:t>
      </w:r>
      <w:r>
        <w:t>.</w:t>
      </w:r>
      <w:r>
        <w:rPr>
          <w:b/>
        </w:rPr>
        <w:t xml:space="preserve"> </w:t>
      </w:r>
      <w:r>
        <w:t xml:space="preserve">GC </w:t>
      </w:r>
      <w:r>
        <w:rPr>
          <w:spacing w:val="-3"/>
        </w:rPr>
        <w:t>skews</w:t>
      </w:r>
      <w:r>
        <w:rPr>
          <w:rFonts w:hint="eastAsia" w:eastAsia="宋体"/>
          <w:lang w:eastAsia="zh-CN"/>
        </w:rPr>
        <w:t xml:space="preserve"> are represented by bars (axis = 0, left = negative values, right = positive values). G</w:t>
      </w:r>
      <w:r>
        <w:t xml:space="preserve">ene orders and </w:t>
      </w:r>
      <w:r>
        <w:rPr>
          <w:spacing w:val="-4"/>
        </w:rPr>
        <w:t>taxonomy</w:t>
      </w:r>
      <w:r>
        <w:rPr>
          <w:rFonts w:hint="eastAsia" w:eastAsia="宋体"/>
          <w:spacing w:val="-4"/>
          <w:lang w:eastAsia="zh-CN"/>
        </w:rPr>
        <w:t xml:space="preserve"> (class, order and family,</w:t>
      </w:r>
      <w:r>
        <w:rPr>
          <w:rFonts w:eastAsia="宋体"/>
          <w:spacing w:val="-4"/>
          <w:lang w:eastAsia="zh-CN"/>
        </w:rPr>
        <w:t xml:space="preserve"> </w:t>
      </w:r>
      <w:r>
        <w:rPr>
          <w:rFonts w:hint="eastAsia" w:eastAsia="宋体"/>
          <w:spacing w:val="-4"/>
          <w:lang w:eastAsia="zh-CN"/>
        </w:rPr>
        <w:t>respectively) are also shown</w:t>
      </w:r>
      <w:r>
        <w:rPr>
          <w:spacing w:val="-4"/>
        </w:rPr>
        <w:t>.</w:t>
      </w:r>
    </w:p>
    <w:p>
      <w:pPr>
        <w:pStyle w:val="3"/>
        <w:spacing w:before="41" w:line="360" w:lineRule="auto"/>
      </w:pPr>
      <w:bookmarkStart w:id="11" w:name="_Toc102127048"/>
      <w:r>
        <w:rPr>
          <w:rFonts w:eastAsia="宋体"/>
          <w:i/>
          <w:lang w:eastAsia="zh-CN"/>
        </w:rPr>
        <w:t>Erpobdella octoculata</w:t>
      </w:r>
      <w:r>
        <w:rPr>
          <w:rFonts w:eastAsia="宋体"/>
          <w:lang w:eastAsia="zh-CN"/>
        </w:rPr>
        <w:t xml:space="preserve">: </w:t>
      </w:r>
      <w:r>
        <w:rPr>
          <w:i/>
          <w:iCs/>
        </w:rPr>
        <w:t>Cox1</w:t>
      </w:r>
      <w:r>
        <w:t xml:space="preserve"> and </w:t>
      </w:r>
      <w:r>
        <w:rPr>
          <w:i/>
          <w:iCs/>
        </w:rPr>
        <w:t>18S</w:t>
      </w:r>
      <w:r>
        <w:t xml:space="preserve"> phylogenetic analyses</w:t>
      </w:r>
      <w:bookmarkEnd w:id="11"/>
    </w:p>
    <w:p/>
    <w:p>
      <w:pPr>
        <w:spacing w:line="360" w:lineRule="auto"/>
        <w:ind w:left="110" w:leftChars="50"/>
      </w:pPr>
      <w:r>
        <w:rPr>
          <w:lang w:eastAsia="zh-CN"/>
        </w:rPr>
        <w:t>To assess whether</w:t>
      </w:r>
      <w:r>
        <w:rPr>
          <w:i/>
          <w:iCs/>
          <w:lang w:eastAsia="zh-CN"/>
        </w:rPr>
        <w:t xml:space="preserve"> Erpobdella octoculata</w:t>
      </w:r>
      <w:r>
        <w:rPr>
          <w:lang w:eastAsia="zh-CN"/>
        </w:rPr>
        <w:t xml:space="preserve"> (NC_023927) mitogenome is a taxonomic identification artefact,</w:t>
      </w:r>
      <w:r>
        <w:rPr>
          <w:rFonts w:hint="eastAsia"/>
          <w:lang w:eastAsia="zh-CN"/>
        </w:rPr>
        <w:t xml:space="preserve"> </w:t>
      </w:r>
      <w:r>
        <w:rPr>
          <w:lang w:eastAsia="zh-CN"/>
        </w:rPr>
        <w:t xml:space="preserve">we conducted several phylogenetic analyses. </w:t>
      </w:r>
      <w:r>
        <w:rPr>
          <w:rFonts w:hint="eastAsia"/>
          <w:lang w:eastAsia="zh-CN"/>
        </w:rPr>
        <w:t>BLAST and BOLD analyses f</w:t>
      </w:r>
      <w:r>
        <w:rPr>
          <w:lang w:eastAsia="zh-CN"/>
        </w:rPr>
        <w:t>ai</w:t>
      </w:r>
      <w:r>
        <w:rPr>
          <w:rFonts w:hint="eastAsia"/>
          <w:lang w:eastAsia="zh-CN"/>
        </w:rPr>
        <w:t xml:space="preserve">led to resolve the problem of putative species misidentification. In more detail </w:t>
      </w:r>
      <w:r>
        <w:rPr>
          <w:i/>
          <w:iCs/>
        </w:rPr>
        <w:t>E. octoculata</w:t>
      </w:r>
      <w:r>
        <w:t xml:space="preserve"> NC_023927 exhibited 100% similarity to</w:t>
      </w:r>
      <w:r>
        <w:rPr>
          <w:rFonts w:hint="eastAsia"/>
          <w:lang w:eastAsia="zh-CN"/>
        </w:rPr>
        <w:t xml:space="preserve"> the </w:t>
      </w:r>
      <w:r>
        <w:fldChar w:fldCharType="begin"/>
      </w:r>
      <w:r>
        <w:instrText xml:space="preserve"> HYPERLINK "http://www.boldsystems.org/index.php/Public_BarcodeCluster?clusteruri=BOLD:ADR3875" </w:instrText>
      </w:r>
      <w:r>
        <w:fldChar w:fldCharType="separate"/>
      </w:r>
      <w:r>
        <w:t>BOLD</w:t>
      </w:r>
      <w:r>
        <w:rPr>
          <w:rFonts w:hint="eastAsia"/>
          <w:lang w:eastAsia="zh-CN"/>
        </w:rPr>
        <w:t xml:space="preserve"> entry </w:t>
      </w:r>
      <w:r>
        <w:t>ADR3875</w:t>
      </w:r>
      <w:r>
        <w:fldChar w:fldCharType="end"/>
      </w:r>
      <w:r>
        <w:rPr>
          <w:rFonts w:hint="eastAsia"/>
          <w:lang w:eastAsia="zh-CN"/>
        </w:rPr>
        <w:t xml:space="preserve">, also belonging to </w:t>
      </w:r>
      <w:r>
        <w:rPr>
          <w:i/>
          <w:iCs/>
        </w:rPr>
        <w:t>E</w:t>
      </w:r>
      <w:r>
        <w:rPr>
          <w:rFonts w:hint="eastAsia"/>
          <w:i/>
          <w:iCs/>
          <w:lang w:eastAsia="zh-CN"/>
        </w:rPr>
        <w:t>.</w:t>
      </w:r>
      <w:r>
        <w:rPr>
          <w:i/>
          <w:iCs/>
        </w:rPr>
        <w:t xml:space="preserve"> octoculata</w:t>
      </w:r>
      <w:r>
        <w:rPr>
          <w:rFonts w:hint="eastAsia"/>
          <w:lang w:eastAsia="zh-CN"/>
        </w:rPr>
        <w:t>.</w:t>
      </w:r>
      <w:r>
        <w:t xml:space="preserve"> </w:t>
      </w:r>
      <w:r>
        <w:rPr>
          <w:i/>
          <w:iCs/>
        </w:rPr>
        <w:t>E. octoculata</w:t>
      </w:r>
      <w:r>
        <w:t xml:space="preserve"> MT410851 exhibited 99.38% similarity to another </w:t>
      </w:r>
      <w:r>
        <w:rPr>
          <w:i/>
          <w:iCs/>
        </w:rPr>
        <w:t>E. octoculata</w:t>
      </w:r>
      <w:r>
        <w:t xml:space="preserve"> sequence, but this </w:t>
      </w:r>
      <w:r>
        <w:rPr>
          <w:rFonts w:hint="eastAsia"/>
          <w:lang w:eastAsia="zh-CN"/>
        </w:rPr>
        <w:t>sequence was not publicly av</w:t>
      </w:r>
      <w:r>
        <w:rPr>
          <w:lang w:eastAsia="zh-CN"/>
        </w:rPr>
        <w:t>aila</w:t>
      </w:r>
      <w:r>
        <w:rPr>
          <w:rFonts w:hint="eastAsia"/>
          <w:lang w:eastAsia="zh-CN"/>
        </w:rPr>
        <w:t>ble (</w:t>
      </w:r>
      <w:r>
        <w:t>Private status</w:t>
      </w:r>
      <w:r>
        <w:rPr>
          <w:rFonts w:hint="eastAsia"/>
          <w:lang w:eastAsia="zh-CN"/>
        </w:rPr>
        <w:t>)</w:t>
      </w:r>
      <w:r>
        <w:t>. BLAST</w:t>
      </w:r>
      <w:r>
        <w:rPr>
          <w:rFonts w:hint="eastAsia"/>
          <w:lang w:eastAsia="zh-CN"/>
        </w:rPr>
        <w:t xml:space="preserve"> </w:t>
      </w:r>
      <w:r>
        <w:t>result</w:t>
      </w:r>
      <w:r>
        <w:rPr>
          <w:rFonts w:hint="eastAsia"/>
          <w:lang w:eastAsia="zh-CN"/>
        </w:rPr>
        <w:t xml:space="preserve">s for </w:t>
      </w:r>
      <w:r>
        <w:t xml:space="preserve">their </w:t>
      </w:r>
      <w:r>
        <w:rPr>
          <w:i/>
          <w:iCs/>
        </w:rPr>
        <w:t>cox1</w:t>
      </w:r>
      <w:r>
        <w:t xml:space="preserve"> gene</w:t>
      </w:r>
      <w:r>
        <w:rPr>
          <w:rFonts w:hint="eastAsia"/>
          <w:lang w:eastAsia="zh-CN"/>
        </w:rPr>
        <w:t xml:space="preserve">s </w:t>
      </w:r>
      <w:r>
        <w:t xml:space="preserve">showed 94% coverage and 75.85% similarity. </w:t>
      </w:r>
      <w:r>
        <w:rPr>
          <w:rFonts w:hint="eastAsia"/>
          <w:lang w:eastAsia="zh-CN"/>
        </w:rPr>
        <w:t xml:space="preserve">Following this, we retrieved all </w:t>
      </w:r>
      <w:r>
        <w:rPr>
          <w:i/>
          <w:iCs/>
        </w:rPr>
        <w:t>cox1</w:t>
      </w:r>
      <w:r>
        <w:t xml:space="preserve"> gene sequences of </w:t>
      </w:r>
      <w:r>
        <w:rPr>
          <w:rFonts w:asciiTheme="minorHAnsi" w:hAnsiTheme="minorHAnsi" w:cstheme="minorHAnsi"/>
        </w:rPr>
        <w:t xml:space="preserve">all Clitellata species from the </w:t>
      </w:r>
      <w:r>
        <w:rPr>
          <w:rFonts w:eastAsia="宋体" w:asciiTheme="minorHAnsi" w:hAnsiTheme="minorHAnsi" w:cstheme="minorHAnsi"/>
          <w:lang w:eastAsia="zh-CN"/>
        </w:rPr>
        <w:t>174 mitogenomes</w:t>
      </w:r>
      <w:r>
        <w:rPr>
          <w:rFonts w:asciiTheme="minorHAnsi" w:hAnsiTheme="minorHAnsi" w:cstheme="minorHAnsi"/>
        </w:rPr>
        <w:t xml:space="preserve"> dataset</w:t>
      </w:r>
      <w:r>
        <w:rPr>
          <w:rFonts w:asciiTheme="minorHAnsi" w:hAnsiTheme="minorHAnsi" w:cstheme="minorHAnsi"/>
          <w:lang w:eastAsia="zh-CN"/>
        </w:rPr>
        <w:t>,</w:t>
      </w:r>
      <w:r>
        <w:rPr>
          <w:rFonts w:asciiTheme="minorHAnsi" w:hAnsiTheme="minorHAnsi" w:cstheme="minorHAnsi"/>
        </w:rPr>
        <w:t xml:space="preserve"> minus </w:t>
      </w:r>
      <w:r>
        <w:rPr>
          <w:rFonts w:asciiTheme="minorHAnsi" w:hAnsiTheme="minorHAnsi" w:cstheme="minorHAnsi"/>
          <w:lang w:eastAsia="zh-CN"/>
        </w:rPr>
        <w:t xml:space="preserve">the </w:t>
      </w:r>
      <w:r>
        <w:rPr>
          <w:rFonts w:asciiTheme="minorHAnsi" w:hAnsiTheme="minorHAnsi" w:cstheme="minorHAnsi"/>
        </w:rPr>
        <w:t>Megascolecidae</w:t>
      </w:r>
      <w:r>
        <w:t xml:space="preserve"> </w:t>
      </w:r>
      <w:r>
        <w:rPr>
          <w:rFonts w:hint="eastAsia"/>
          <w:lang w:eastAsia="zh-CN"/>
        </w:rPr>
        <w:t>from</w:t>
      </w:r>
      <w:r>
        <w:t xml:space="preserve"> the Genbank. </w:t>
      </w:r>
      <w:r>
        <w:rPr>
          <w:rFonts w:hint="eastAsia"/>
          <w:lang w:eastAsia="zh-CN"/>
        </w:rPr>
        <w:t xml:space="preserve">After manual pruning, </w:t>
      </w:r>
      <w:r>
        <w:rPr>
          <w:lang w:eastAsia="zh-CN"/>
        </w:rPr>
        <w:t>a</w:t>
      </w:r>
      <w:r>
        <w:rPr>
          <w:rFonts w:hint="eastAsia"/>
          <w:lang w:eastAsia="zh-CN"/>
        </w:rPr>
        <w:t xml:space="preserve"> t</w:t>
      </w:r>
      <w:r>
        <w:t>otal</w:t>
      </w:r>
      <w:r>
        <w:rPr>
          <w:rFonts w:hint="eastAsia"/>
          <w:lang w:eastAsia="zh-CN"/>
        </w:rPr>
        <w:t xml:space="preserve"> of</w:t>
      </w:r>
      <w:r>
        <w:t xml:space="preserve"> 74 </w:t>
      </w:r>
      <w:r>
        <w:rPr>
          <w:i/>
          <w:iCs/>
        </w:rPr>
        <w:t>cox1</w:t>
      </w:r>
      <w:r>
        <w:t xml:space="preserve"> gene sequences were used for RAXML phylogenetic tree reconstruction. The result showed that </w:t>
      </w:r>
      <w:r>
        <w:rPr>
          <w:i/>
          <w:iCs/>
        </w:rPr>
        <w:t>E. octoculata</w:t>
      </w:r>
      <w:r>
        <w:t xml:space="preserve"> NC_023927 clustered </w:t>
      </w:r>
      <w:r>
        <w:rPr>
          <w:rFonts w:hint="eastAsia"/>
          <w:lang w:eastAsia="zh-CN"/>
        </w:rPr>
        <w:t>with</w:t>
      </w:r>
      <w:r>
        <w:t xml:space="preserve"> Haemopidae rather than </w:t>
      </w:r>
      <w:r>
        <w:rPr>
          <w:rFonts w:hint="eastAsia"/>
          <w:lang w:eastAsia="zh-CN"/>
        </w:rPr>
        <w:t>with</w:t>
      </w:r>
      <w:r>
        <w:t xml:space="preserve"> Erpobdellidae (supplementary file S12). We also </w:t>
      </w:r>
      <w:r>
        <w:rPr>
          <w:rFonts w:hint="eastAsia"/>
          <w:lang w:eastAsia="zh-CN"/>
        </w:rPr>
        <w:t xml:space="preserve">retrieved all </w:t>
      </w:r>
      <w:r>
        <w:rPr>
          <w:i/>
          <w:iCs/>
        </w:rPr>
        <w:t>18S</w:t>
      </w:r>
      <w:r>
        <w:t xml:space="preserve"> sequences </w:t>
      </w:r>
      <w:r>
        <w:rPr>
          <w:rFonts w:hint="eastAsia"/>
          <w:lang w:eastAsia="zh-CN"/>
        </w:rPr>
        <w:t xml:space="preserve">belonging to </w:t>
      </w:r>
      <w:r>
        <w:t>Cl</w:t>
      </w:r>
      <w:r>
        <w:rPr>
          <w:rFonts w:hint="eastAsia"/>
          <w:lang w:eastAsia="zh-CN"/>
        </w:rPr>
        <w:t>i</w:t>
      </w:r>
      <w:r>
        <w:t xml:space="preserve">tellata </w:t>
      </w:r>
      <w:r>
        <w:rPr>
          <w:rFonts w:hint="eastAsia"/>
          <w:lang w:eastAsia="zh-CN"/>
        </w:rPr>
        <w:t>from</w:t>
      </w:r>
      <w:r>
        <w:t xml:space="preserve"> the Genbank. </w:t>
      </w:r>
      <w:r>
        <w:rPr>
          <w:rFonts w:hint="eastAsia"/>
          <w:lang w:eastAsia="zh-CN"/>
        </w:rPr>
        <w:t xml:space="preserve">After pruning </w:t>
      </w:r>
      <w:r>
        <w:t>(</w:t>
      </w:r>
      <w:r>
        <w:rPr>
          <w:rFonts w:hint="eastAsia"/>
          <w:lang w:eastAsia="zh-CN"/>
        </w:rPr>
        <w:t xml:space="preserve">we left </w:t>
      </w:r>
      <w:r>
        <w:t>one sequence per species</w:t>
      </w:r>
      <w:r>
        <w:rPr>
          <w:rFonts w:hint="eastAsia"/>
          <w:lang w:eastAsia="zh-CN"/>
        </w:rPr>
        <w:t>,</w:t>
      </w:r>
      <w:r>
        <w:t xml:space="preserve"> except</w:t>
      </w:r>
      <w:r>
        <w:rPr>
          <w:rFonts w:hint="eastAsia"/>
          <w:lang w:eastAsia="zh-CN"/>
        </w:rPr>
        <w:t xml:space="preserve"> for</w:t>
      </w:r>
      <w:r>
        <w:t xml:space="preserve"> </w:t>
      </w:r>
      <w:r>
        <w:rPr>
          <w:i/>
          <w:iCs/>
        </w:rPr>
        <w:t>E. octoculata</w:t>
      </w:r>
      <w:r>
        <w:t>)</w:t>
      </w:r>
      <w:r>
        <w:rPr>
          <w:rFonts w:hint="eastAsia"/>
          <w:lang w:eastAsia="zh-CN"/>
        </w:rPr>
        <w:t>, a t</w:t>
      </w:r>
      <w:r>
        <w:t>otal</w:t>
      </w:r>
      <w:r>
        <w:rPr>
          <w:rFonts w:hint="eastAsia"/>
          <w:lang w:eastAsia="zh-CN"/>
        </w:rPr>
        <w:t xml:space="preserve"> of</w:t>
      </w:r>
      <w:r>
        <w:t xml:space="preserve"> 632 </w:t>
      </w:r>
      <w:r>
        <w:rPr>
          <w:i/>
          <w:iCs/>
        </w:rPr>
        <w:t>18S</w:t>
      </w:r>
      <w:r>
        <w:t xml:space="preserve"> sequences were used for</w:t>
      </w:r>
      <w:r>
        <w:rPr>
          <w:rFonts w:hint="eastAsia"/>
          <w:lang w:eastAsia="zh-CN"/>
        </w:rPr>
        <w:t xml:space="preserve"> the</w:t>
      </w:r>
      <w:r>
        <w:t xml:space="preserve"> IQ-TREE phylogenetic tree reconstruction. The result showed that </w:t>
      </w:r>
      <w:r>
        <w:rPr>
          <w:i/>
          <w:iCs/>
        </w:rPr>
        <w:t>E. octoculata</w:t>
      </w:r>
      <w:r>
        <w:t xml:space="preserve"> JX885698 (the </w:t>
      </w:r>
      <w:r>
        <w:rPr>
          <w:i/>
          <w:iCs/>
        </w:rPr>
        <w:t>18S</w:t>
      </w:r>
      <w:r>
        <w:t xml:space="preserve"> </w:t>
      </w:r>
      <w:r>
        <w:rPr>
          <w:rFonts w:hint="eastAsia"/>
          <w:lang w:eastAsia="zh-CN"/>
        </w:rPr>
        <w:t xml:space="preserve">corresponding to the </w:t>
      </w:r>
      <w:r>
        <w:rPr>
          <w:i/>
          <w:lang w:eastAsia="zh-CN"/>
        </w:rPr>
        <w:t xml:space="preserve">cox1 </w:t>
      </w:r>
      <w:r>
        <w:rPr>
          <w:rFonts w:hint="eastAsia"/>
          <w:lang w:eastAsia="zh-CN"/>
        </w:rPr>
        <w:t>o</w:t>
      </w:r>
      <w:r>
        <w:t xml:space="preserve">f </w:t>
      </w:r>
      <w:r>
        <w:rPr>
          <w:i/>
          <w:iCs/>
        </w:rPr>
        <w:t>E</w:t>
      </w:r>
      <w:r>
        <w:rPr>
          <w:rFonts w:hint="eastAsia"/>
          <w:i/>
          <w:iCs/>
          <w:lang w:eastAsia="zh-CN"/>
        </w:rPr>
        <w:t>.</w:t>
      </w:r>
      <w:r>
        <w:rPr>
          <w:i/>
          <w:iCs/>
        </w:rPr>
        <w:t xml:space="preserve"> octoculata</w:t>
      </w:r>
      <w:r>
        <w:t xml:space="preserve"> NC_023927, as the authors of both sequences were the same) clustered with Ozobranchidae rather than with Erpobdellidae (supplementary file S13). Thus, our analyses suggested that this group of authors probably misidentified the</w:t>
      </w:r>
      <w:r>
        <w:rPr>
          <w:rFonts w:hint="eastAsia"/>
          <w:lang w:eastAsia="zh-CN"/>
        </w:rPr>
        <w:t xml:space="preserve"> </w:t>
      </w:r>
      <w:r>
        <w:t>species</w:t>
      </w:r>
      <w:r>
        <w:rPr>
          <w:rFonts w:hint="eastAsia"/>
          <w:lang w:eastAsia="zh-CN"/>
        </w:rPr>
        <w:t xml:space="preserve"> as</w:t>
      </w:r>
      <w:r>
        <w:t xml:space="preserve"> </w:t>
      </w:r>
      <w:r>
        <w:rPr>
          <w:i/>
          <w:iCs/>
        </w:rPr>
        <w:t>E. octoculata</w:t>
      </w:r>
      <w:r>
        <w:t xml:space="preserve"> </w:t>
      </w:r>
      <w:r>
        <w:rPr>
          <w:rFonts w:hint="eastAsia"/>
          <w:lang w:eastAsia="zh-CN"/>
        </w:rPr>
        <w:t>(</w:t>
      </w:r>
      <w:r>
        <w:t>NC_023927</w:t>
      </w:r>
      <w:r>
        <w:rPr>
          <w:rFonts w:hint="eastAsia"/>
          <w:lang w:eastAsia="zh-CN"/>
        </w:rPr>
        <w:t xml:space="preserve">), </w:t>
      </w:r>
      <w:r>
        <w:rPr>
          <w:lang w:eastAsia="zh-CN"/>
        </w:rPr>
        <w:t xml:space="preserve">but the taxon actually belongs to </w:t>
      </w:r>
      <w:r>
        <w:t>Haemopidae or Hirudinidae. This also explains why only this mt genome exhibited an apparent ORI event.</w:t>
      </w:r>
    </w:p>
    <w:p>
      <w:pPr>
        <w:ind w:left="110" w:leftChars="50"/>
        <w:rPr>
          <w:lang w:eastAsia="zh-CN"/>
        </w:rPr>
      </w:pPr>
    </w:p>
    <w:p>
      <w:pPr>
        <w:pStyle w:val="2"/>
        <w:spacing w:before="0"/>
      </w:pPr>
      <w:bookmarkStart w:id="12" w:name="_Toc102127049"/>
      <w:r>
        <w:t>Supplementary methods</w:t>
      </w:r>
      <w:bookmarkEnd w:id="12"/>
    </w:p>
    <w:p>
      <w:pPr>
        <w:pStyle w:val="7"/>
        <w:spacing w:before="11"/>
        <w:rPr>
          <w:sz w:val="24"/>
        </w:rPr>
      </w:pPr>
    </w:p>
    <w:p>
      <w:pPr>
        <w:pStyle w:val="3"/>
      </w:pPr>
      <w:bookmarkStart w:id="13" w:name="_Toc102127050"/>
      <w:r>
        <w:t>Conserved sequence motif search</w:t>
      </w:r>
      <w:bookmarkEnd w:id="13"/>
    </w:p>
    <w:p/>
    <w:p>
      <w:pPr>
        <w:pStyle w:val="7"/>
        <w:spacing w:before="146" w:line="360" w:lineRule="auto"/>
        <w:ind w:left="120" w:right="1474"/>
        <w:sectPr>
          <w:pgSz w:w="11910" w:h="16840"/>
          <w:pgMar w:top="1380" w:right="320" w:bottom="280" w:left="1680" w:header="720" w:footer="720" w:gutter="0"/>
          <w:cols w:space="720" w:num="1"/>
        </w:sectPr>
      </w:pPr>
      <w:r>
        <w:rPr>
          <w:rFonts w:hint="eastAsia" w:eastAsia="宋体"/>
          <w:lang w:eastAsia="zh-CN"/>
        </w:rPr>
        <w:t>C</w:t>
      </w:r>
      <w:r>
        <w:t xml:space="preserve">onserved motifs in NCRs can be used to identify the origins of replication </w:t>
      </w:r>
      <w:r>
        <w:rPr>
          <w:rFonts w:hint="eastAsia" w:eastAsia="宋体"/>
          <w:lang w:eastAsia="zh-CN"/>
        </w:rPr>
        <w:t>i</w:t>
      </w:r>
      <w:r>
        <w:t xml:space="preserve">n some metazoan lineages </w:t>
      </w:r>
      <w:r>
        <w:rPr>
          <w:rFonts w:eastAsia="宋体"/>
          <w:lang w:eastAsia="zh-CN"/>
        </w:rPr>
        <w:fldChar w:fldCharType="begin"/>
      </w:r>
      <w:r>
        <w:rPr>
          <w:rFonts w:eastAsia="宋体"/>
          <w:lang w:eastAsia="zh-CN"/>
        </w:rPr>
        <w:instrText xml:space="preserve"> ADDIN EN.CITE &lt;EndNote&gt;&lt;Cite&gt;&lt;Author&gt;Ghiselli&lt;/Author&gt;&lt;Year&gt;2013&lt;/Year&gt;&lt;RecNum&gt;23&lt;/RecNum&gt;&lt;DisplayText&gt;[14]&lt;/DisplayText&gt;&lt;record&gt;&lt;rec-number&gt;23&lt;/rec-number&gt;&lt;foreign-keys&gt;&lt;key app="EN" db-id="9wvd5satxtzds3eeefppxpwgpd9fas0p9aaw" timestamp="1645758620"&gt;23&lt;/key&gt;&lt;/foreign-keys&gt;&lt;ref-type name="Journal Article"&gt;17&lt;/ref-type&gt;&lt;contributors&gt;&lt;authors&gt;&lt;author&gt;Fabrizio Ghiselli&lt;/author&gt;&lt;author&gt;Liliana Milani&lt;/author&gt;&lt;author&gt;Davide Guerra&lt;/author&gt;&lt;author&gt;Peter L Chang&lt;/author&gt;&lt;author&gt;Sophie Breton&lt;/author&gt;&lt;author&gt;Sergey V Nuzhdin&lt;/author&gt;&lt;author&gt;Marco Passamonti&lt;/author&gt;&lt;/authors&gt;&lt;/contributors&gt;&lt;titles&gt;&lt;title&gt;Structure, transcription, and variability of metazoan mitochondrial genome: perspectives from an unusual mitochondrial inheritance system&lt;/title&gt;&lt;secondary-title&gt;Genome biology evolution&lt;/secondary-title&gt;&lt;/titles&gt;&lt;pages&gt;1535-1554&lt;/pages&gt;&lt;volume&gt;5&lt;/volume&gt;&lt;number&gt;8&lt;/number&gt;&lt;dates&gt;&lt;year&gt;2013&lt;/year&gt;&lt;/dates&gt;&lt;isbn&gt;1759-6653&lt;/isbn&gt;&lt;urls&gt;&lt;/urls&gt;&lt;electronic-resource-num&gt;https://doi.org/10.1093/gbe/evt112&lt;/electronic-resource-num&gt;&lt;/record&gt;&lt;/Cite&gt;&lt;/EndNote&gt;</w:instrText>
      </w:r>
      <w:r>
        <w:rPr>
          <w:rFonts w:eastAsia="宋体"/>
          <w:lang w:eastAsia="zh-CN"/>
        </w:rPr>
        <w:fldChar w:fldCharType="separate"/>
      </w:r>
      <w:r>
        <w:rPr>
          <w:rFonts w:eastAsia="宋体"/>
          <w:lang w:eastAsia="zh-CN"/>
        </w:rPr>
        <w:t>[14]</w:t>
      </w:r>
      <w:r>
        <w:rPr>
          <w:rFonts w:eastAsia="宋体"/>
          <w:lang w:eastAsia="zh-CN"/>
        </w:rPr>
        <w:fldChar w:fldCharType="end"/>
      </w:r>
      <w:r>
        <w:t xml:space="preserve">. To assess this possibility, first we extracted </w:t>
      </w:r>
      <w:r>
        <w:rPr>
          <w:rFonts w:hint="eastAsia" w:eastAsia="宋体"/>
          <w:lang w:eastAsia="zh-CN"/>
        </w:rPr>
        <w:t>289</w:t>
      </w:r>
      <w:r>
        <w:t xml:space="preserve"> large (&gt;1</w:t>
      </w:r>
      <w:r>
        <w:rPr>
          <w:rFonts w:hint="eastAsia" w:eastAsia="宋体"/>
          <w:lang w:eastAsia="zh-CN"/>
        </w:rPr>
        <w:t>0</w:t>
      </w:r>
      <w:r>
        <w:t xml:space="preserve">0 bp) NCRs from the RefSeq dataset using PhyloSuite and searched for conserved sequence motifs using </w:t>
      </w:r>
      <w:r>
        <w:rPr>
          <w:rFonts w:hint="eastAsia" w:eastAsia="宋体"/>
          <w:lang w:eastAsia="zh-CN"/>
        </w:rPr>
        <w:t>STRE</w:t>
      </w:r>
      <w:r>
        <w:t xml:space="preserve">ME </w:t>
      </w:r>
      <w:r>
        <w:fldChar w:fldCharType="begin"/>
      </w:r>
      <w:r>
        <w:instrText xml:space="preserve"> ADDIN EN.CITE &lt;EndNote&gt;&lt;Cite&gt;&lt;Author&gt;Bailey&lt;/Author&gt;&lt;Year&gt;2021&lt;/Year&gt;&lt;RecNum&gt;4&lt;/RecNum&gt;&lt;DisplayText&gt;[15]&lt;/DisplayText&gt;&lt;record&gt;&lt;rec-number&gt;4&lt;/rec-number&gt;&lt;foreign-keys&gt;&lt;key app="EN" db-id="9wvd5satxtzds3eeefppxpwgpd9fas0p9aaw" timestamp="1645758620"&gt;4&lt;/key&gt;&lt;/foreign-keys&gt;&lt;ref-type name="Journal Article"&gt;17&lt;/ref-type&gt;&lt;contributors&gt;&lt;authors&gt;&lt;author&gt;Timothy L Bailey&lt;/author&gt;&lt;/authors&gt;&lt;/contributors&gt;&lt;titles&gt;&lt;title&gt;STREME: accurate and versatile sequence motif discovery&lt;/title&gt;&lt;secondary-title&gt;Bioinformatics&lt;/secondary-title&gt;&lt;/titles&gt;&lt;periodical&gt;&lt;full-title&gt;Bioinformatics&lt;/full-title&gt;&lt;abbr-1&gt;Bioinformatics&lt;/abbr-1&gt;&lt;abbr-2&gt;Bioinformatics&lt;/abbr-2&gt;&lt;/periodical&gt;&lt;pages&gt;2834-2840&lt;/pages&gt;&lt;volume&gt;37&lt;/volume&gt;&lt;number&gt;18&lt;/number&gt;&lt;dates&gt;&lt;year&gt;2021&lt;/year&gt;&lt;/dates&gt;&lt;isbn&gt;1367-4803&lt;/isbn&gt;&lt;urls&gt;&lt;/urls&gt;&lt;electronic-resource-num&gt;https://doi.org/10.1093/bioinformatics/btab203&lt;/electronic-resource-num&gt;&lt;/record&gt;&lt;/Cite&gt;&lt;/EndNote&gt;</w:instrText>
      </w:r>
      <w:r>
        <w:fldChar w:fldCharType="separate"/>
      </w:r>
      <w:r>
        <w:t>[15]</w:t>
      </w:r>
      <w:r>
        <w:fldChar w:fldCharType="end"/>
      </w:r>
      <w:r>
        <w:t xml:space="preserve">. Among the </w:t>
      </w:r>
      <w:r>
        <w:rPr>
          <w:rFonts w:hint="eastAsia" w:eastAsia="宋体"/>
          <w:lang w:eastAsia="zh-CN"/>
        </w:rPr>
        <w:t>seven</w:t>
      </w:r>
      <w:r>
        <w:t xml:space="preserve"> motifs identified in more than 30 sequences, only </w:t>
      </w:r>
      <w:r>
        <w:rPr>
          <w:rFonts w:hint="eastAsia" w:eastAsia="宋体"/>
          <w:lang w:eastAsia="zh-CN"/>
        </w:rPr>
        <w:t>four</w:t>
      </w:r>
      <w:r>
        <w:t xml:space="preserve"> </w:t>
      </w:r>
      <w:r>
        <w:rPr>
          <w:rFonts w:hint="eastAsia" w:eastAsia="宋体"/>
          <w:lang w:eastAsia="zh-CN"/>
        </w:rPr>
        <w:t xml:space="preserve">consecutive motifs </w:t>
      </w:r>
      <w:r>
        <w:rPr>
          <w:rFonts w:eastAsia="宋体"/>
          <w:lang w:eastAsia="zh-CN"/>
        </w:rPr>
        <w:t>were below</w:t>
      </w:r>
      <w:r>
        <w:rPr>
          <w:rFonts w:hint="eastAsia" w:eastAsia="宋体"/>
          <w:lang w:eastAsia="zh-CN"/>
        </w:rPr>
        <w:t xml:space="preserve"> the p-value threshold (0.05)</w:t>
      </w:r>
      <w:r>
        <w:t>. In Figure S</w:t>
      </w:r>
      <w:r>
        <w:rPr>
          <w:rFonts w:eastAsia="宋体"/>
          <w:lang w:eastAsia="zh-CN"/>
        </w:rPr>
        <w:t>5</w:t>
      </w:r>
      <w:r>
        <w:t xml:space="preserve">, the </w:t>
      </w:r>
      <w:r>
        <w:rPr>
          <w:rFonts w:hint="eastAsia" w:eastAsia="宋体"/>
          <w:lang w:eastAsia="zh-CN"/>
        </w:rPr>
        <w:t>four</w:t>
      </w:r>
      <w:r>
        <w:t xml:space="preserve"> motifs are numbered </w:t>
      </w:r>
      <w:r>
        <w:rPr>
          <w:rFonts w:hint="eastAsia" w:eastAsia="宋体"/>
          <w:lang w:eastAsia="zh-CN"/>
        </w:rPr>
        <w:t>from 1 to 4</w:t>
      </w:r>
      <w:r>
        <w:t>.</w:t>
      </w:r>
    </w:p>
    <w:p>
      <w:pPr>
        <w:pStyle w:val="7"/>
        <w:ind w:left="171"/>
        <w:rPr>
          <w:sz w:val="20"/>
        </w:rPr>
      </w:pPr>
      <w:r>
        <w:rPr>
          <w:lang w:val="en-GB" w:eastAsia="zh-CN"/>
        </w:rPr>
        <w:drawing>
          <wp:inline distT="0" distB="0" distL="114300" distR="114300">
            <wp:extent cx="6280785" cy="2281555"/>
            <wp:effectExtent l="0" t="0" r="13335" b="4445"/>
            <wp:docPr id="2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5"/>
                    <pic:cNvPicPr>
                      <a:picLocks noChangeAspect="1"/>
                    </pic:cNvPicPr>
                  </pic:nvPicPr>
                  <pic:blipFill>
                    <a:blip r:embed="rId11"/>
                    <a:stretch>
                      <a:fillRect/>
                    </a:stretch>
                  </pic:blipFill>
                  <pic:spPr>
                    <a:xfrm>
                      <a:off x="0" y="0"/>
                      <a:ext cx="6280785" cy="2281555"/>
                    </a:xfrm>
                    <a:prstGeom prst="rect">
                      <a:avLst/>
                    </a:prstGeom>
                    <a:noFill/>
                    <a:ln>
                      <a:noFill/>
                    </a:ln>
                  </pic:spPr>
                </pic:pic>
              </a:graphicData>
            </a:graphic>
          </wp:inline>
        </w:drawing>
      </w:r>
    </w:p>
    <w:p>
      <w:pPr>
        <w:pStyle w:val="7"/>
        <w:spacing w:before="56"/>
        <w:ind w:left="120"/>
      </w:pPr>
      <w:r>
        <w:rPr>
          <w:b/>
          <w:bCs/>
        </w:rPr>
        <w:t>Figure S</w:t>
      </w:r>
      <w:r>
        <w:rPr>
          <w:rFonts w:eastAsia="宋体"/>
          <w:b/>
          <w:bCs/>
          <w:lang w:eastAsia="zh-CN"/>
        </w:rPr>
        <w:t>5</w:t>
      </w:r>
      <w:r>
        <w:t xml:space="preserve">. Identification of </w:t>
      </w:r>
      <w:r>
        <w:rPr>
          <w:rFonts w:hint="eastAsia" w:eastAsia="宋体"/>
          <w:lang w:eastAsia="zh-CN"/>
        </w:rPr>
        <w:t>7</w:t>
      </w:r>
      <w:r>
        <w:t xml:space="preserve"> motifs in </w:t>
      </w:r>
      <w:r>
        <w:rPr>
          <w:rFonts w:hint="eastAsia" w:eastAsia="宋体"/>
          <w:lang w:eastAsia="zh-CN"/>
        </w:rPr>
        <w:t>STRE</w:t>
      </w:r>
      <w:r>
        <w:t>ME.</w:t>
      </w:r>
    </w:p>
    <w:p>
      <w:pPr>
        <w:pStyle w:val="7"/>
        <w:spacing w:before="8"/>
        <w:rPr>
          <w:sz w:val="32"/>
        </w:rPr>
      </w:pPr>
    </w:p>
    <w:p>
      <w:pPr>
        <w:pStyle w:val="7"/>
        <w:spacing w:before="38" w:line="360" w:lineRule="auto"/>
        <w:ind w:left="120" w:right="1473"/>
      </w:pPr>
      <w:r>
        <w:t xml:space="preserve">The above </w:t>
      </w:r>
      <w:r>
        <w:rPr>
          <w:rFonts w:hint="eastAsia"/>
        </w:rPr>
        <w:t>four</w:t>
      </w:r>
      <w:r>
        <w:t xml:space="preserve"> </w:t>
      </w:r>
      <w:r>
        <w:rPr>
          <w:rFonts w:hint="eastAsia"/>
        </w:rPr>
        <w:t>motifs</w:t>
      </w:r>
      <w:r>
        <w:t xml:space="preserve"> with significant </w:t>
      </w:r>
      <w:r>
        <w:rPr>
          <w:rFonts w:hint="eastAsia"/>
        </w:rPr>
        <w:t>p-value</w:t>
      </w:r>
      <w:r>
        <w:t xml:space="preserve">s (motifs 1-4) were further submitted to FIMO </w:t>
      </w:r>
      <w:r>
        <w:fldChar w:fldCharType="begin"/>
      </w:r>
      <w:r>
        <w:instrText xml:space="preserve"> ADDIN EN.CITE &lt;EndNote&gt;&lt;Cite&gt;&lt;Author&gt;Grant&lt;/Author&gt;&lt;Year&gt;2011&lt;/Year&gt;&lt;RecNum&gt;26&lt;/RecNum&gt;&lt;DisplayText&gt;[16]&lt;/DisplayText&gt;&lt;record&gt;&lt;rec-number&gt;26&lt;/rec-number&gt;&lt;foreign-keys&gt;&lt;key app="EN" db-id="9wvd5satxtzds3eeefppxpwgpd9fas0p9aaw" timestamp="1645758620"&gt;26&lt;/key&gt;&lt;/foreign-keys&gt;&lt;ref-type name="Journal Article"&gt;17&lt;/ref-type&gt;&lt;contributors&gt;&lt;authors&gt;&lt;author&gt;Charles E Grant&lt;/author&gt;&lt;author&gt;Timothy L Bailey&lt;/author&gt;&lt;author&gt;William Stafford Noble&lt;/author&gt;&lt;/authors&gt;&lt;/contributors&gt;&lt;titles&gt;&lt;title&gt;FIMO: scanning for occurrences of a given motif&lt;/title&gt;&lt;secondary-title&gt;Bioinformatics&lt;/secondary-title&gt;&lt;/titles&gt;&lt;periodical&gt;&lt;full-title&gt;Bioinformatics&lt;/full-title&gt;&lt;abbr-1&gt;Bioinformatics&lt;/abbr-1&gt;&lt;abbr-2&gt;Bioinformatics&lt;/abbr-2&gt;&lt;/periodical&gt;&lt;pages&gt;1017-1018&lt;/pages&gt;&lt;volume&gt;27&lt;/volume&gt;&lt;number&gt;7&lt;/number&gt;&lt;dates&gt;&lt;year&gt;2011&lt;/year&gt;&lt;/dates&gt;&lt;isbn&gt;1460-2059&lt;/isbn&gt;&lt;urls&gt;&lt;/urls&gt;&lt;electronic-resource-num&gt;https://doi.org/10.1093/bioinformatics/btr064&lt;/electronic-resource-num&gt;&lt;/record&gt;&lt;/Cite&gt;&lt;/EndNote&gt;</w:instrText>
      </w:r>
      <w:r>
        <w:fldChar w:fldCharType="separate"/>
      </w:r>
      <w:r>
        <w:t>[16]</w:t>
      </w:r>
      <w:r>
        <w:fldChar w:fldCharType="end"/>
      </w:r>
      <w:r>
        <w:t xml:space="preserve"> analyses, which were conducted on complete sequences of all </w:t>
      </w:r>
      <w:r>
        <w:rPr>
          <w:rFonts w:hint="eastAsia" w:eastAsia="宋体"/>
          <w:lang w:eastAsia="zh-CN"/>
        </w:rPr>
        <w:t>17</w:t>
      </w:r>
      <w:r>
        <w:rPr>
          <w:rFonts w:eastAsia="宋体"/>
          <w:lang w:eastAsia="zh-CN"/>
        </w:rPr>
        <w:t>4</w:t>
      </w:r>
      <w:r>
        <w:t xml:space="preserve"> mitogenomes. We tested several different </w:t>
      </w:r>
      <w:r>
        <w:rPr>
          <w:rFonts w:hint="eastAsia" w:eastAsia="宋体"/>
          <w:lang w:eastAsia="zh-CN"/>
        </w:rPr>
        <w:t>p-value</w:t>
      </w:r>
      <w:r>
        <w:t xml:space="preserve"> thresholds to try to identify the optimal balance between the number of species in which the motif was identified, and the amount of noise in the data. The latter was assessed on the basis of congruence between strand distribution of motif and skew direction: motifs were expected to be</w:t>
      </w:r>
      <w:r>
        <w:rPr>
          <w:rFonts w:hint="eastAsia" w:eastAsia="宋体"/>
          <w:lang w:eastAsia="zh-CN"/>
        </w:rPr>
        <w:t xml:space="preserve"> found</w:t>
      </w:r>
      <w:r>
        <w:t xml:space="preserve"> on the minus strand</w:t>
      </w:r>
      <w:r>
        <w:rPr>
          <w:rFonts w:hint="eastAsia" w:eastAsia="宋体"/>
          <w:lang w:eastAsia="zh-CN"/>
        </w:rPr>
        <w:t xml:space="preserve"> </w:t>
      </w:r>
      <w:r>
        <w:t xml:space="preserve">in species with fully inverted skews (positive), whereas in species with standard (negative) skew values, motifs were expected to be </w:t>
      </w:r>
      <w:r>
        <w:rPr>
          <w:rFonts w:hint="eastAsia" w:eastAsia="宋体"/>
          <w:lang w:eastAsia="zh-CN"/>
        </w:rPr>
        <w:t xml:space="preserve">found </w:t>
      </w:r>
      <w:r>
        <w:t xml:space="preserve">on the plus strand. The default FIMO </w:t>
      </w:r>
      <w:r>
        <w:rPr>
          <w:rFonts w:hint="eastAsia" w:eastAsia="宋体"/>
          <w:lang w:eastAsia="zh-CN"/>
        </w:rPr>
        <w:t>p-value threshold</w:t>
      </w:r>
      <w:r>
        <w:t xml:space="preserve"> identified motif</w:t>
      </w:r>
      <w:r>
        <w:rPr>
          <w:rFonts w:hint="eastAsia" w:eastAsia="宋体"/>
          <w:lang w:eastAsia="zh-CN"/>
        </w:rPr>
        <w:t xml:space="preserve"> 1</w:t>
      </w:r>
      <w:r>
        <w:t xml:space="preserve"> in almost all mitogenomes, </w:t>
      </w:r>
      <w:r>
        <w:rPr>
          <w:rFonts w:hint="eastAsia"/>
        </w:rPr>
        <w:t xml:space="preserve">But the data is so noisy that they are not </w:t>
      </w:r>
      <w:r>
        <w:rPr>
          <w:rFonts w:hint="eastAsia" w:eastAsia="宋体"/>
          <w:lang w:eastAsia="zh-CN"/>
        </w:rPr>
        <w:t>useful</w:t>
      </w:r>
      <w:r>
        <w:rPr>
          <w:rFonts w:hint="eastAsia"/>
        </w:rPr>
        <w:t xml:space="preserve">, especially with a high percentage of </w:t>
      </w:r>
      <w:r>
        <w:rPr>
          <w:rFonts w:hint="eastAsia" w:eastAsia="宋体"/>
          <w:lang w:eastAsia="zh-CN"/>
        </w:rPr>
        <w:t>motif</w:t>
      </w:r>
      <w:r>
        <w:rPr>
          <w:rFonts w:hint="eastAsia"/>
        </w:rPr>
        <w:t xml:space="preserve">s identified on both </w:t>
      </w:r>
      <w:r>
        <w:t>strands</w:t>
      </w:r>
      <w:r>
        <w:rPr>
          <w:rFonts w:hint="eastAsia"/>
        </w:rPr>
        <w:t>.</w:t>
      </w:r>
      <w:r>
        <w:t xml:space="preserve"> </w:t>
      </w:r>
      <w:r>
        <w:rPr>
          <w:rFonts w:hint="eastAsia" w:eastAsia="宋体"/>
          <w:lang w:eastAsia="zh-CN"/>
        </w:rPr>
        <w:t xml:space="preserve">Even at </w:t>
      </w:r>
      <w:r>
        <w:rPr>
          <w:rFonts w:eastAsia="宋体"/>
          <w:lang w:eastAsia="zh-CN"/>
        </w:rPr>
        <w:t xml:space="preserve">the </w:t>
      </w:r>
      <w:r>
        <w:rPr>
          <w:rFonts w:hint="eastAsia" w:eastAsia="宋体"/>
          <w:lang w:eastAsia="zh-CN"/>
        </w:rPr>
        <w:t>e-15 p-value threshold</w:t>
      </w:r>
      <w:r>
        <w:rPr>
          <w:rFonts w:eastAsia="宋体"/>
          <w:lang w:eastAsia="zh-CN"/>
        </w:rPr>
        <w:t>,</w:t>
      </w:r>
      <w:r>
        <w:t xml:space="preserve"> </w:t>
      </w:r>
      <w:r>
        <w:rPr>
          <w:rFonts w:hint="eastAsia" w:eastAsia="宋体"/>
          <w:lang w:eastAsia="zh-CN"/>
        </w:rPr>
        <w:t xml:space="preserve">motif 1 </w:t>
      </w:r>
      <w:r>
        <w:t>still produced a lot of noise in the data:</w:t>
      </w:r>
      <w:r>
        <w:rPr>
          <w:rFonts w:hint="eastAsia" w:eastAsia="宋体"/>
          <w:lang w:eastAsia="zh-CN"/>
        </w:rPr>
        <w:t xml:space="preserve"> </w:t>
      </w:r>
      <w:r>
        <w:t xml:space="preserve">motif 1 was identified in </w:t>
      </w:r>
      <w:r>
        <w:rPr>
          <w:rFonts w:hint="eastAsia" w:eastAsia="宋体"/>
          <w:lang w:eastAsia="zh-CN"/>
        </w:rPr>
        <w:t>39</w:t>
      </w:r>
      <w:r>
        <w:t xml:space="preserve"> mitogenomes, but </w:t>
      </w:r>
      <w:r>
        <w:rPr>
          <w:rFonts w:hint="eastAsia" w:eastAsia="宋体"/>
          <w:lang w:eastAsia="zh-CN"/>
        </w:rPr>
        <w:t>36</w:t>
      </w:r>
      <w:r>
        <w:t xml:space="preserve"> of them exhibited </w:t>
      </w:r>
      <w:r>
        <w:rPr>
          <w:spacing w:val="-3"/>
        </w:rPr>
        <w:t xml:space="preserve">it </w:t>
      </w:r>
      <w:r>
        <w:t xml:space="preserve">on both strands. As for motif 2, at the </w:t>
      </w:r>
      <w:r>
        <w:rPr>
          <w:rFonts w:hint="eastAsia" w:eastAsia="宋体"/>
          <w:lang w:eastAsia="zh-CN"/>
        </w:rPr>
        <w:t>p-value</w:t>
      </w:r>
      <w:r>
        <w:t xml:space="preserve"> threshold of </w:t>
      </w:r>
      <w:r>
        <w:rPr>
          <w:rFonts w:hint="eastAsia" w:eastAsia="宋体"/>
          <w:lang w:eastAsia="zh-CN"/>
        </w:rPr>
        <w:t>e</w:t>
      </w:r>
      <w:r>
        <w:t>-</w:t>
      </w:r>
      <w:r>
        <w:rPr>
          <w:rFonts w:hint="eastAsia" w:eastAsia="宋体"/>
          <w:lang w:eastAsia="zh-CN"/>
        </w:rPr>
        <w:t>5</w:t>
      </w:r>
      <w:r>
        <w:t xml:space="preserve"> it was identified in </w:t>
      </w:r>
      <w:r>
        <w:rPr>
          <w:rFonts w:hint="eastAsia" w:eastAsia="宋体"/>
          <w:lang w:eastAsia="zh-CN"/>
        </w:rPr>
        <w:t>36</w:t>
      </w:r>
      <w:r>
        <w:t xml:space="preserve"> mitogenomes, with the predictability of </w:t>
      </w:r>
      <w:r>
        <w:rPr>
          <w:rFonts w:hint="eastAsia" w:eastAsia="宋体"/>
          <w:lang w:eastAsia="zh-CN"/>
        </w:rPr>
        <w:t>63.89</w:t>
      </w:r>
      <w:r>
        <w:t xml:space="preserve">%, whereas at the </w:t>
      </w:r>
      <w:r>
        <w:rPr>
          <w:rFonts w:hint="eastAsia" w:eastAsia="宋体"/>
          <w:lang w:eastAsia="zh-CN"/>
        </w:rPr>
        <w:t>e</w:t>
      </w:r>
      <w:r>
        <w:t>-</w:t>
      </w:r>
      <w:r>
        <w:rPr>
          <w:rFonts w:hint="eastAsia" w:eastAsia="宋体"/>
          <w:lang w:eastAsia="zh-CN"/>
        </w:rPr>
        <w:t>6</w:t>
      </w:r>
      <w:r>
        <w:t xml:space="preserve"> threshold </w:t>
      </w:r>
      <w:r>
        <w:rPr>
          <w:rFonts w:hint="eastAsia"/>
        </w:rPr>
        <w:t xml:space="preserve">it was identified </w:t>
      </w:r>
      <w:r>
        <w:rPr>
          <w:rFonts w:hint="eastAsia" w:eastAsia="宋体"/>
          <w:lang w:eastAsia="zh-CN"/>
        </w:rPr>
        <w:t xml:space="preserve">only </w:t>
      </w:r>
      <w:r>
        <w:rPr>
          <w:rFonts w:hint="eastAsia"/>
        </w:rPr>
        <w:t xml:space="preserve">in </w:t>
      </w:r>
      <w:r>
        <w:rPr>
          <w:rFonts w:hint="eastAsia" w:eastAsia="宋体"/>
          <w:lang w:eastAsia="zh-CN"/>
        </w:rPr>
        <w:t>4</w:t>
      </w:r>
      <w:r>
        <w:rPr>
          <w:rFonts w:hint="eastAsia"/>
        </w:rPr>
        <w:t xml:space="preserve"> mitogenomes</w:t>
      </w:r>
      <w:r>
        <w:t xml:space="preserve">. As for motif 3, at the </w:t>
      </w:r>
      <w:r>
        <w:rPr>
          <w:rFonts w:hint="eastAsia" w:eastAsia="宋体"/>
          <w:lang w:eastAsia="zh-CN"/>
        </w:rPr>
        <w:t>p-value</w:t>
      </w:r>
      <w:r>
        <w:t xml:space="preserve"> threshold of </w:t>
      </w:r>
      <w:r>
        <w:rPr>
          <w:rFonts w:hint="eastAsia" w:eastAsia="宋体"/>
          <w:lang w:eastAsia="zh-CN"/>
        </w:rPr>
        <w:t>e</w:t>
      </w:r>
      <w:r>
        <w:t>-</w:t>
      </w:r>
      <w:r>
        <w:rPr>
          <w:rFonts w:hint="eastAsia" w:eastAsia="宋体"/>
          <w:lang w:eastAsia="zh-CN"/>
        </w:rPr>
        <w:t>5</w:t>
      </w:r>
      <w:r>
        <w:t xml:space="preserve"> it was identified in </w:t>
      </w:r>
      <w:r>
        <w:rPr>
          <w:rFonts w:hint="eastAsia" w:eastAsia="宋体"/>
          <w:lang w:eastAsia="zh-CN"/>
        </w:rPr>
        <w:t>47</w:t>
      </w:r>
      <w:r>
        <w:t xml:space="preserve"> mitogenomes, with the predictability of </w:t>
      </w:r>
      <w:r>
        <w:rPr>
          <w:rFonts w:hint="eastAsia" w:eastAsia="宋体"/>
          <w:lang w:eastAsia="zh-CN"/>
        </w:rPr>
        <w:t>14.89</w:t>
      </w:r>
      <w:r>
        <w:t xml:space="preserve">%, whereas at the </w:t>
      </w:r>
      <w:r>
        <w:rPr>
          <w:rFonts w:hint="eastAsia" w:eastAsia="宋体"/>
          <w:lang w:eastAsia="zh-CN"/>
        </w:rPr>
        <w:t>e-6</w:t>
      </w:r>
      <w:r>
        <w:t xml:space="preserve"> threshold the two values were </w:t>
      </w:r>
      <w:r>
        <w:rPr>
          <w:rFonts w:hint="eastAsia" w:eastAsia="宋体"/>
          <w:lang w:eastAsia="zh-CN"/>
        </w:rPr>
        <w:t>22</w:t>
      </w:r>
      <w:r>
        <w:t xml:space="preserve"> and </w:t>
      </w:r>
      <w:r>
        <w:rPr>
          <w:rFonts w:hint="eastAsia" w:eastAsia="宋体"/>
          <w:lang w:eastAsia="zh-CN"/>
        </w:rPr>
        <w:t>4.6</w:t>
      </w:r>
      <w:r>
        <w:t xml:space="preserve">% respectively. As for motif </w:t>
      </w:r>
      <w:r>
        <w:rPr>
          <w:rFonts w:hint="eastAsia" w:eastAsia="宋体"/>
          <w:lang w:eastAsia="zh-CN"/>
        </w:rPr>
        <w:t>4</w:t>
      </w:r>
      <w:r>
        <w:t xml:space="preserve">, at the </w:t>
      </w:r>
      <w:r>
        <w:rPr>
          <w:rFonts w:hint="eastAsia" w:eastAsia="宋体"/>
          <w:lang w:eastAsia="zh-CN"/>
        </w:rPr>
        <w:t>p-value</w:t>
      </w:r>
      <w:r>
        <w:t xml:space="preserve"> threshold of </w:t>
      </w:r>
      <w:r>
        <w:rPr>
          <w:rFonts w:hint="eastAsia" w:eastAsia="宋体"/>
          <w:lang w:eastAsia="zh-CN"/>
        </w:rPr>
        <w:t>e</w:t>
      </w:r>
      <w:r>
        <w:t>-</w:t>
      </w:r>
      <w:r>
        <w:rPr>
          <w:rFonts w:hint="eastAsia" w:eastAsia="宋体"/>
          <w:lang w:eastAsia="zh-CN"/>
        </w:rPr>
        <w:t>5</w:t>
      </w:r>
      <w:r>
        <w:t xml:space="preserve"> it was identified in </w:t>
      </w:r>
      <w:r>
        <w:rPr>
          <w:rFonts w:hint="eastAsia" w:eastAsia="宋体"/>
          <w:lang w:eastAsia="zh-CN"/>
        </w:rPr>
        <w:t>85</w:t>
      </w:r>
      <w:r>
        <w:t xml:space="preserve"> mitogenomes, with the predictability of </w:t>
      </w:r>
      <w:r>
        <w:rPr>
          <w:rFonts w:hint="eastAsia" w:eastAsia="宋体"/>
          <w:lang w:eastAsia="zh-CN"/>
        </w:rPr>
        <w:t>61.18</w:t>
      </w:r>
      <w:r>
        <w:t xml:space="preserve">%, whereas at the </w:t>
      </w:r>
      <w:r>
        <w:rPr>
          <w:rFonts w:hint="eastAsia" w:eastAsia="宋体"/>
          <w:lang w:eastAsia="zh-CN"/>
        </w:rPr>
        <w:t>e-6</w:t>
      </w:r>
      <w:r>
        <w:t xml:space="preserve"> threshold the two values were </w:t>
      </w:r>
      <w:r>
        <w:rPr>
          <w:rFonts w:hint="eastAsia" w:eastAsia="宋体"/>
          <w:lang w:eastAsia="zh-CN"/>
        </w:rPr>
        <w:t>49</w:t>
      </w:r>
      <w:r>
        <w:t xml:space="preserve"> and </w:t>
      </w:r>
      <w:r>
        <w:rPr>
          <w:rFonts w:hint="eastAsia" w:eastAsia="宋体"/>
          <w:lang w:eastAsia="zh-CN"/>
        </w:rPr>
        <w:t>59.18</w:t>
      </w:r>
      <w:r>
        <w:t>% respectively.</w:t>
      </w:r>
      <w:r>
        <w:rPr>
          <w:rFonts w:hint="eastAsia" w:eastAsia="宋体"/>
          <w:lang w:eastAsia="zh-CN"/>
        </w:rPr>
        <w:t xml:space="preserve"> </w:t>
      </w:r>
      <w:r>
        <w:t xml:space="preserve">On the basis of these analyses, we selected the </w:t>
      </w:r>
      <w:r>
        <w:rPr>
          <w:rFonts w:hint="eastAsia" w:eastAsia="宋体"/>
          <w:lang w:eastAsia="zh-CN"/>
        </w:rPr>
        <w:t>e-</w:t>
      </w:r>
      <w:r>
        <w:t xml:space="preserve">5 </w:t>
      </w:r>
      <w:r>
        <w:rPr>
          <w:rFonts w:hint="eastAsia" w:eastAsia="宋体"/>
          <w:lang w:eastAsia="zh-CN"/>
        </w:rPr>
        <w:t xml:space="preserve">threshold </w:t>
      </w:r>
      <w:r>
        <w:t>as the optimal threshold value (</w:t>
      </w:r>
      <w:r>
        <w:rPr>
          <w:rFonts w:hint="eastAsia" w:eastAsiaTheme="minorEastAsia"/>
          <w:lang w:eastAsia="zh-CN"/>
        </w:rPr>
        <w:t xml:space="preserve">a </w:t>
      </w:r>
      <w:r>
        <w:t>high number of identified motifs, with high predictive power).</w:t>
      </w:r>
    </w:p>
    <w:p>
      <w:pPr>
        <w:pStyle w:val="3"/>
      </w:pPr>
    </w:p>
    <w:p>
      <w:pPr>
        <w:pStyle w:val="3"/>
      </w:pPr>
      <w:bookmarkStart w:id="14" w:name="_Toc102127051"/>
      <w:r>
        <w:t>Phylogenetic analyses</w:t>
      </w:r>
      <w:bookmarkEnd w:id="14"/>
    </w:p>
    <w:p>
      <w:pPr>
        <w:pStyle w:val="7"/>
        <w:spacing w:before="5"/>
        <w:rPr>
          <w:b/>
          <w:sz w:val="31"/>
        </w:rPr>
      </w:pPr>
    </w:p>
    <w:p>
      <w:pPr>
        <w:pStyle w:val="7"/>
        <w:spacing w:line="360" w:lineRule="auto"/>
        <w:ind w:left="120" w:right="1474"/>
        <w:rPr>
          <w:rFonts w:eastAsiaTheme="minorEastAsia"/>
          <w:lang w:eastAsia="zh-CN"/>
        </w:rPr>
      </w:pPr>
      <w:r>
        <w:rPr>
          <w:rFonts w:hint="eastAsia" w:eastAsia="宋体"/>
          <w:lang w:eastAsia="zh-CN"/>
        </w:rPr>
        <w:t>C</w:t>
      </w:r>
      <w:r>
        <w:t>oncatenated 13 mitochondrial protein-coding genes (PCGs)</w:t>
      </w:r>
      <w:r>
        <w:rPr>
          <w:rFonts w:hint="eastAsia" w:eastAsia="宋体"/>
          <w:lang w:eastAsia="zh-CN"/>
        </w:rPr>
        <w:t xml:space="preserve"> and 2rRNAs were used to conduct p</w:t>
      </w:r>
      <w:r>
        <w:t xml:space="preserve">hylogenetic analyses. The </w:t>
      </w:r>
      <w:r>
        <w:rPr>
          <w:spacing w:val="-2"/>
        </w:rPr>
        <w:t xml:space="preserve">phylogeny </w:t>
      </w:r>
      <w:r>
        <w:t>of the entire dataset (</w:t>
      </w:r>
      <w:r>
        <w:rPr>
          <w:rFonts w:hint="eastAsia" w:eastAsia="宋体"/>
          <w:lang w:eastAsia="zh-CN"/>
        </w:rPr>
        <w:t>174</w:t>
      </w:r>
      <w:r>
        <w:t xml:space="preserve"> species) was inferred using the Maximum Likelihood (ML) algorithm implemented in IQ-TREE</w:t>
      </w:r>
      <w:r>
        <w:fldChar w:fldCharType="begin"/>
      </w:r>
      <w:r>
        <w:instrText xml:space="preserve"> ADDIN EN.CITE &lt;EndNote&gt;&lt;Cite&gt;&lt;Author&gt;Trifinopoulos&lt;/Author&gt;&lt;Year&gt;2016&lt;/Year&gt;&lt;RecNum&gt;73&lt;/RecNum&gt;&lt;DisplayText&gt;[17]&lt;/DisplayText&gt;&lt;record&gt;&lt;rec-number&gt;73&lt;/rec-number&gt;&lt;foreign-keys&gt;&lt;key app="EN" db-id="9wvd5satxtzds3eeefppxpwgpd9fas0p9aaw" timestamp="1645758620"&gt;73&lt;/key&gt;&lt;/foreign-keys&gt;&lt;ref-type name="Journal Article"&gt;17&lt;/ref-type&gt;&lt;contributors&gt;&lt;authors&gt;&lt;author&gt;Jana Trifinopoulos&lt;/author&gt;&lt;author&gt;Lam-Tung Nguyen&lt;/author&gt;&lt;author&gt;Arndt von Haeseler&lt;/author&gt;&lt;author&gt;Bui Quang Minh&lt;/author&gt;&lt;/authors&gt;&lt;/contributors&gt;&lt;titles&gt;&lt;title&gt;W-IQ-TREE: a fast online phylogenetic tool for maximum likelihood analysis&lt;/title&gt;&lt;secondary-title&gt;Nucleic acids research&lt;/secondary-title&gt;&lt;/titles&gt;&lt;periodical&gt;&lt;full-title&gt;Nucleic Acids Research&lt;/full-title&gt;&lt;abbr-1&gt;Nucleic Acids Res.&lt;/abbr-1&gt;&lt;abbr-2&gt;Nucleic Acids Res&lt;/abbr-2&gt;&lt;/periodical&gt;&lt;pages&gt;W232-W235&lt;/pages&gt;&lt;volume&gt;44&lt;/volume&gt;&lt;number&gt;W1&lt;/number&gt;&lt;dates&gt;&lt;year&gt;2016&lt;/year&gt;&lt;/dates&gt;&lt;isbn&gt;0305-1048&lt;/isbn&gt;&lt;urls&gt;&lt;/urls&gt;&lt;electronic-resource-num&gt;https://doi.org/10.1093/nar/gkw256&lt;/electronic-resource-num&gt;&lt;/record&gt;&lt;/Cite&gt;&lt;/EndNote&gt;</w:instrText>
      </w:r>
      <w:r>
        <w:fldChar w:fldCharType="separate"/>
      </w:r>
      <w:r>
        <w:t>[17]</w:t>
      </w:r>
      <w:r>
        <w:fldChar w:fldCharType="end"/>
      </w:r>
      <w:r>
        <w:t xml:space="preserve">. </w:t>
      </w:r>
      <w:r>
        <w:rPr>
          <w:rFonts w:hint="eastAsia" w:eastAsia="宋体"/>
          <w:lang w:eastAsia="zh-CN"/>
        </w:rPr>
        <w:t>We used t</w:t>
      </w:r>
      <w:r>
        <w:t xml:space="preserve">his </w:t>
      </w:r>
      <w:r>
        <w:rPr>
          <w:rFonts w:hint="eastAsia" w:eastAsia="宋体"/>
          <w:lang w:eastAsia="zh-CN"/>
        </w:rPr>
        <w:t>ML</w:t>
      </w:r>
      <w:r>
        <w:t xml:space="preserve"> tree to help us infer the evolutionary history of ORI events, </w:t>
      </w:r>
      <w:r>
        <w:rPr>
          <w:rFonts w:hint="eastAsia" w:eastAsia="宋体"/>
          <w:lang w:eastAsia="zh-CN"/>
        </w:rPr>
        <w:t xml:space="preserve">however, we also relied on previous studies </w:t>
      </w:r>
      <w:r>
        <w:fldChar w:fldCharType="begin"/>
      </w:r>
      <w:r>
        <w:instrText xml:space="preserve"> ADDIN EN.CITE &lt;EndNote&gt;&lt;Cite&gt;&lt;Author&gt;Weigert&lt;/Author&gt;&lt;Year&gt;2016&lt;/Year&gt;&lt;RecNum&gt;198&lt;/RecNum&gt;&lt;DisplayText&gt;[18]&lt;/DisplayText&gt;&lt;record&gt;&lt;rec-number&gt;198&lt;/rec-number&gt;&lt;foreign-keys&gt;&lt;key app="EN" db-id="9wvd5satxtzds3eeefppxpwgpd9fas0p9aaw" timestamp="1649679541"&gt;198&lt;/key&gt;&lt;/foreign-keys&gt;&lt;ref-type name="Journal Article"&gt;17&lt;/ref-type&gt;&lt;contributors&gt;&lt;authors&gt;&lt;author&gt;Anne Weigert&lt;/author&gt;&lt;author&gt;Christoph Bleidorn&lt;/author&gt;&lt;/authors&gt;&lt;/contributors&gt;&lt;titles&gt;&lt;title&gt;Current status of annelid phylogeny&lt;/title&gt;&lt;secondary-title&gt;Organisms Diversity Evolution&lt;/secondary-title&gt;&lt;/titles&gt;&lt;periodical&gt;&lt;full-title&gt;Organisms Diversity Evolution&lt;/full-title&gt;&lt;/periodical&gt;&lt;pages&gt;345-362&lt;/pages&gt;&lt;volume&gt;16&lt;/volume&gt;&lt;number&gt;2&lt;/number&gt;&lt;dates&gt;&lt;year&gt;2016&lt;/year&gt;&lt;/dates&gt;&lt;isbn&gt;1618-1077&lt;/isbn&gt;&lt;urls&gt;&lt;/urls&gt;&lt;electronic-resource-num&gt;https://doi.org/10.1007/s13127-016-0265-7&lt;/electronic-resource-num&gt;&lt;/record&gt;&lt;/Cite&gt;&lt;/EndNote&gt;</w:instrText>
      </w:r>
      <w:r>
        <w:fldChar w:fldCharType="separate"/>
      </w:r>
      <w:r>
        <w:t>[18]</w:t>
      </w:r>
      <w:r>
        <w:fldChar w:fldCharType="end"/>
      </w:r>
      <w:r>
        <w:rPr>
          <w:rFonts w:hint="eastAsia" w:eastAsiaTheme="minorEastAsia"/>
          <w:lang w:eastAsia="zh-CN"/>
        </w:rPr>
        <w:t xml:space="preserve"> </w:t>
      </w:r>
      <w:r>
        <w:rPr>
          <w:rFonts w:hint="eastAsia" w:eastAsia="宋体"/>
          <w:lang w:eastAsia="zh-CN"/>
        </w:rPr>
        <w:t>for the overall phylogenetic framework for annelids</w:t>
      </w:r>
      <w:r>
        <w:t xml:space="preserve"> to </w:t>
      </w:r>
      <w:r>
        <w:rPr>
          <w:rFonts w:hint="eastAsia" w:eastAsia="宋体"/>
          <w:lang w:eastAsia="zh-CN"/>
        </w:rPr>
        <w:t>en</w:t>
      </w:r>
      <w:r>
        <w:t>sure that LBA artefacts did not affect our interpretation of the evolutionary history of ORI events.</w:t>
      </w:r>
    </w:p>
    <w:p>
      <w:pPr>
        <w:pStyle w:val="3"/>
        <w:spacing w:before="52"/>
        <w:rPr>
          <w:rFonts w:eastAsiaTheme="minorEastAsia"/>
          <w:lang w:eastAsia="zh-CN"/>
        </w:rPr>
      </w:pPr>
    </w:p>
    <w:p>
      <w:pPr>
        <w:pStyle w:val="3"/>
        <w:spacing w:before="52"/>
      </w:pPr>
      <w:bookmarkStart w:id="15" w:name="_Toc102127052"/>
      <w:r>
        <w:t>dN/dS</w:t>
      </w:r>
      <w:bookmarkEnd w:id="15"/>
    </w:p>
    <w:p>
      <w:pPr>
        <w:pStyle w:val="7"/>
        <w:spacing w:before="7"/>
        <w:rPr>
          <w:b/>
          <w:sz w:val="31"/>
        </w:rPr>
      </w:pPr>
    </w:p>
    <w:p>
      <w:pPr>
        <w:pStyle w:val="7"/>
        <w:spacing w:before="1" w:line="360" w:lineRule="auto"/>
        <w:ind w:left="120" w:right="1473"/>
        <w:rPr>
          <w:rFonts w:eastAsia="宋体"/>
          <w:lang w:eastAsia="zh-CN"/>
        </w:rPr>
      </w:pPr>
      <w:r>
        <w:t xml:space="preserve">The </w:t>
      </w:r>
      <w:r>
        <w:rPr>
          <w:spacing w:val="-3"/>
        </w:rPr>
        <w:t xml:space="preserve">rate </w:t>
      </w:r>
      <w:r>
        <w:t xml:space="preserve">of nonsynonymous (dN) to synonymous (dS) substitutions (ω = dN/dS) </w:t>
      </w:r>
      <w:r>
        <w:rPr>
          <w:rFonts w:hint="eastAsia" w:eastAsiaTheme="minorEastAsia"/>
          <w:lang w:eastAsia="zh-CN"/>
        </w:rPr>
        <w:t>i</w:t>
      </w:r>
      <w:r>
        <w:rPr>
          <w:rFonts w:hint="eastAsia"/>
        </w:rPr>
        <w:t>s commonly used to identify protein sites that experience purifying selection (</w:t>
      </w:r>
      <w:r>
        <w:t>ω&lt;1</w:t>
      </w:r>
      <w:r>
        <w:rPr>
          <w:rFonts w:hint="eastAsia" w:eastAsia="宋体"/>
          <w:lang w:eastAsia="zh-CN"/>
        </w:rPr>
        <w:t xml:space="preserve">, as </w:t>
      </w:r>
      <w:r>
        <w:rPr>
          <w:rFonts w:hint="eastAsia"/>
        </w:rPr>
        <w:t>purifying selection</w:t>
      </w:r>
      <w:r>
        <w:rPr>
          <w:rFonts w:hint="eastAsia" w:eastAsia="宋体"/>
          <w:lang w:eastAsia="zh-CN"/>
        </w:rPr>
        <w:t xml:space="preserve"> tends to remove non-synonymous variation from a population</w:t>
      </w:r>
      <w:r>
        <w:rPr>
          <w:rFonts w:hint="eastAsia"/>
        </w:rPr>
        <w:t>), evolve neutrally (</w:t>
      </w:r>
      <w:r>
        <w:t>ω=1</w:t>
      </w:r>
      <w:r>
        <w:rPr>
          <w:rFonts w:hint="eastAsia"/>
        </w:rPr>
        <w:t>), or experience positive,</w:t>
      </w:r>
      <w:r>
        <w:rPr>
          <w:rFonts w:hint="eastAsia" w:eastAsia="宋体"/>
          <w:lang w:eastAsia="zh-CN"/>
        </w:rPr>
        <w:t xml:space="preserve"> </w:t>
      </w:r>
      <w:r>
        <w:rPr>
          <w:rFonts w:hint="eastAsia"/>
        </w:rPr>
        <w:t>diversifying selection</w:t>
      </w:r>
      <w:r>
        <w:rPr>
          <w:rFonts w:hint="eastAsia" w:eastAsia="宋体"/>
          <w:lang w:eastAsia="zh-CN"/>
        </w:rPr>
        <w:t xml:space="preserve"> (</w:t>
      </w:r>
      <w:r>
        <w:t>ω&gt;1</w:t>
      </w:r>
      <w:r>
        <w:rPr>
          <w:rFonts w:hint="eastAsia" w:eastAsia="宋体"/>
          <w:lang w:eastAsia="zh-CN"/>
        </w:rPr>
        <w:t xml:space="preserve">, as </w:t>
      </w:r>
      <w:r>
        <w:rPr>
          <w:rFonts w:hint="eastAsia"/>
        </w:rPr>
        <w:t>positive</w:t>
      </w:r>
      <w:r>
        <w:rPr>
          <w:rFonts w:hint="eastAsia" w:eastAsia="宋体"/>
          <w:lang w:eastAsia="zh-CN"/>
        </w:rPr>
        <w:t xml:space="preserve"> </w:t>
      </w:r>
      <w:r>
        <w:rPr>
          <w:rFonts w:hint="eastAsia"/>
        </w:rPr>
        <w:t>selection</w:t>
      </w:r>
      <w:r>
        <w:rPr>
          <w:rFonts w:hint="eastAsia" w:eastAsia="宋体"/>
          <w:lang w:eastAsia="zh-CN"/>
        </w:rPr>
        <w:t xml:space="preserve"> tends to promote non-synonymous variation in a population)</w:t>
      </w:r>
      <w:r>
        <w:t xml:space="preserve"> </w:t>
      </w:r>
      <w:r>
        <w:fldChar w:fldCharType="begin"/>
      </w:r>
      <w:r>
        <w:instrText xml:space="preserve"> ADDIN EN.CITE &lt;EndNote&gt;&lt;Cite&gt;&lt;Author&gt;Kryazhimskiy&lt;/Author&gt;&lt;Year&gt;2008&lt;/Year&gt;&lt;RecNum&gt;36&lt;/RecNum&gt;&lt;DisplayText&gt;[19, 20]&lt;/DisplayText&gt;&lt;record&gt;&lt;rec-number&gt;36&lt;/rec-number&gt;&lt;foreign-keys&gt;&lt;key app="EN" db-id="9wvd5satxtzds3eeefppxpwgpd9fas0p9aaw" timestamp="1645758620"&gt;36&lt;/key&gt;&lt;/foreign-keys&gt;&lt;ref-type name="Journal Article"&gt;17&lt;/ref-type&gt;&lt;contributors&gt;&lt;authors&gt;&lt;author&gt;Sergey Kryazhimskiy&lt;/author&gt;&lt;author&gt;Joshua B Plotkin&lt;/author&gt;&lt;/authors&gt;&lt;/contributors&gt;&lt;titles&gt;&lt;title&gt;The population genetics of dN/dS&lt;/title&gt;&lt;secondary-title&gt;PLoS genetics&lt;/secondary-title&gt;&lt;/titles&gt;&lt;periodical&gt;&lt;full-title&gt;PLoS Genetics&lt;/full-title&gt;&lt;abbr-1&gt;PLoS Genet.&lt;/abbr-1&gt;&lt;abbr-2&gt;PLoS Genet&lt;/abbr-2&gt;&lt;/periodical&gt;&lt;pages&gt;e1000304&lt;/pages&gt;&lt;volume&gt;4&lt;/volume&gt;&lt;number&gt;12&lt;/number&gt;&lt;dates&gt;&lt;year&gt;2008&lt;/year&gt;&lt;/dates&gt;&lt;isbn&gt;1553-7390&lt;/isbn&gt;&lt;urls&gt;&lt;/urls&gt;&lt;electronic-resource-num&gt;https://doi.org/10.1371/journal.pgen.1000304&lt;/electronic-resource-num&gt;&lt;/record&gt;&lt;/Cite&gt;&lt;Cite&gt;&lt;Author&gt;Pond&lt;/Author&gt;&lt;Year&gt;2005&lt;/Year&gt;&lt;RecNum&gt;34&lt;/RecNum&gt;&lt;record&gt;&lt;rec-number&gt;34&lt;/rec-number&gt;&lt;foreign-keys&gt;&lt;key app="EN" db-id="9wvd5satxtzds3eeefppxpwgpd9fas0p9aaw" timestamp="1645758620"&gt;34&lt;/key&gt;&lt;/foreign-keys&gt;&lt;ref-type name="Journal Article"&gt;17&lt;/ref-type&gt;&lt;contributors&gt;&lt;authors&gt;&lt;author&gt;Sergei L Kosakovsky Pond&lt;/author&gt;&lt;author&gt;Simon DW Frost&lt;/author&gt;&lt;/authors&gt;&lt;/contributors&gt;&lt;titles&gt;&lt;title&gt;Not so different after all: a comparison of methods for detecting amino acid sites under selection&lt;/title&gt;&lt;secondary-title&gt;Molecular biology evolution&lt;/secondary-title&gt;&lt;/titles&gt;&lt;periodical&gt;&lt;full-title&gt;Molecular Biology Evolution&lt;/full-title&gt;&lt;abbr-1&gt;Mol. Biol. Evol.&lt;/abbr-1&gt;&lt;/periodical&gt;&lt;pages&gt;1208-1222&lt;/pages&gt;&lt;volume&gt;22&lt;/volume&gt;&lt;number&gt;5&lt;/number&gt;&lt;dates&gt;&lt;year&gt;2005&lt;/year&gt;&lt;/dates&gt;&lt;isbn&gt;1537-1719&lt;/isbn&gt;&lt;urls&gt;&lt;/urls&gt;&lt;electronic-resource-num&gt;https://doi.org/10.1093/molbev/msi105&lt;/electronic-resource-num&gt;&lt;/record&gt;&lt;/Cite&gt;&lt;/EndNote&gt;</w:instrText>
      </w:r>
      <w:r>
        <w:fldChar w:fldCharType="separate"/>
      </w:r>
      <w:r>
        <w:t>[19, 20]</w:t>
      </w:r>
      <w:r>
        <w:fldChar w:fldCharType="end"/>
      </w:r>
      <w:r>
        <w:t>.</w:t>
      </w:r>
      <w:r>
        <w:rPr>
          <w:rFonts w:hint="eastAsia"/>
        </w:rPr>
        <w:t xml:space="preserve"> </w:t>
      </w:r>
      <w:r>
        <w:rPr>
          <w:rFonts w:hint="eastAsia" w:eastAsia="宋体"/>
          <w:lang w:eastAsia="zh-CN"/>
        </w:rPr>
        <w:t>I</w:t>
      </w:r>
      <w:r>
        <w:rPr>
          <w:rFonts w:hint="eastAsia"/>
        </w:rPr>
        <w:t>nitially</w:t>
      </w:r>
      <w:r>
        <w:rPr>
          <w:spacing w:val="-3"/>
        </w:rPr>
        <w:t xml:space="preserve">, </w:t>
      </w:r>
      <w:r>
        <w:t xml:space="preserve">mitogenomes </w:t>
      </w:r>
      <w:r>
        <w:rPr>
          <w:rFonts w:hint="eastAsia" w:eastAsia="宋体"/>
          <w:lang w:eastAsia="zh-CN"/>
        </w:rPr>
        <w:t xml:space="preserve">were </w:t>
      </w:r>
      <w:r>
        <w:rPr>
          <w:rFonts w:hint="eastAsia"/>
        </w:rPr>
        <w:t>thought to evolve neutrally</w:t>
      </w:r>
      <w:r>
        <w:rPr>
          <w:rFonts w:hint="eastAsia" w:eastAsia="宋体"/>
          <w:lang w:eastAsia="zh-CN"/>
        </w:rPr>
        <w:t xml:space="preserve">. However, </w:t>
      </w:r>
      <w:r>
        <w:rPr>
          <w:rFonts w:hint="eastAsia"/>
        </w:rPr>
        <w:t>mitogenomes are not only influenced by purifying selection, but also evolve</w:t>
      </w:r>
      <w:r>
        <w:rPr>
          <w:rFonts w:hint="eastAsia" w:eastAsia="宋体"/>
          <w:lang w:eastAsia="zh-CN"/>
        </w:rPr>
        <w:t xml:space="preserve"> </w:t>
      </w:r>
      <w:r>
        <w:rPr>
          <w:rFonts w:hint="eastAsia"/>
        </w:rPr>
        <w:t>adaptively</w:t>
      </w:r>
      <w:r>
        <w:rPr>
          <w:rFonts w:hint="eastAsia" w:eastAsia="宋体"/>
          <w:lang w:eastAsia="zh-CN"/>
        </w:rPr>
        <w:t xml:space="preserve"> </w:t>
      </w:r>
      <w:r>
        <w:rPr>
          <w:rFonts w:eastAsia="宋体"/>
          <w:lang w:eastAsia="zh-CN"/>
        </w:rPr>
        <w:fldChar w:fldCharType="begin">
          <w:fldData xml:space="preserve">PEVuZE5vdGU+PENpdGU+PEF1dGhvcj5CYWxsYXJkPC9BdXRob3I+PFllYXI+MjAwNTwvWWVhcj48
UmVjTnVtPjY8L1JlY051bT48RGlzcGxheVRleHQ+WzIxLCAyMiwgMjMsIDI0LCAyNSwgMjZdPC9E
aXNwbGF5VGV4dD48cmVjb3JkPjxyZWMtbnVtYmVyPjY8L3JlYy1udW1iZXI+PGZvcmVpZ24ta2V5
cz48a2V5IGFwcD0iRU4iIGRiLWlkPSI5d3ZkNXNhdHh0emRzM2VlZWZwcHhwd2dwZDlmYXMwcDlh
YXciIHRpbWVzdGFtcD0iMTY0NTc1ODYyMCI+Njwva2V5PjwvZm9yZWlnbi1rZXlzPjxyZWYtdHlw
ZSBuYW1lPSJKb3VybmFsIEFydGljbGUiPjE3PC9yZWYtdHlwZT48Y29udHJpYnV0b3JzPjxhdXRo
b3JzPjxhdXRob3I+SiBXaWxsaWFtIE8gQmFsbGFyZDwvYXV0aG9yPjxhdXRob3I+RGF2aWQgTSBS
YW5kPC9hdXRob3I+PC9hdXRob3JzPjwvY29udHJpYnV0b3JzPjx0aXRsZXM+PHRpdGxlPlRoZSBw
b3B1bGF0aW9uIGJpb2xvZ3kgb2YgbWl0b2Nob25kcmlhbCBETkEgYW5kIGl0cyBwaHlsb2dlbmV0
aWMgaW1wbGljYXRpb25zPC90aXRsZT48c2Vjb25kYXJ5LXRpdGxlPkFubnUuIFJldi4gRWNvbC4g
RXZvbC4gU3lzdC48L3NlY29uZGFyeS10aXRsZT48L3RpdGxlcz48cGFnZXM+NjIxLTY0MjwvcGFn
ZXM+PHZvbHVtZT4zNjwvdm9sdW1lPjxkYXRlcz48eWVhcj4yMDA1PC95ZWFyPjwvZGF0ZXM+PGlz
Ym4+MTU0My01OTJYPC9pc2JuPjx1cmxzPjwvdXJscz48ZWxlY3Ryb25pYy1yZXNvdXJjZS1udW0+
aHR0cHM6Ly9kb2kub3JnLzEwLjExNDYvYW5udXJldi5lY29sc3lzLjM2LjA5MTcwNC4xNzU1MTM8
L2VsZWN0cm9uaWMtcmVzb3VyY2UtbnVtPjwvcmVjb3JkPjwvQ2l0ZT48Q2l0ZT48QXV0aG9yPkZv
bnNlY2E8L0F1dGhvcj48WWVhcj4yMDA4PC9ZZWFyPjxSZWNOdW0+MTc8L1JlY051bT48cmVjb3Jk
PjxyZWMtbnVtYmVyPjE3PC9yZWMtbnVtYmVyPjxmb3JlaWduLWtleXM+PGtleSBhcHA9IkVOIiBk
Yi1pZD0iOXd2ZDVzYXR4dHpkczNlZWVmcHB4cHdncGQ5ZmFzMHA5YWF3IiB0aW1lc3RhbXA9IjE2
NDU3NTg2MjAiPjE3PC9rZXk+PC9mb3JlaWduLWtleXM+PHJlZi10eXBlIG5hbWU9IkpvdXJuYWwg
QXJ0aWNsZSI+MTc8L3JlZi10eXBlPjxjb250cmlidXRvcnM+PGF1dGhvcnM+PGF1dGhvcj5SdXRl
IFIgRGEgRm9uc2VjYTwvYXV0aG9yPjxhdXRob3I+V2FycmVuIEUgSm9obnNvbjwvYXV0aG9yPjxh
dXRob3I+U3RlcGhlbiBKIE8mYXBvcztCcmllbjwvYXV0aG9yPjxhdXRob3I+TWFyaWEgSm/Do28g
UmFtb3M8L2F1dGhvcj48YXV0aG9yPkFnb3N0aW5obyBBbnR1bmVzPC9hdXRob3I+PC9hdXRob3Jz
PjwvY29udHJpYnV0b3JzPjx0aXRsZXM+PHRpdGxlPlRoZSBhZGFwdGl2ZSBldm9sdXRpb24gb2Yg
dGhlIG1hbW1hbGlhbiBtaXRvY2hvbmRyaWFsIGdlbm9tZTwvdGl0bGU+PHNlY29uZGFyeS10aXRs
ZT5CTUMgZ2Vub21pY3M8L3NlY29uZGFyeS10aXRsZT48L3RpdGxlcz48cGVyaW9kaWNhbD48ZnVs
bC10aXRsZT5CTUMgR2Vub21pY3M8L2Z1bGwtdGl0bGU+PGFiYnItMT5CTUMgR2Vub21pY3M8L2Fi
YnItMT48YWJici0yPkJNQyBHZW5vbWljczwvYWJici0yPjwvcGVyaW9kaWNhbD48cGFnZXM+MS0y
MjwvcGFnZXM+PHZvbHVtZT45PC92b2x1bWU+PG51bWJlcj4xPC9udW1iZXI+PGRhdGVzPjx5ZWFy
PjIwMDg8L3llYXI+PC9kYXRlcz48aXNibj4xNDcxLTIxNjQ8L2lzYm4+PHVybHM+PC91cmxzPjxl
bGVjdHJvbmljLXJlc291cmNlLW51bT5odHRwczovL2RvaS5vcmcvMTAuMTE4Ni8xNDcxLTIxNjQt
OS0xMTk8L2VsZWN0cm9uaWMtcmVzb3VyY2UtbnVtPjwvcmVjb3JkPjwvQ2l0ZT48Q2l0ZT48QXV0
aG9yPlNoZW48L0F1dGhvcj48WWVhcj4yMDEwPC9ZZWFyPjxSZWNOdW0+NjM8L1JlY051bT48cmVj
b3JkPjxyZWMtbnVtYmVyPjYzPC9yZWMtbnVtYmVyPjxmb3JlaWduLWtleXM+PGtleSBhcHA9IkVO
IiBkYi1pZD0iOXd2ZDVzYXR4dHpkczNlZWVmcHB4cHdncGQ5ZmFzMHA5YWF3IiB0aW1lc3RhbXA9
IjE2NDU3NTg2MjAiPjYzPC9rZXk+PC9mb3JlaWduLWtleXM+PHJlZi10eXBlIG5hbWU9IkpvdXJu
YWwgQXJ0aWNsZSI+MTc8L3JlZi10eXBlPjxjb250cmlidXRvcnM+PGF1dGhvcnM+PGF1dGhvcj5Z
b25nLVlpIFNoZW48L2F1dGhvcj48YXV0aG9yPkx1IExpYW5nPC9hdXRob3I+PGF1dGhvcj5aaG91
LUhhaSBaaHU8L2F1dGhvcj48YXV0aG9yPldlaS1QaW5nIFpob3U8L2F1dGhvcj48YXV0aG9yPkRh
dmlkIE0gSXJ3aW48L2F1dGhvcj48YXV0aG9yPllhLVBpbmcgWmhhbmc8L2F1dGhvcj48L2F1dGhv
cnM+PC9jb250cmlidXRvcnM+PHRpdGxlcz48dGl0bGU+QWRhcHRpdmUgZXZvbHV0aW9uIG9mIGVu
ZXJneSBtZXRhYm9saXNtIGdlbmVzIGFuZCB0aGUgb3JpZ2luIG9mIGZsaWdodCBpbiBiYXRzPC90
aXRsZT48c2Vjb25kYXJ5LXRpdGxlPlByb2NlZWRpbmdzIG9mIHRoZSBOYXRpb25hbCBBY2FkZW15
IG9mIFNjaWVuY2VzPC9zZWNvbmRhcnktdGl0bGU+PC90aXRsZXM+PHBhZ2VzPjg2NjYtODY3MTwv
cGFnZXM+PHZvbHVtZT4xMDc8L3ZvbHVtZT48bnVtYmVyPjE5PC9udW1iZXI+PGRhdGVzPjx5ZWFy
PjIwMTA8L3llYXI+PC9kYXRlcz48aXNibj4wMDI3LTg0MjQ8L2lzYm4+PHVybHM+PC91cmxzPjxl
bGVjdHJvbmljLXJlc291cmNlLW51bT5odHRwczovL2RvaS5vcmcvMTAuMTA3My9wbmFzLjA5MTI2
MTMxMDc8L2VsZWN0cm9uaWMtcmVzb3VyY2UtbnVtPjwvcmVjb3JkPjwvQ2l0ZT48Q2l0ZT48QXV0
aG9yPk1lbmV6ZXM8L0F1dGhvcj48WWVhcj4yMDEzPC9ZZWFyPjxSZWNOdW0+NDI8L1JlY051bT48
cmVjb3JkPjxyZWMtbnVtYmVyPjQyPC9yZWMtbnVtYmVyPjxmb3JlaWduLWtleXM+PGtleSBhcHA9
IkVOIiBkYi1pZD0iOXd2ZDVzYXR4dHpkczNlZWVmcHB4cHdncGQ5ZmFzMHA5YWF3IiB0aW1lc3Rh
bXA9IjE2NDU3NTg2MjAiPjQyPC9rZXk+PC9mb3JlaWduLWtleXM+PHJlZi10eXBlIG5hbWU9Ikpv
dXJuYWwgQXJ0aWNsZSI+MTc8L3JlZi10eXBlPjxjb250cmlidXRvcnM+PGF1dGhvcnM+PGF1dGhv
cj5BbGJlcnQgTiBNZW5lemVzPC9hdXRob3I+PGF1dGhvcj5NYXJpYSBDYXJvbGluYSBWaWFuYTwv
YXV0aG9yPjxhdXRob3I+Q2Fyb2xpbmEgRnVydGFkbzwvYXV0aG9yPjxhdXRob3I+Q2FybG9zIEcg
U2NocmFnbzwvYXV0aG9yPjxhdXRob3I+SGVjdG9yIE4gU2V1YW5lejwvYXV0aG9yPjwvYXV0aG9y
cz48L2NvbnRyaWJ1dG9ycz48dGl0bGVzPjx0aXRsZT5Qb3NpdGl2ZSBzZWxlY3Rpb24gYWxvbmcg
dGhlIGV2b2x1dGlvbiBvZiBwcmltYXRlIG1pdG9nZW5vbWVzPC90aXRsZT48c2Vjb25kYXJ5LXRp
dGxlPk1pdG9jaG9uZHJpb248L3NlY29uZGFyeS10aXRsZT48L3RpdGxlcz48cGVyaW9kaWNhbD48
ZnVsbC10aXRsZT5NaXRvY2hvbmRyaW9uPC9mdWxsLXRpdGxlPjxhYmJyLTE+TWl0b2Nob25kcmlv
bjwvYWJici0xPjxhYmJyLTI+TWl0b2Nob25kcmlvbjwvYWJici0yPjwvcGVyaW9kaWNhbD48cGFn
ZXM+ODQ2LTg1MTwvcGFnZXM+PHZvbHVtZT4xMzwvdm9sdW1lPjxudW1iZXI+NjwvbnVtYmVyPjxk
YXRlcz48eWVhcj4yMDEzPC95ZWFyPjwvZGF0ZXM+PGlzYm4+MTU2Ny03MjQ5PC9pc2JuPjx1cmxz
PjwvdXJscz48ZWxlY3Ryb25pYy1yZXNvdXJjZS1udW0+aHR0cHM6Ly9kb2kub3JnLzEwLjEwMTYv
ai5taXRvLjIwMTMuMDYuMDAxPC9lbGVjdHJvbmljLXJlc291cmNlLW51bT48L3JlY29yZD48L0Np
dGU+PENpdGU+PEF1dGhvcj5CbGllcjwvQXV0aG9yPjxZZWFyPjIwMDE8L1llYXI+PFJlY051bT4x
MDwvUmVjTnVtPjxyZWNvcmQ+PHJlYy1udW1iZXI+MTA8L3JlYy1udW1iZXI+PGZvcmVpZ24ta2V5
cz48a2V5IGFwcD0iRU4iIGRiLWlkPSI5d3ZkNXNhdHh0emRzM2VlZWZwcHhwd2dwZDlmYXMwcDlh
YXciIHRpbWVzdGFtcD0iMTY0NTc1ODYyMCI+MTA8L2tleT48L2ZvcmVpZ24ta2V5cz48cmVmLXR5
cGUgbmFtZT0iSm91cm5hbCBBcnRpY2xlIj4xNzwvcmVmLXR5cGU+PGNvbnRyaWJ1dG9ycz48YXV0
aG9ycz48YXV0aG9yPlBpZXJyZSBVIEJsaWVyPC9hdXRob3I+PGF1dGhvcj5GcmFuY2UgRHVmcmVz
bmU8L2F1dGhvcj48YXV0aG9yPlJvbmFsZCBTIEJ1cnRvbjwvYXV0aG9yPjwvYXV0aG9ycz48L2Nv
bnRyaWJ1dG9ycz48dGl0bGVzPjx0aXRsZT5OYXR1cmFsIHNlbGVjdGlvbiBhbmQgdGhlIGV2b2x1
dGlvbiBvZiBtdEROQS1lbmNvZGVkIHBlcHRpZGVzOiBldmlkZW5jZSBmb3IgaW50ZXJnZW5vbWlj
IGNvLWFkYXB0YXRpb248L3RpdGxlPjxzZWNvbmRhcnktdGl0bGU+VFJFTkRTIGluIEdlbmV0aWNz
PC9zZWNvbmRhcnktdGl0bGU+PC90aXRsZXM+PHBlcmlvZGljYWw+PGZ1bGwtdGl0bGU+VFJFTkRT
IGluIEdlbmV0aWNzPC9mdWxsLXRpdGxlPjxhYmJyLTE+VElHPC9hYmJyLTE+PC9wZXJpb2RpY2Fs
PjxwYWdlcz40MDAtNDA2PC9wYWdlcz48dm9sdW1lPjE3PC92b2x1bWU+PG51bWJlcj43PC9udW1i
ZXI+PGRhdGVzPjx5ZWFyPjIwMDE8L3llYXI+PC9kYXRlcz48aXNibj4wMTY4LTk1MjU8L2lzYm4+
PHVybHM+PC91cmxzPjxlbGVjdHJvbmljLXJlc291cmNlLW51bT5odHRwczovL2RvaS5vcmcvMTAu
MTAxNi9TMDE2OC05NTI1KDAxKTAyMzM4LTE8L2VsZWN0cm9uaWMtcmVzb3VyY2UtbnVtPjwvcmVj
b3JkPjwvQ2l0ZT48Q2l0ZT48QXV0aG9yPkNhc3RvZTwvQXV0aG9yPjxZZWFyPjIwMDk8L1llYXI+
PFJlY051bT4xNTwvUmVjTnVtPjxyZWNvcmQ+PHJlYy1udW1iZXI+MTU8L3JlYy1udW1iZXI+PGZv
cmVpZ24ta2V5cz48a2V5IGFwcD0iRU4iIGRiLWlkPSI5d3ZkNXNhdHh0emRzM2VlZWZwcHhwd2dw
ZDlmYXMwcDlhYXciIHRpbWVzdGFtcD0iMTY0NTc1ODYyMCI+MTU8L2tleT48L2ZvcmVpZ24ta2V5
cz48cmVmLXR5cGUgbmFtZT0iSm91cm5hbCBBcnRpY2xlIj4xNzwvcmVmLXR5cGU+PGNvbnRyaWJ1
dG9ycz48YXV0aG9ycz48YXV0aG9yPlRvZGQgQSBDYXN0b2U8L2F1dGhvcj48YXV0aG9yPkFQIEph
c29uIGRlIEtvbmluZzwvYXV0aG9yPjxhdXRob3I+SHl1bi1NaW4gS2ltPC9hdXRob3I+PGF1dGhv
cj5XYW5qdW4gR3U8L2F1dGhvcj48YXV0aG9yPkJyaWNlIFAgTm9vbmFuPC9hdXRob3I+PGF1dGhv
cj5HYXZpbiBOYXlsb3I8L2F1dGhvcj48YXV0aG9yPlpoaSBKIEppYW5nPC9hdXRob3I+PGF1dGhv
cj5DaHJpc3RvcGhlciBMIFBhcmtpbnNvbjwvYXV0aG9yPjxhdXRob3I+RGF2aWQgRCBQb2xsb2Nr
PC9hdXRob3I+PC9hdXRob3JzPjwvY29udHJpYnV0b3JzPjx0aXRsZXM+PHRpdGxlPkV2aWRlbmNl
IGZvciBhbiBhbmNpZW50IGFkYXB0aXZlIGVwaXNvZGUgb2YgY29udmVyZ2VudCBtb2xlY3VsYXIg
ZXZvbHV0aW9uPC90aXRsZT48c2Vjb25kYXJ5LXRpdGxlPlByb2NlZWRpbmdzIG9mIHRoZSBOYXRp
b25hbCBBY2FkZW15IG9mIFNjaWVuY2VzPC9zZWNvbmRhcnktdGl0bGU+PC90aXRsZXM+PHBhZ2Vz
Pjg5ODYtODk5MTwvcGFnZXM+PHZvbHVtZT4xMDY8L3ZvbHVtZT48bnVtYmVyPjIyPC9udW1iZXI+
PGRhdGVzPjx5ZWFyPjIwMDk8L3llYXI+PC9kYXRlcz48aXNibj4wMDI3LTg0MjQ8L2lzYm4+PHVy
bHM+PC91cmxzPjxlbGVjdHJvbmljLXJlc291cmNlLW51bT5odHRwczovL2RvaS5vcmcvMTAuMTA3
My9wbmFzLjA5MDAyMzMxMDY8L2VsZWN0cm9uaWMtcmVzb3VyY2UtbnVtPjwvcmVjb3JkPjwvQ2l0
ZT48L0VuZE5vdGU+AGAA
</w:fldData>
        </w:fldChar>
      </w:r>
      <w:r>
        <w:rPr>
          <w:rFonts w:eastAsia="宋体"/>
          <w:lang w:eastAsia="zh-CN"/>
        </w:rPr>
        <w:instrText xml:space="preserve"> ADDIN EN.CITE </w:instrText>
      </w:r>
      <w:r>
        <w:rPr>
          <w:rFonts w:eastAsia="宋体"/>
          <w:lang w:eastAsia="zh-CN"/>
        </w:rPr>
        <w:fldChar w:fldCharType="begin">
          <w:fldData xml:space="preserve">PEVuZE5vdGU+PENpdGU+PEF1dGhvcj5CYWxsYXJkPC9BdXRob3I+PFllYXI+MjAwNTwvWWVhcj48
UmVjTnVtPjY8L1JlY051bT48RGlzcGxheVRleHQ+WzIxLCAyMiwgMjMsIDI0LCAyNSwgMjZdPC9E
aXNwbGF5VGV4dD48cmVjb3JkPjxyZWMtbnVtYmVyPjY8L3JlYy1udW1iZXI+PGZvcmVpZ24ta2V5
cz48a2V5IGFwcD0iRU4iIGRiLWlkPSI5d3ZkNXNhdHh0emRzM2VlZWZwcHhwd2dwZDlmYXMwcDlh
YXciIHRpbWVzdGFtcD0iMTY0NTc1ODYyMCI+Njwva2V5PjwvZm9yZWlnbi1rZXlzPjxyZWYtdHlw
ZSBuYW1lPSJKb3VybmFsIEFydGljbGUiPjE3PC9yZWYtdHlwZT48Y29udHJpYnV0b3JzPjxhdXRo
b3JzPjxhdXRob3I+SiBXaWxsaWFtIE8gQmFsbGFyZDwvYXV0aG9yPjxhdXRob3I+RGF2aWQgTSBS
YW5kPC9hdXRob3I+PC9hdXRob3JzPjwvY29udHJpYnV0b3JzPjx0aXRsZXM+PHRpdGxlPlRoZSBw
b3B1bGF0aW9uIGJpb2xvZ3kgb2YgbWl0b2Nob25kcmlhbCBETkEgYW5kIGl0cyBwaHlsb2dlbmV0
aWMgaW1wbGljYXRpb25zPC90aXRsZT48c2Vjb25kYXJ5LXRpdGxlPkFubnUuIFJldi4gRWNvbC4g
RXZvbC4gU3lzdC48L3NlY29uZGFyeS10aXRsZT48L3RpdGxlcz48cGFnZXM+NjIxLTY0MjwvcGFn
ZXM+PHZvbHVtZT4zNjwvdm9sdW1lPjxkYXRlcz48eWVhcj4yMDA1PC95ZWFyPjwvZGF0ZXM+PGlz
Ym4+MTU0My01OTJYPC9pc2JuPjx1cmxzPjwvdXJscz48ZWxlY3Ryb25pYy1yZXNvdXJjZS1udW0+
aHR0cHM6Ly9kb2kub3JnLzEwLjExNDYvYW5udXJldi5lY29sc3lzLjM2LjA5MTcwNC4xNzU1MTM8
L2VsZWN0cm9uaWMtcmVzb3VyY2UtbnVtPjwvcmVjb3JkPjwvQ2l0ZT48Q2l0ZT48QXV0aG9yPkZv
bnNlY2E8L0F1dGhvcj48WWVhcj4yMDA4PC9ZZWFyPjxSZWNOdW0+MTc8L1JlY051bT48cmVjb3Jk
PjxyZWMtbnVtYmVyPjE3PC9yZWMtbnVtYmVyPjxmb3JlaWduLWtleXM+PGtleSBhcHA9IkVOIiBk
Yi1pZD0iOXd2ZDVzYXR4dHpkczNlZWVmcHB4cHdncGQ5ZmFzMHA5YWF3IiB0aW1lc3RhbXA9IjE2
NDU3NTg2MjAiPjE3PC9rZXk+PC9mb3JlaWduLWtleXM+PHJlZi10eXBlIG5hbWU9IkpvdXJuYWwg
QXJ0aWNsZSI+MTc8L3JlZi10eXBlPjxjb250cmlidXRvcnM+PGF1dGhvcnM+PGF1dGhvcj5SdXRl
IFIgRGEgRm9uc2VjYTwvYXV0aG9yPjxhdXRob3I+V2FycmVuIEUgSm9obnNvbjwvYXV0aG9yPjxh
dXRob3I+U3RlcGhlbiBKIE8mYXBvcztCcmllbjwvYXV0aG9yPjxhdXRob3I+TWFyaWEgSm/Do28g
UmFtb3M8L2F1dGhvcj48YXV0aG9yPkFnb3N0aW5obyBBbnR1bmVzPC9hdXRob3I+PC9hdXRob3Jz
PjwvY29udHJpYnV0b3JzPjx0aXRsZXM+PHRpdGxlPlRoZSBhZGFwdGl2ZSBldm9sdXRpb24gb2Yg
dGhlIG1hbW1hbGlhbiBtaXRvY2hvbmRyaWFsIGdlbm9tZTwvdGl0bGU+PHNlY29uZGFyeS10aXRs
ZT5CTUMgZ2Vub21pY3M8L3NlY29uZGFyeS10aXRsZT48L3RpdGxlcz48cGVyaW9kaWNhbD48ZnVs
bC10aXRsZT5CTUMgR2Vub21pY3M8L2Z1bGwtdGl0bGU+PGFiYnItMT5CTUMgR2Vub21pY3M8L2Fi
YnItMT48YWJici0yPkJNQyBHZW5vbWljczwvYWJici0yPjwvcGVyaW9kaWNhbD48cGFnZXM+MS0y
MjwvcGFnZXM+PHZvbHVtZT45PC92b2x1bWU+PG51bWJlcj4xPC9udW1iZXI+PGRhdGVzPjx5ZWFy
PjIwMDg8L3llYXI+PC9kYXRlcz48aXNibj4xNDcxLTIxNjQ8L2lzYm4+PHVybHM+PC91cmxzPjxl
bGVjdHJvbmljLXJlc291cmNlLW51bT5odHRwczovL2RvaS5vcmcvMTAuMTE4Ni8xNDcxLTIxNjQt
OS0xMTk8L2VsZWN0cm9uaWMtcmVzb3VyY2UtbnVtPjwvcmVjb3JkPjwvQ2l0ZT48Q2l0ZT48QXV0
aG9yPlNoZW48L0F1dGhvcj48WWVhcj4yMDEwPC9ZZWFyPjxSZWNOdW0+NjM8L1JlY051bT48cmVj
b3JkPjxyZWMtbnVtYmVyPjYzPC9yZWMtbnVtYmVyPjxmb3JlaWduLWtleXM+PGtleSBhcHA9IkVO
IiBkYi1pZD0iOXd2ZDVzYXR4dHpkczNlZWVmcHB4cHdncGQ5ZmFzMHA5YWF3IiB0aW1lc3RhbXA9
IjE2NDU3NTg2MjAiPjYzPC9rZXk+PC9mb3JlaWduLWtleXM+PHJlZi10eXBlIG5hbWU9IkpvdXJu
YWwgQXJ0aWNsZSI+MTc8L3JlZi10eXBlPjxjb250cmlidXRvcnM+PGF1dGhvcnM+PGF1dGhvcj5Z
b25nLVlpIFNoZW48L2F1dGhvcj48YXV0aG9yPkx1IExpYW5nPC9hdXRob3I+PGF1dGhvcj5aaG91
LUhhaSBaaHU8L2F1dGhvcj48YXV0aG9yPldlaS1QaW5nIFpob3U8L2F1dGhvcj48YXV0aG9yPkRh
dmlkIE0gSXJ3aW48L2F1dGhvcj48YXV0aG9yPllhLVBpbmcgWmhhbmc8L2F1dGhvcj48L2F1dGhv
cnM+PC9jb250cmlidXRvcnM+PHRpdGxlcz48dGl0bGU+QWRhcHRpdmUgZXZvbHV0aW9uIG9mIGVu
ZXJneSBtZXRhYm9saXNtIGdlbmVzIGFuZCB0aGUgb3JpZ2luIG9mIGZsaWdodCBpbiBiYXRzPC90
aXRsZT48c2Vjb25kYXJ5LXRpdGxlPlByb2NlZWRpbmdzIG9mIHRoZSBOYXRpb25hbCBBY2FkZW15
IG9mIFNjaWVuY2VzPC9zZWNvbmRhcnktdGl0bGU+PC90aXRsZXM+PHBhZ2VzPjg2NjYtODY3MTwv
cGFnZXM+PHZvbHVtZT4xMDc8L3ZvbHVtZT48bnVtYmVyPjE5PC9udW1iZXI+PGRhdGVzPjx5ZWFy
PjIwMTA8L3llYXI+PC9kYXRlcz48aXNibj4wMDI3LTg0MjQ8L2lzYm4+PHVybHM+PC91cmxzPjxl
bGVjdHJvbmljLXJlc291cmNlLW51bT5odHRwczovL2RvaS5vcmcvMTAuMTA3My9wbmFzLjA5MTI2
MTMxMDc8L2VsZWN0cm9uaWMtcmVzb3VyY2UtbnVtPjwvcmVjb3JkPjwvQ2l0ZT48Q2l0ZT48QXV0
aG9yPk1lbmV6ZXM8L0F1dGhvcj48WWVhcj4yMDEzPC9ZZWFyPjxSZWNOdW0+NDI8L1JlY051bT48
cmVjb3JkPjxyZWMtbnVtYmVyPjQyPC9yZWMtbnVtYmVyPjxmb3JlaWduLWtleXM+PGtleSBhcHA9
IkVOIiBkYi1pZD0iOXd2ZDVzYXR4dHpkczNlZWVmcHB4cHdncGQ5ZmFzMHA5YWF3IiB0aW1lc3Rh
bXA9IjE2NDU3NTg2MjAiPjQyPC9rZXk+PC9mb3JlaWduLWtleXM+PHJlZi10eXBlIG5hbWU9Ikpv
dXJuYWwgQXJ0aWNsZSI+MTc8L3JlZi10eXBlPjxjb250cmlidXRvcnM+PGF1dGhvcnM+PGF1dGhv
cj5BbGJlcnQgTiBNZW5lemVzPC9hdXRob3I+PGF1dGhvcj5NYXJpYSBDYXJvbGluYSBWaWFuYTwv
YXV0aG9yPjxhdXRob3I+Q2Fyb2xpbmEgRnVydGFkbzwvYXV0aG9yPjxhdXRob3I+Q2FybG9zIEcg
U2NocmFnbzwvYXV0aG9yPjxhdXRob3I+SGVjdG9yIE4gU2V1YW5lejwvYXV0aG9yPjwvYXV0aG9y
cz48L2NvbnRyaWJ1dG9ycz48dGl0bGVzPjx0aXRsZT5Qb3NpdGl2ZSBzZWxlY3Rpb24gYWxvbmcg
dGhlIGV2b2x1dGlvbiBvZiBwcmltYXRlIG1pdG9nZW5vbWVzPC90aXRsZT48c2Vjb25kYXJ5LXRp
dGxlPk1pdG9jaG9uZHJpb248L3NlY29uZGFyeS10aXRsZT48L3RpdGxlcz48cGVyaW9kaWNhbD48
ZnVsbC10aXRsZT5NaXRvY2hvbmRyaW9uPC9mdWxsLXRpdGxlPjxhYmJyLTE+TWl0b2Nob25kcmlv
bjwvYWJici0xPjxhYmJyLTI+TWl0b2Nob25kcmlvbjwvYWJici0yPjwvcGVyaW9kaWNhbD48cGFn
ZXM+ODQ2LTg1MTwvcGFnZXM+PHZvbHVtZT4xMzwvdm9sdW1lPjxudW1iZXI+NjwvbnVtYmVyPjxk
YXRlcz48eWVhcj4yMDEzPC95ZWFyPjwvZGF0ZXM+PGlzYm4+MTU2Ny03MjQ5PC9pc2JuPjx1cmxz
PjwvdXJscz48ZWxlY3Ryb25pYy1yZXNvdXJjZS1udW0+aHR0cHM6Ly9kb2kub3JnLzEwLjEwMTYv
ai5taXRvLjIwMTMuMDYuMDAxPC9lbGVjdHJvbmljLXJlc291cmNlLW51bT48L3JlY29yZD48L0Np
dGU+PENpdGU+PEF1dGhvcj5CbGllcjwvQXV0aG9yPjxZZWFyPjIwMDE8L1llYXI+PFJlY051bT4x
MDwvUmVjTnVtPjxyZWNvcmQ+PHJlYy1udW1iZXI+MTA8L3JlYy1udW1iZXI+PGZvcmVpZ24ta2V5
cz48a2V5IGFwcD0iRU4iIGRiLWlkPSI5d3ZkNXNhdHh0emRzM2VlZWZwcHhwd2dwZDlmYXMwcDlh
YXciIHRpbWVzdGFtcD0iMTY0NTc1ODYyMCI+MTA8L2tleT48L2ZvcmVpZ24ta2V5cz48cmVmLXR5
cGUgbmFtZT0iSm91cm5hbCBBcnRpY2xlIj4xNzwvcmVmLXR5cGU+PGNvbnRyaWJ1dG9ycz48YXV0
aG9ycz48YXV0aG9yPlBpZXJyZSBVIEJsaWVyPC9hdXRob3I+PGF1dGhvcj5GcmFuY2UgRHVmcmVz
bmU8L2F1dGhvcj48YXV0aG9yPlJvbmFsZCBTIEJ1cnRvbjwvYXV0aG9yPjwvYXV0aG9ycz48L2Nv
bnRyaWJ1dG9ycz48dGl0bGVzPjx0aXRsZT5OYXR1cmFsIHNlbGVjdGlvbiBhbmQgdGhlIGV2b2x1
dGlvbiBvZiBtdEROQS1lbmNvZGVkIHBlcHRpZGVzOiBldmlkZW5jZSBmb3IgaW50ZXJnZW5vbWlj
IGNvLWFkYXB0YXRpb248L3RpdGxlPjxzZWNvbmRhcnktdGl0bGU+VFJFTkRTIGluIEdlbmV0aWNz
PC9zZWNvbmRhcnktdGl0bGU+PC90aXRsZXM+PHBlcmlvZGljYWw+PGZ1bGwtdGl0bGU+VFJFTkRT
IGluIEdlbmV0aWNzPC9mdWxsLXRpdGxlPjxhYmJyLTE+VElHPC9hYmJyLTE+PC9wZXJpb2RpY2Fs
PjxwYWdlcz40MDAtNDA2PC9wYWdlcz48dm9sdW1lPjE3PC92b2x1bWU+PG51bWJlcj43PC9udW1i
ZXI+PGRhdGVzPjx5ZWFyPjIwMDE8L3llYXI+PC9kYXRlcz48aXNibj4wMTY4LTk1MjU8L2lzYm4+
PHVybHM+PC91cmxzPjxlbGVjdHJvbmljLXJlc291cmNlLW51bT5odHRwczovL2RvaS5vcmcvMTAu
MTAxNi9TMDE2OC05NTI1KDAxKTAyMzM4LTE8L2VsZWN0cm9uaWMtcmVzb3VyY2UtbnVtPjwvcmVj
b3JkPjwvQ2l0ZT48Q2l0ZT48QXV0aG9yPkNhc3RvZTwvQXV0aG9yPjxZZWFyPjIwMDk8L1llYXI+
PFJlY051bT4xNTwvUmVjTnVtPjxyZWNvcmQ+PHJlYy1udW1iZXI+MTU8L3JlYy1udW1iZXI+PGZv
cmVpZ24ta2V5cz48a2V5IGFwcD0iRU4iIGRiLWlkPSI5d3ZkNXNhdHh0emRzM2VlZWZwcHhwd2dw
ZDlmYXMwcDlhYXciIHRpbWVzdGFtcD0iMTY0NTc1ODYyMCI+MTU8L2tleT48L2ZvcmVpZ24ta2V5
cz48cmVmLXR5cGUgbmFtZT0iSm91cm5hbCBBcnRpY2xlIj4xNzwvcmVmLXR5cGU+PGNvbnRyaWJ1
dG9ycz48YXV0aG9ycz48YXV0aG9yPlRvZGQgQSBDYXN0b2U8L2F1dGhvcj48YXV0aG9yPkFQIEph
c29uIGRlIEtvbmluZzwvYXV0aG9yPjxhdXRob3I+SHl1bi1NaW4gS2ltPC9hdXRob3I+PGF1dGhv
cj5XYW5qdW4gR3U8L2F1dGhvcj48YXV0aG9yPkJyaWNlIFAgTm9vbmFuPC9hdXRob3I+PGF1dGhv
cj5HYXZpbiBOYXlsb3I8L2F1dGhvcj48YXV0aG9yPlpoaSBKIEppYW5nPC9hdXRob3I+PGF1dGhv
cj5DaHJpc3RvcGhlciBMIFBhcmtpbnNvbjwvYXV0aG9yPjxhdXRob3I+RGF2aWQgRCBQb2xsb2Nr
PC9hdXRob3I+PC9hdXRob3JzPjwvY29udHJpYnV0b3JzPjx0aXRsZXM+PHRpdGxlPkV2aWRlbmNl
IGZvciBhbiBhbmNpZW50IGFkYXB0aXZlIGVwaXNvZGUgb2YgY29udmVyZ2VudCBtb2xlY3VsYXIg
ZXZvbHV0aW9uPC90aXRsZT48c2Vjb25kYXJ5LXRpdGxlPlByb2NlZWRpbmdzIG9mIHRoZSBOYXRp
b25hbCBBY2FkZW15IG9mIFNjaWVuY2VzPC9zZWNvbmRhcnktdGl0bGU+PC90aXRsZXM+PHBhZ2Vz
Pjg5ODYtODk5MTwvcGFnZXM+PHZvbHVtZT4xMDY8L3ZvbHVtZT48bnVtYmVyPjIyPC9udW1iZXI+
PGRhdGVzPjx5ZWFyPjIwMDk8L3llYXI+PC9kYXRlcz48aXNibj4wMDI3LTg0MjQ8L2lzYm4+PHVy
bHM+PC91cmxzPjxlbGVjdHJvbmljLXJlc291cmNlLW51bT5odHRwczovL2RvaS5vcmcvMTAuMTA3
My9wbmFzLjA5MDAyMzMxMDY8L2VsZWN0cm9uaWMtcmVzb3VyY2UtbnVtPjwvcmVjb3JkPjwvQ2l0
ZT48L0VuZE5vdGU+AGAA
</w:fldData>
        </w:fldChar>
      </w:r>
      <w:r>
        <w:rPr>
          <w:rFonts w:eastAsia="宋体"/>
          <w:lang w:eastAsia="zh-CN"/>
        </w:rPr>
        <w:instrText xml:space="preserve"> ADDIN EN.CITE.DATA </w:instrText>
      </w:r>
      <w:r>
        <w:rPr>
          <w:rFonts w:eastAsia="宋体"/>
          <w:lang w:eastAsia="zh-CN"/>
        </w:rPr>
        <w:fldChar w:fldCharType="end"/>
      </w:r>
      <w:r>
        <w:rPr>
          <w:rFonts w:eastAsia="宋体"/>
          <w:lang w:eastAsia="zh-CN"/>
        </w:rPr>
        <w:fldChar w:fldCharType="separate"/>
      </w:r>
      <w:r>
        <w:rPr>
          <w:rFonts w:eastAsia="宋体"/>
          <w:lang w:eastAsia="zh-CN"/>
        </w:rPr>
        <w:t>[21, 22, 23, 24, 25, 26]</w:t>
      </w:r>
      <w:r>
        <w:rPr>
          <w:rFonts w:eastAsia="宋体"/>
          <w:lang w:eastAsia="zh-CN"/>
        </w:rPr>
        <w:fldChar w:fldCharType="end"/>
      </w:r>
      <w:r>
        <w:rPr>
          <w:rFonts w:hint="eastAsia" w:eastAsia="宋体"/>
          <w:lang w:eastAsia="zh-CN"/>
        </w:rPr>
        <w:t>.</w:t>
      </w:r>
      <w:r>
        <w:rPr>
          <w:rFonts w:hint="eastAsia"/>
        </w:rPr>
        <w:t xml:space="preserve"> </w:t>
      </w:r>
      <w:r>
        <w:rPr>
          <w:rFonts w:hint="eastAsia" w:eastAsia="宋体"/>
          <w:lang w:eastAsia="zh-CN"/>
        </w:rPr>
        <w:t>M</w:t>
      </w:r>
      <w:r>
        <w:t>itogenomes</w:t>
      </w:r>
      <w:r>
        <w:rPr>
          <w:rFonts w:hint="eastAsia" w:eastAsia="宋体"/>
          <w:lang w:eastAsia="zh-CN"/>
        </w:rPr>
        <w:t xml:space="preserve"> generally </w:t>
      </w:r>
      <w:r>
        <w:rPr>
          <w:rFonts w:hint="eastAsia"/>
        </w:rPr>
        <w:t>evolve under strong purifying selection</w:t>
      </w:r>
      <w:r>
        <w:rPr>
          <w:rFonts w:hint="eastAsia" w:eastAsia="宋体"/>
          <w:lang w:eastAsia="zh-CN"/>
        </w:rPr>
        <w:t xml:space="preserve">, so </w:t>
      </w:r>
      <w:r>
        <w:t>they exhibit low ω</w:t>
      </w:r>
      <w:r>
        <w:rPr>
          <w:i/>
        </w:rPr>
        <w:t xml:space="preserve"> </w:t>
      </w:r>
      <w:r>
        <w:t xml:space="preserve">values </w:t>
      </w:r>
      <w:r>
        <w:fldChar w:fldCharType="begin"/>
      </w:r>
      <w:r>
        <w:instrText xml:space="preserve"> ADDIN EN.CITE &lt;EndNote&gt;&lt;Cite&gt;&lt;Author&gt;Castellana&lt;/Author&gt;&lt;Year&gt;2011&lt;/Year&gt;&lt;RecNum&gt;14&lt;/RecNum&gt;&lt;DisplayText&gt;[27, 28]&lt;/DisplayText&gt;&lt;record&gt;&lt;rec-number&gt;14&lt;/rec-number&gt;&lt;foreign-keys&gt;&lt;key app="EN" db-id="9wvd5satxtzds3eeefppxpwgpd9fas0p9aaw" timestamp="1645758620"&gt;14&lt;/key&gt;&lt;/foreign-keys&gt;&lt;ref-type name="Journal Article"&gt;17&lt;/ref-type&gt;&lt;contributors&gt;&lt;authors&gt;&lt;author&gt;S Castellana&lt;/author&gt;&lt;author&gt;S Vicario&lt;/author&gt;&lt;author&gt;C Saccone&lt;/author&gt;&lt;/authors&gt;&lt;/contributors&gt;&lt;titles&gt;&lt;title&gt;Evolutionary patterns of the mitochondrial genome in Metazoa: exploring the role of mutation and selection in mitochondrial protein–coding genes&lt;/title&gt;&lt;secondary-title&gt;Genome biology evolution&lt;/secondary-title&gt;&lt;/titles&gt;&lt;pages&gt;1067-1079&lt;/pages&gt;&lt;volume&gt;3&lt;/volume&gt;&lt;dates&gt;&lt;year&gt;2011&lt;/year&gt;&lt;/dates&gt;&lt;urls&gt;&lt;/urls&gt;&lt;electronic-resource-num&gt;https://doi.org/10.1093/gbe/evr040&lt;/electronic-resource-num&gt;&lt;/record&gt;&lt;/Cite&gt;&lt;Cite&gt;&lt;Author&gt;Nabholz&lt;/Author&gt;&lt;Year&gt;2013&lt;/Year&gt;&lt;RecNum&gt;45&lt;/RecNum&gt;&lt;record&gt;&lt;rec-number&gt;45&lt;/rec-number&gt;&lt;foreign-keys&gt;&lt;key app="EN" db-id="9wvd5satxtzds3eeefppxpwgpd9fas0p9aaw" timestamp="1645758620"&gt;45&lt;/key&gt;&lt;/foreign-keys&gt;&lt;ref-type name="Journal Article"&gt;17&lt;/ref-type&gt;&lt;contributors&gt;&lt;authors&gt;&lt;author&gt;Benoit Nabholz&lt;/author&gt;&lt;author&gt;Nicole Uwimana&lt;/author&gt;&lt;author&gt;Nicolas Lartillot&lt;/author&gt;&lt;/authors&gt;&lt;/contributors&gt;&lt;titles&gt;&lt;title&gt;Reconstructing the phylogenetic history of long-term effective population size and life-history traits using patterns of amino acid replacement in mitochondrial genomes of mammals and birds&lt;/title&gt;&lt;secondary-title&gt;Genome biology evolution&lt;/secondary-title&gt;&lt;/titles&gt;&lt;pages&gt;1273-1290&lt;/pages&gt;&lt;volume&gt;5&lt;/volume&gt;&lt;number&gt;7&lt;/number&gt;&lt;dates&gt;&lt;year&gt;2013&lt;/year&gt;&lt;/dates&gt;&lt;isbn&gt;1759-6653&lt;/isbn&gt;&lt;urls&gt;&lt;/urls&gt;&lt;electronic-resource-num&gt;https://doi.org/10.1093/gbe/evt083&lt;/electronic-resource-num&gt;&lt;/record&gt;&lt;/Cite&gt;&lt;/EndNote&gt;</w:instrText>
      </w:r>
      <w:r>
        <w:fldChar w:fldCharType="separate"/>
      </w:r>
      <w:r>
        <w:t>[27, 28]</w:t>
      </w:r>
      <w:r>
        <w:fldChar w:fldCharType="end"/>
      </w:r>
      <w:r>
        <w:t xml:space="preserve">, but mitogenomes of </w:t>
      </w:r>
      <w:r>
        <w:rPr>
          <w:spacing w:val="-3"/>
        </w:rPr>
        <w:t xml:space="preserve">taxa </w:t>
      </w:r>
      <w:r>
        <w:t xml:space="preserve">evolving under </w:t>
      </w:r>
      <w:r>
        <w:rPr>
          <w:rFonts w:hint="eastAsia"/>
        </w:rPr>
        <w:t>a</w:t>
      </w:r>
      <w:r>
        <w:rPr>
          <w:rFonts w:hint="eastAsia" w:eastAsia="宋体"/>
          <w:lang w:eastAsia="zh-CN"/>
        </w:rPr>
        <w:t xml:space="preserve"> </w:t>
      </w:r>
      <w:r>
        <w:rPr>
          <w:rFonts w:hint="eastAsia"/>
        </w:rPr>
        <w:t xml:space="preserve">pattern sometimes characterized as </w:t>
      </w:r>
      <w:r>
        <w:rPr>
          <w:rFonts w:eastAsiaTheme="minorEastAsia"/>
          <w:lang w:eastAsia="zh-CN"/>
        </w:rPr>
        <w:t>‘</w:t>
      </w:r>
      <w:r>
        <w:rPr>
          <w:rFonts w:hint="eastAsia"/>
        </w:rPr>
        <w:t>relaxed purifying selection</w:t>
      </w:r>
      <w:r>
        <w:rPr>
          <w:rFonts w:eastAsiaTheme="minorEastAsia"/>
          <w:lang w:eastAsia="zh-CN"/>
        </w:rPr>
        <w:t>’</w:t>
      </w:r>
      <w:r>
        <w:t xml:space="preserve"> should exhibit </w:t>
      </w:r>
      <w:r>
        <w:rPr>
          <w:rFonts w:hint="eastAsia"/>
        </w:rPr>
        <w:t>slightly</w:t>
      </w:r>
      <w:r>
        <w:rPr>
          <w:rFonts w:hint="eastAsia" w:eastAsia="宋体"/>
          <w:lang w:eastAsia="zh-CN"/>
        </w:rPr>
        <w:t xml:space="preserve"> </w:t>
      </w:r>
      <w:r>
        <w:t>higher ω</w:t>
      </w:r>
      <w:r>
        <w:rPr>
          <w:i/>
        </w:rPr>
        <w:t xml:space="preserve"> </w:t>
      </w:r>
      <w:r>
        <w:t>values. Because dS</w:t>
      </w:r>
      <w:r>
        <w:rPr>
          <w:i/>
        </w:rPr>
        <w:t xml:space="preserve"> </w:t>
      </w:r>
      <w:r>
        <w:t xml:space="preserve">estimates the number of ‘silent’ substitutions that do not change the amino acid sequence, it will be predominantly influenced by the mutation </w:t>
      </w:r>
      <w:r>
        <w:rPr>
          <w:spacing w:val="-3"/>
        </w:rPr>
        <w:t xml:space="preserve">rate; </w:t>
      </w:r>
      <w:r>
        <w:t>dN estimates the number of substitutions that change the amino acid sequence, which is likely to include both neutral and nearly neutral changes. Because</w:t>
      </w:r>
      <w:r>
        <w:rPr>
          <w:spacing w:val="-4"/>
        </w:rPr>
        <w:t xml:space="preserve"> </w:t>
      </w:r>
      <w:r>
        <w:t>of</w:t>
      </w:r>
      <w:r>
        <w:rPr>
          <w:spacing w:val="-2"/>
        </w:rPr>
        <w:t xml:space="preserve"> </w:t>
      </w:r>
      <w:r>
        <w:t>this,</w:t>
      </w:r>
      <w:r>
        <w:rPr>
          <w:spacing w:val="-3"/>
        </w:rPr>
        <w:t xml:space="preserve"> </w:t>
      </w:r>
      <w:r>
        <w:t>dN</w:t>
      </w:r>
      <w:r>
        <w:rPr>
          <w:spacing w:val="-3"/>
        </w:rPr>
        <w:t xml:space="preserve"> </w:t>
      </w:r>
      <w:r>
        <w:t>is</w:t>
      </w:r>
      <w:r>
        <w:rPr>
          <w:spacing w:val="-2"/>
        </w:rPr>
        <w:t xml:space="preserve"> </w:t>
      </w:r>
      <w:r>
        <w:t>expected</w:t>
      </w:r>
      <w:r>
        <w:rPr>
          <w:spacing w:val="-2"/>
        </w:rPr>
        <w:t xml:space="preserve"> </w:t>
      </w:r>
      <w:r>
        <w:t>to</w:t>
      </w:r>
      <w:r>
        <w:rPr>
          <w:spacing w:val="-2"/>
        </w:rPr>
        <w:t xml:space="preserve"> </w:t>
      </w:r>
      <w:r>
        <w:t>be</w:t>
      </w:r>
      <w:r>
        <w:rPr>
          <w:spacing w:val="1"/>
        </w:rPr>
        <w:t xml:space="preserve"> </w:t>
      </w:r>
      <w:r>
        <w:t>influenced</w:t>
      </w:r>
      <w:r>
        <w:rPr>
          <w:spacing w:val="-2"/>
        </w:rPr>
        <w:t xml:space="preserve"> </w:t>
      </w:r>
      <w:r>
        <w:t>both</w:t>
      </w:r>
      <w:r>
        <w:rPr>
          <w:spacing w:val="-5"/>
        </w:rPr>
        <w:t xml:space="preserve"> </w:t>
      </w:r>
      <w:r>
        <w:t>by</w:t>
      </w:r>
      <w:r>
        <w:rPr>
          <w:spacing w:val="-1"/>
        </w:rPr>
        <w:t xml:space="preserve"> </w:t>
      </w:r>
      <w:r>
        <w:t>the</w:t>
      </w:r>
      <w:r>
        <w:rPr>
          <w:spacing w:val="-4"/>
        </w:rPr>
        <w:t xml:space="preserve"> </w:t>
      </w:r>
      <w:r>
        <w:t>mutation</w:t>
      </w:r>
      <w:r>
        <w:rPr>
          <w:spacing w:val="-2"/>
        </w:rPr>
        <w:t xml:space="preserve"> </w:t>
      </w:r>
      <w:r>
        <w:t>rate</w:t>
      </w:r>
      <w:r>
        <w:rPr>
          <w:spacing w:val="-4"/>
        </w:rPr>
        <w:t xml:space="preserve"> </w:t>
      </w:r>
      <w:r>
        <w:t>and</w:t>
      </w:r>
      <w:r>
        <w:rPr>
          <w:spacing w:val="-2"/>
        </w:rPr>
        <w:t xml:space="preserve"> </w:t>
      </w:r>
      <w:r>
        <w:t>by</w:t>
      </w:r>
      <w:r>
        <w:rPr>
          <w:spacing w:val="-1"/>
        </w:rPr>
        <w:t xml:space="preserve"> </w:t>
      </w:r>
      <w:r>
        <w:t xml:space="preserve">population size. ω is expected </w:t>
      </w:r>
      <w:r>
        <w:rPr>
          <w:spacing w:val="-3"/>
        </w:rPr>
        <w:t xml:space="preserve">to </w:t>
      </w:r>
      <w:r>
        <w:t xml:space="preserve">be influenced by selection and effective population size, but not the mutation </w:t>
      </w:r>
      <w:r>
        <w:rPr>
          <w:spacing w:val="-3"/>
        </w:rPr>
        <w:t xml:space="preserve">rate </w:t>
      </w:r>
      <w:r>
        <w:rPr>
          <w:spacing w:val="-3"/>
        </w:rPr>
        <w:fldChar w:fldCharType="begin"/>
      </w:r>
      <w:r>
        <w:rPr>
          <w:spacing w:val="-3"/>
        </w:rPr>
        <w:instrText xml:space="preserve"> ADDIN EN.CITE &lt;EndNote&gt;&lt;Cite&gt;&lt;Author&gt;Lanfear&lt;/Author&gt;&lt;Year&gt;2010&lt;/Year&gt;&lt;RecNum&gt;38&lt;/RecNum&gt;&lt;DisplayText&gt;[29]&lt;/DisplayText&gt;&lt;record&gt;&lt;rec-number&gt;38&lt;/rec-number&gt;&lt;foreign-keys&gt;&lt;key app="EN" db-id="9wvd5satxtzds3eeefppxpwgpd9fas0p9aaw" timestamp="1645758620"&gt;38&lt;/key&gt;&lt;/foreign-keys&gt;&lt;ref-type name="Journal Article"&gt;17&lt;/ref-type&gt;&lt;contributors&gt;&lt;authors&gt;&lt;author&gt;Robert Lanfear&lt;/author&gt;&lt;author&gt;Simon YW Ho&lt;/author&gt;&lt;author&gt;Dominic Love&lt;/author&gt;&lt;author&gt;Lindell Bromham&lt;/author&gt;&lt;/authors&gt;&lt;/contributors&gt;&lt;titles&gt;&lt;title&gt;Mutation rate is linked to diversification in birds&lt;/title&gt;&lt;secondary-title&gt;Proceedings of the National Academy of Sciences&lt;/secondary-title&gt;&lt;/titles&gt;&lt;pages&gt;20423-20428&lt;/pages&gt;&lt;volume&gt;107&lt;/volume&gt;&lt;number&gt;47&lt;/number&gt;&lt;dates&gt;&lt;year&gt;2010&lt;/year&gt;&lt;/dates&gt;&lt;isbn&gt;0027-8424&lt;/isbn&gt;&lt;urls&gt;&lt;/urls&gt;&lt;electronic-resource-num&gt;https://doi.org/10.1073/pnas.1007888107&lt;/electronic-resource-num&gt;&lt;/record&gt;&lt;/Cite&gt;&lt;/EndNote&gt;</w:instrText>
      </w:r>
      <w:r>
        <w:rPr>
          <w:spacing w:val="-3"/>
        </w:rPr>
        <w:fldChar w:fldCharType="separate"/>
      </w:r>
      <w:r>
        <w:rPr>
          <w:spacing w:val="-3"/>
        </w:rPr>
        <w:t>[29]</w:t>
      </w:r>
      <w:r>
        <w:rPr>
          <w:spacing w:val="-3"/>
        </w:rPr>
        <w:fldChar w:fldCharType="end"/>
      </w:r>
      <w:r>
        <w:t>.</w:t>
      </w:r>
    </w:p>
    <w:p>
      <w:pPr>
        <w:pStyle w:val="7"/>
        <w:spacing w:before="10"/>
        <w:rPr>
          <w:sz w:val="24"/>
        </w:rPr>
      </w:pPr>
    </w:p>
    <w:p>
      <w:pPr>
        <w:spacing w:line="360" w:lineRule="auto"/>
        <w:sectPr>
          <w:pgSz w:w="11910" w:h="16840"/>
          <w:pgMar w:top="1580" w:right="320" w:bottom="280" w:left="1680" w:header="720" w:footer="720" w:gutter="0"/>
          <w:cols w:space="720" w:num="1"/>
        </w:sectPr>
      </w:pPr>
    </w:p>
    <w:p>
      <w:pPr>
        <w:pStyle w:val="2"/>
      </w:pPr>
      <w:bookmarkStart w:id="16" w:name="_Toc102127053"/>
      <w:r>
        <w:t>References</w:t>
      </w:r>
      <w:bookmarkEnd w:id="16"/>
    </w:p>
    <w:p>
      <w:pPr>
        <w:pStyle w:val="7"/>
        <w:spacing w:before="8"/>
        <w:rPr>
          <w:b/>
          <w:sz w:val="23"/>
        </w:rPr>
      </w:pPr>
    </w:p>
    <w:p>
      <w:pPr>
        <w:pStyle w:val="49"/>
        <w:ind w:left="720" w:hanging="720"/>
      </w:pPr>
      <w:r>
        <w:fldChar w:fldCharType="begin"/>
      </w:r>
      <w:r>
        <w:instrText xml:space="preserve"> ADDIN EN.REFLIST </w:instrText>
      </w:r>
      <w:r>
        <w:fldChar w:fldCharType="separate"/>
      </w:r>
      <w:r>
        <w:t>1.</w:t>
      </w:r>
      <w:r>
        <w:tab/>
      </w:r>
      <w:r>
        <w:t xml:space="preserve">Aguado MT, Richter S, Sontowski R, Golombek A, Struck TH, Bleidorn C: </w:t>
      </w:r>
      <w:r>
        <w:rPr>
          <w:b/>
        </w:rPr>
        <w:t>Syllidae mitochondrial gene order is unusually variable for Annelida</w:t>
      </w:r>
      <w:r>
        <w:t xml:space="preserve">. </w:t>
      </w:r>
      <w:r>
        <w:rPr>
          <w:i/>
        </w:rPr>
        <w:t xml:space="preserve">Gene </w:t>
      </w:r>
      <w:r>
        <w:t xml:space="preserve">2016, </w:t>
      </w:r>
      <w:r>
        <w:rPr>
          <w:b/>
        </w:rPr>
        <w:t>594</w:t>
      </w:r>
      <w:r>
        <w:t>(1):89-96.</w:t>
      </w:r>
      <w:r>
        <w:fldChar w:fldCharType="begin"/>
      </w:r>
      <w:r>
        <w:instrText xml:space="preserve"> HYPERLINK "https://doi.org/10.1016/j.gene.2016.08.050" </w:instrText>
      </w:r>
      <w:r>
        <w:fldChar w:fldCharType="separate"/>
      </w:r>
      <w:r>
        <w:rPr>
          <w:rStyle w:val="22"/>
        </w:rPr>
        <w:t>https://doi.org/10.1016/j.gene.2016.08.050</w:t>
      </w:r>
      <w:r>
        <w:rPr>
          <w:rStyle w:val="22"/>
        </w:rPr>
        <w:fldChar w:fldCharType="end"/>
      </w:r>
    </w:p>
    <w:p>
      <w:pPr>
        <w:pStyle w:val="49"/>
        <w:ind w:left="720" w:hanging="720"/>
      </w:pPr>
      <w:r>
        <w:t>2.</w:t>
      </w:r>
      <w:r>
        <w:tab/>
      </w:r>
      <w:r>
        <w:t xml:space="preserve">Aguado MT, Glasby CJ, Schroeder PC, Weigert A, Bleidorn C: </w:t>
      </w:r>
      <w:r>
        <w:rPr>
          <w:b/>
        </w:rPr>
        <w:t>The making of a branching annelid: an analysis of complete mitochondrial genome and ribosomal data of Ramisyllis multicaudata</w:t>
      </w:r>
      <w:r>
        <w:t xml:space="preserve">. </w:t>
      </w:r>
      <w:r>
        <w:rPr>
          <w:i/>
        </w:rPr>
        <w:t xml:space="preserve">Sci Rep </w:t>
      </w:r>
      <w:r>
        <w:t xml:space="preserve">2015, </w:t>
      </w:r>
      <w:r>
        <w:rPr>
          <w:b/>
        </w:rPr>
        <w:t>5</w:t>
      </w:r>
      <w:r>
        <w:t>(1):1-13.</w:t>
      </w:r>
      <w:r>
        <w:fldChar w:fldCharType="begin"/>
      </w:r>
      <w:r>
        <w:instrText xml:space="preserve"> HYPERLINK "https://doi.org/10.1093/molbev/msv157" </w:instrText>
      </w:r>
      <w:r>
        <w:fldChar w:fldCharType="separate"/>
      </w:r>
      <w:r>
        <w:rPr>
          <w:rStyle w:val="22"/>
        </w:rPr>
        <w:t>https://doi.org/10.1093/molbev/msv157</w:t>
      </w:r>
      <w:r>
        <w:rPr>
          <w:rStyle w:val="22"/>
        </w:rPr>
        <w:fldChar w:fldCharType="end"/>
      </w:r>
    </w:p>
    <w:p>
      <w:pPr>
        <w:pStyle w:val="49"/>
        <w:ind w:left="720" w:hanging="720"/>
      </w:pPr>
      <w:r>
        <w:t>3.</w:t>
      </w:r>
      <w:r>
        <w:tab/>
      </w:r>
      <w:r>
        <w:t xml:space="preserve">Zhong M, Struck TH, Halanych KM: </w:t>
      </w:r>
      <w:r>
        <w:rPr>
          <w:b/>
        </w:rPr>
        <w:t>Phylogenetic information from three mitochondrial genomes of Terebelliformia (Annelida) worms and duplication of the methionine tRNA</w:t>
      </w:r>
      <w:r>
        <w:t xml:space="preserve">. </w:t>
      </w:r>
      <w:r>
        <w:rPr>
          <w:i/>
        </w:rPr>
        <w:t xml:space="preserve">Gene </w:t>
      </w:r>
      <w:r>
        <w:t xml:space="preserve">2008, </w:t>
      </w:r>
      <w:r>
        <w:rPr>
          <w:b/>
        </w:rPr>
        <w:t>416 1-2</w:t>
      </w:r>
      <w:r>
        <w:t>:11-21.</w:t>
      </w:r>
      <w:r>
        <w:fldChar w:fldCharType="begin"/>
      </w:r>
      <w:r>
        <w:instrText xml:space="preserve"> HYPERLINK "https://doi.org/10.1016/j.gene.2008.02.020" </w:instrText>
      </w:r>
      <w:r>
        <w:fldChar w:fldCharType="separate"/>
      </w:r>
      <w:r>
        <w:rPr>
          <w:rStyle w:val="22"/>
        </w:rPr>
        <w:t>https://doi.org/10.1016/j.gene.2008.02.020</w:t>
      </w:r>
      <w:r>
        <w:rPr>
          <w:rStyle w:val="22"/>
        </w:rPr>
        <w:fldChar w:fldCharType="end"/>
      </w:r>
    </w:p>
    <w:p>
      <w:pPr>
        <w:pStyle w:val="49"/>
        <w:ind w:left="720" w:hanging="720"/>
      </w:pPr>
      <w:r>
        <w:t>4.</w:t>
      </w:r>
      <w:r>
        <w:tab/>
      </w:r>
      <w:r>
        <w:t xml:space="preserve">Daffe G, Sun Y, Ahyong ST, Kupriyanova EK: </w:t>
      </w:r>
      <w:r>
        <w:rPr>
          <w:b/>
        </w:rPr>
        <w:t>Mitochondrial genome of Sabella spallanzanii (Gmelin, 1791)(Sabellida: Sabellidae)</w:t>
      </w:r>
      <w:r>
        <w:t xml:space="preserve">. </w:t>
      </w:r>
      <w:r>
        <w:rPr>
          <w:i/>
        </w:rPr>
        <w:t xml:space="preserve">Mitochondrial DNA Part B </w:t>
      </w:r>
      <w:r>
        <w:t xml:space="preserve">2021, </w:t>
      </w:r>
      <w:r>
        <w:rPr>
          <w:b/>
        </w:rPr>
        <w:t>6</w:t>
      </w:r>
      <w:r>
        <w:t>(2):499-501.</w:t>
      </w:r>
      <w:r>
        <w:fldChar w:fldCharType="begin"/>
      </w:r>
      <w:r>
        <w:instrText xml:space="preserve"> HYPERLINK "https://doi.org/10.1080/23802359.2021.1872431" </w:instrText>
      </w:r>
      <w:r>
        <w:fldChar w:fldCharType="separate"/>
      </w:r>
      <w:r>
        <w:rPr>
          <w:rStyle w:val="22"/>
        </w:rPr>
        <w:t>https://doi.org/10.1080/23802359.2021.1872431</w:t>
      </w:r>
      <w:r>
        <w:rPr>
          <w:rStyle w:val="22"/>
        </w:rPr>
        <w:fldChar w:fldCharType="end"/>
      </w:r>
    </w:p>
    <w:p>
      <w:pPr>
        <w:pStyle w:val="49"/>
        <w:ind w:left="720" w:hanging="720"/>
      </w:pPr>
      <w:r>
        <w:t>5.</w:t>
      </w:r>
      <w:r>
        <w:tab/>
      </w:r>
      <w:r>
        <w:t xml:space="preserve">Seixas VC, Russo CAdM, Paiva PC: </w:t>
      </w:r>
      <w:r>
        <w:rPr>
          <w:b/>
        </w:rPr>
        <w:t>Mitochondrial genome of the Christmas tree worm Spirobranchus giganteus (Annelida: Serpulidae) reveals a high substitution rate among annelids</w:t>
      </w:r>
      <w:r>
        <w:t xml:space="preserve">. </w:t>
      </w:r>
      <w:r>
        <w:rPr>
          <w:i/>
        </w:rPr>
        <w:t xml:space="preserve">Gene </w:t>
      </w:r>
      <w:r>
        <w:t xml:space="preserve">2017, </w:t>
      </w:r>
      <w:r>
        <w:rPr>
          <w:b/>
        </w:rPr>
        <w:t>605</w:t>
      </w:r>
      <w:r>
        <w:t>:43-53.</w:t>
      </w:r>
      <w:r>
        <w:fldChar w:fldCharType="begin"/>
      </w:r>
      <w:r>
        <w:instrText xml:space="preserve"> HYPERLINK "https://doi.org/10.1016/j.gene.2016.12.024" </w:instrText>
      </w:r>
      <w:r>
        <w:fldChar w:fldCharType="separate"/>
      </w:r>
      <w:r>
        <w:rPr>
          <w:rStyle w:val="22"/>
        </w:rPr>
        <w:t>https://doi.org/10.1016/j.gene.2016.12.024</w:t>
      </w:r>
      <w:r>
        <w:rPr>
          <w:rStyle w:val="22"/>
        </w:rPr>
        <w:fldChar w:fldCharType="end"/>
      </w:r>
    </w:p>
    <w:p>
      <w:pPr>
        <w:pStyle w:val="49"/>
        <w:ind w:left="720" w:hanging="720"/>
      </w:pPr>
      <w:r>
        <w:t>6.</w:t>
      </w:r>
      <w:r>
        <w:tab/>
      </w:r>
      <w:r>
        <w:t xml:space="preserve">Ye L, Yao T, Lu J, Jiang J, Bai C: </w:t>
      </w:r>
      <w:r>
        <w:rPr>
          <w:b/>
        </w:rPr>
        <w:t>Mitochondrial genomes of two Polydora (Spionidae) species provide further evidence that mitochondrial architecture in the Sedentaria (Annelida) is not conserved</w:t>
      </w:r>
      <w:r>
        <w:t xml:space="preserve">. </w:t>
      </w:r>
      <w:r>
        <w:rPr>
          <w:i/>
        </w:rPr>
        <w:t xml:space="preserve">Sci Rep </w:t>
      </w:r>
      <w:r>
        <w:t xml:space="preserve">2021, </w:t>
      </w:r>
      <w:r>
        <w:rPr>
          <w:b/>
        </w:rPr>
        <w:t>11</w:t>
      </w:r>
      <w:r>
        <w:t>(1):13552.</w:t>
      </w:r>
      <w:r>
        <w:fldChar w:fldCharType="begin"/>
      </w:r>
      <w:r>
        <w:instrText xml:space="preserve"> HYPERLINK "https://doi.org/10.1038/s41598-021-92994-3" </w:instrText>
      </w:r>
      <w:r>
        <w:fldChar w:fldCharType="separate"/>
      </w:r>
      <w:r>
        <w:rPr>
          <w:rStyle w:val="22"/>
        </w:rPr>
        <w:t>https://doi.org/10.1038/s41598-021-92994-3</w:t>
      </w:r>
      <w:r>
        <w:rPr>
          <w:rStyle w:val="22"/>
        </w:rPr>
        <w:fldChar w:fldCharType="end"/>
      </w:r>
    </w:p>
    <w:p>
      <w:pPr>
        <w:pStyle w:val="49"/>
        <w:ind w:left="720" w:hanging="720"/>
      </w:pPr>
      <w:r>
        <w:t>7.</w:t>
      </w:r>
      <w:r>
        <w:tab/>
      </w:r>
      <w:r>
        <w:t xml:space="preserve">Patra AK, Kwon YM, Kang SG, Fujiwara Y, Kim S-J: </w:t>
      </w:r>
      <w:r>
        <w:rPr>
          <w:b/>
        </w:rPr>
        <w:t>The complete mitochondrial genome sequence of the tubeworm Lamellibrachia satsuma and structural conservation in the mitochondrial genome control regions of Order Sabellida</w:t>
      </w:r>
      <w:r>
        <w:t xml:space="preserve">. </w:t>
      </w:r>
      <w:r>
        <w:rPr>
          <w:i/>
        </w:rPr>
        <w:t xml:space="preserve">Marine Genomics </w:t>
      </w:r>
      <w:r>
        <w:t xml:space="preserve">2016, </w:t>
      </w:r>
      <w:r>
        <w:rPr>
          <w:b/>
        </w:rPr>
        <w:t>26</w:t>
      </w:r>
      <w:r>
        <w:t>:63-71.</w:t>
      </w:r>
      <w:r>
        <w:fldChar w:fldCharType="begin"/>
      </w:r>
      <w:r>
        <w:instrText xml:space="preserve"> HYPERLINK "https://doi.org/10.1016/j.margen.2015.12.010" </w:instrText>
      </w:r>
      <w:r>
        <w:fldChar w:fldCharType="separate"/>
      </w:r>
      <w:r>
        <w:rPr>
          <w:rStyle w:val="22"/>
        </w:rPr>
        <w:t>https://doi.org/10.1016/j.margen.2015.12.010</w:t>
      </w:r>
      <w:r>
        <w:rPr>
          <w:rStyle w:val="22"/>
        </w:rPr>
        <w:fldChar w:fldCharType="end"/>
      </w:r>
    </w:p>
    <w:p>
      <w:pPr>
        <w:pStyle w:val="49"/>
        <w:ind w:left="720" w:hanging="720"/>
      </w:pPr>
      <w:r>
        <w:t>8.</w:t>
      </w:r>
      <w:r>
        <w:tab/>
      </w:r>
      <w:r>
        <w:t xml:space="preserve">Weigert A, Golombek A, Gerth M, Schwarz F, Struck TH, Bleidorn C: </w:t>
      </w:r>
      <w:r>
        <w:rPr>
          <w:b/>
        </w:rPr>
        <w:t>Evolution of mitochondrial gene order in Annelida</w:t>
      </w:r>
      <w:r>
        <w:t xml:space="preserve">. </w:t>
      </w:r>
      <w:r>
        <w:rPr>
          <w:i/>
        </w:rPr>
        <w:t xml:space="preserve">Mol Phylogenet Evol </w:t>
      </w:r>
      <w:r>
        <w:t xml:space="preserve">2016, </w:t>
      </w:r>
      <w:r>
        <w:rPr>
          <w:b/>
        </w:rPr>
        <w:t>94</w:t>
      </w:r>
      <w:r>
        <w:t>:196-206.</w:t>
      </w:r>
      <w:r>
        <w:fldChar w:fldCharType="begin"/>
      </w:r>
      <w:r>
        <w:instrText xml:space="preserve"> HYPERLINK "https://doi.org/10.1016/j.ympev.2015.08.008" </w:instrText>
      </w:r>
      <w:r>
        <w:fldChar w:fldCharType="separate"/>
      </w:r>
      <w:r>
        <w:rPr>
          <w:rStyle w:val="22"/>
        </w:rPr>
        <w:t>https://doi.org/10.1016/j.ympev.2015.08.008</w:t>
      </w:r>
      <w:r>
        <w:rPr>
          <w:rStyle w:val="22"/>
        </w:rPr>
        <w:fldChar w:fldCharType="end"/>
      </w:r>
    </w:p>
    <w:p>
      <w:pPr>
        <w:pStyle w:val="49"/>
        <w:ind w:left="720" w:hanging="720"/>
      </w:pPr>
      <w:r>
        <w:t>9.</w:t>
      </w:r>
      <w:r>
        <w:tab/>
      </w:r>
      <w:r>
        <w:t xml:space="preserve">Seixas VC, Paiva PC, Russo CAdM: </w:t>
      </w:r>
      <w:r>
        <w:rPr>
          <w:b/>
        </w:rPr>
        <w:t>Complete mitochondrial genomes are not necessarily more informative than individual mitochondrial genes to recover a well-established annelid phylogeny</w:t>
      </w:r>
      <w:r>
        <w:t xml:space="preserve">. </w:t>
      </w:r>
      <w:r>
        <w:rPr>
          <w:i/>
        </w:rPr>
        <w:t xml:space="preserve">Gene Reports </w:t>
      </w:r>
      <w:r>
        <w:t xml:space="preserve">2016, </w:t>
      </w:r>
      <w:r>
        <w:rPr>
          <w:b/>
        </w:rPr>
        <w:t>5</w:t>
      </w:r>
      <w:r>
        <w:t>:10-17.</w:t>
      </w:r>
      <w:r>
        <w:fldChar w:fldCharType="begin"/>
      </w:r>
      <w:r>
        <w:instrText xml:space="preserve"> HYPERLINK "https://doi.org/10.1016/j.genrep.2016.07.011" </w:instrText>
      </w:r>
      <w:r>
        <w:fldChar w:fldCharType="separate"/>
      </w:r>
      <w:r>
        <w:rPr>
          <w:rStyle w:val="22"/>
        </w:rPr>
        <w:t>https://doi.org/10.1016/j.genrep.2016.07.011</w:t>
      </w:r>
      <w:r>
        <w:rPr>
          <w:rStyle w:val="22"/>
        </w:rPr>
        <w:fldChar w:fldCharType="end"/>
      </w:r>
    </w:p>
    <w:p>
      <w:pPr>
        <w:pStyle w:val="49"/>
        <w:ind w:left="720" w:hanging="720"/>
      </w:pPr>
      <w:r>
        <w:t>10.</w:t>
      </w:r>
      <w:r>
        <w:tab/>
      </w:r>
      <w:r>
        <w:t xml:space="preserve">Sun Y, Daffe G, Zhang Y, Pons J, Qiu J-W, Kupriyanova EK: </w:t>
      </w:r>
      <w:r>
        <w:rPr>
          <w:b/>
        </w:rPr>
        <w:t>Another blow to the conserved gene order in Annelida: Evidence from mitochondrial genomes of the calcareous tubeworm genus Hydroides</w:t>
      </w:r>
      <w:r>
        <w:t xml:space="preserve">. </w:t>
      </w:r>
      <w:r>
        <w:rPr>
          <w:i/>
        </w:rPr>
        <w:t xml:space="preserve">Mol Phylogenet Evol </w:t>
      </w:r>
      <w:r>
        <w:t xml:space="preserve">2021, </w:t>
      </w:r>
      <w:r>
        <w:rPr>
          <w:b/>
        </w:rPr>
        <w:t>160</w:t>
      </w:r>
      <w:r>
        <w:t>:107124.</w:t>
      </w:r>
      <w:r>
        <w:fldChar w:fldCharType="begin"/>
      </w:r>
      <w:r>
        <w:instrText xml:space="preserve"> HYPERLINK "https://doi.org/10.1016/j.ympev.2021.107124" </w:instrText>
      </w:r>
      <w:r>
        <w:fldChar w:fldCharType="separate"/>
      </w:r>
      <w:r>
        <w:rPr>
          <w:rStyle w:val="22"/>
        </w:rPr>
        <w:t>https://doi.org/10.1016/j.ympev.2021.107124</w:t>
      </w:r>
      <w:r>
        <w:rPr>
          <w:rStyle w:val="22"/>
        </w:rPr>
        <w:fldChar w:fldCharType="end"/>
      </w:r>
    </w:p>
    <w:p>
      <w:pPr>
        <w:pStyle w:val="49"/>
        <w:ind w:left="720" w:hanging="720"/>
      </w:pPr>
      <w:r>
        <w:t>11.</w:t>
      </w:r>
      <w:r>
        <w:tab/>
      </w:r>
      <w:r>
        <w:t xml:space="preserve">Zhang L, Sechi P, Yuan M, Jiang J, Dong Y, Qiu J: </w:t>
      </w:r>
      <w:r>
        <w:rPr>
          <w:b/>
        </w:rPr>
        <w:t>Fifteen new earthworm mitogenomes shed new light on phylogeny within the Pheretima complex</w:t>
      </w:r>
      <w:r>
        <w:t xml:space="preserve">. </w:t>
      </w:r>
      <w:r>
        <w:rPr>
          <w:i/>
        </w:rPr>
        <w:t xml:space="preserve">Sci Rep </w:t>
      </w:r>
      <w:r>
        <w:t xml:space="preserve">2016, </w:t>
      </w:r>
      <w:r>
        <w:rPr>
          <w:b/>
        </w:rPr>
        <w:t>6</w:t>
      </w:r>
      <w:r>
        <w:t>(1):1-11.</w:t>
      </w:r>
      <w:r>
        <w:fldChar w:fldCharType="begin"/>
      </w:r>
      <w:r>
        <w:instrText xml:space="preserve"> HYPERLINK "https://doi.org/10.1038/srep20096" </w:instrText>
      </w:r>
      <w:r>
        <w:fldChar w:fldCharType="separate"/>
      </w:r>
      <w:r>
        <w:rPr>
          <w:rStyle w:val="22"/>
        </w:rPr>
        <w:t>https://doi.org/10.1038/srep20096</w:t>
      </w:r>
      <w:r>
        <w:rPr>
          <w:rStyle w:val="22"/>
        </w:rPr>
        <w:fldChar w:fldCharType="end"/>
      </w:r>
    </w:p>
    <w:p>
      <w:pPr>
        <w:pStyle w:val="49"/>
        <w:ind w:left="720" w:hanging="720"/>
      </w:pPr>
      <w:r>
        <w:t>12.</w:t>
      </w:r>
      <w:r>
        <w:tab/>
      </w:r>
      <w:r>
        <w:t xml:space="preserve">Shen X, Wu Z, Ren J, Liu B: </w:t>
      </w:r>
      <w:r>
        <w:rPr>
          <w:b/>
        </w:rPr>
        <w:t>The complete mitochondrial genome sequence of Whitmania pigra (Annelida, Hirudinea): the first representative from the class Hirudinea</w:t>
      </w:r>
      <w:r>
        <w:t xml:space="preserve">. </w:t>
      </w:r>
      <w:r>
        <w:rPr>
          <w:i/>
        </w:rPr>
        <w:t xml:space="preserve">Comparative Biochemistry Physiology Part D: Genomics Proteomics </w:t>
      </w:r>
      <w:r>
        <w:t xml:space="preserve">2011, </w:t>
      </w:r>
      <w:r>
        <w:rPr>
          <w:b/>
        </w:rPr>
        <w:t>6</w:t>
      </w:r>
      <w:r>
        <w:t>(2):133-138.</w:t>
      </w:r>
      <w:r>
        <w:fldChar w:fldCharType="begin"/>
      </w:r>
      <w:r>
        <w:instrText xml:space="preserve"> HYPERLINK "https://doi.org/10.1016/j.cbd.2010.12.001" </w:instrText>
      </w:r>
      <w:r>
        <w:fldChar w:fldCharType="separate"/>
      </w:r>
      <w:r>
        <w:rPr>
          <w:rStyle w:val="22"/>
        </w:rPr>
        <w:t>https://doi.org/10.1016/j.cbd.2010.12.001</w:t>
      </w:r>
      <w:r>
        <w:rPr>
          <w:rStyle w:val="22"/>
        </w:rPr>
        <w:fldChar w:fldCharType="end"/>
      </w:r>
    </w:p>
    <w:p>
      <w:pPr>
        <w:pStyle w:val="49"/>
        <w:ind w:left="720" w:hanging="720"/>
      </w:pPr>
      <w:r>
        <w:t>13.</w:t>
      </w:r>
      <w:r>
        <w:tab/>
      </w:r>
      <w:r>
        <w:t xml:space="preserve">Xu Y-L, Nie J: </w:t>
      </w:r>
      <w:r>
        <w:rPr>
          <w:b/>
        </w:rPr>
        <w:t>The complete mitochondrial genome sequence of Erpobdella octoculata (Hirudinea: Arhynchobdellida: Erpobdellidae)</w:t>
      </w:r>
      <w:r>
        <w:t xml:space="preserve">. </w:t>
      </w:r>
      <w:r>
        <w:rPr>
          <w:i/>
        </w:rPr>
        <w:t xml:space="preserve">Mitochondrial DNA Part A </w:t>
      </w:r>
      <w:r>
        <w:t xml:space="preserve">2016, </w:t>
      </w:r>
      <w:r>
        <w:rPr>
          <w:b/>
        </w:rPr>
        <w:t>27</w:t>
      </w:r>
      <w:r>
        <w:t>(3):1924-1925.</w:t>
      </w:r>
      <w:r>
        <w:fldChar w:fldCharType="begin"/>
      </w:r>
      <w:r>
        <w:instrText xml:space="preserve"> HYPERLINK "https://doi.org/10.3109/19401736.2014.971289" </w:instrText>
      </w:r>
      <w:r>
        <w:fldChar w:fldCharType="separate"/>
      </w:r>
      <w:r>
        <w:rPr>
          <w:rStyle w:val="22"/>
        </w:rPr>
        <w:t>https://doi.org/10.3109/19401736.2014.971289</w:t>
      </w:r>
      <w:r>
        <w:rPr>
          <w:rStyle w:val="22"/>
        </w:rPr>
        <w:fldChar w:fldCharType="end"/>
      </w:r>
    </w:p>
    <w:p>
      <w:pPr>
        <w:pStyle w:val="49"/>
        <w:ind w:left="720" w:hanging="720"/>
      </w:pPr>
      <w:r>
        <w:t>14.</w:t>
      </w:r>
      <w:r>
        <w:tab/>
      </w:r>
      <w:r>
        <w:t xml:space="preserve">Ghiselli F, Milani L, Guerra D, Chang PL, Breton S, Nuzhdin SV, Passamonti M: </w:t>
      </w:r>
      <w:r>
        <w:rPr>
          <w:b/>
        </w:rPr>
        <w:t>Structure, transcription, and variability of metazoan mitochondrial genome: perspectives from an unusual mitochondrial inheritance system</w:t>
      </w:r>
      <w:r>
        <w:t xml:space="preserve">. </w:t>
      </w:r>
      <w:r>
        <w:rPr>
          <w:i/>
        </w:rPr>
        <w:t xml:space="preserve">Genome biology evolution </w:t>
      </w:r>
      <w:r>
        <w:t xml:space="preserve">2013, </w:t>
      </w:r>
      <w:r>
        <w:rPr>
          <w:b/>
        </w:rPr>
        <w:t>5</w:t>
      </w:r>
      <w:r>
        <w:t>(8):1535-1554.</w:t>
      </w:r>
      <w:r>
        <w:fldChar w:fldCharType="begin"/>
      </w:r>
      <w:r>
        <w:instrText xml:space="preserve"> HYPERLINK "https://doi.org/10.1093/gbe/evt112" </w:instrText>
      </w:r>
      <w:r>
        <w:fldChar w:fldCharType="separate"/>
      </w:r>
      <w:r>
        <w:rPr>
          <w:rStyle w:val="22"/>
        </w:rPr>
        <w:t>https://doi.org/10.1093/gbe/evt112</w:t>
      </w:r>
      <w:r>
        <w:rPr>
          <w:rStyle w:val="22"/>
        </w:rPr>
        <w:fldChar w:fldCharType="end"/>
      </w:r>
    </w:p>
    <w:p>
      <w:pPr>
        <w:pStyle w:val="49"/>
        <w:ind w:left="720" w:hanging="720"/>
      </w:pPr>
      <w:r>
        <w:t>15.</w:t>
      </w:r>
      <w:r>
        <w:tab/>
      </w:r>
      <w:r>
        <w:t xml:space="preserve">Bailey TL: </w:t>
      </w:r>
      <w:r>
        <w:rPr>
          <w:b/>
        </w:rPr>
        <w:t>STREME: accurate and versatile sequence motif discovery</w:t>
      </w:r>
      <w:r>
        <w:t xml:space="preserve">. </w:t>
      </w:r>
      <w:r>
        <w:rPr>
          <w:i/>
        </w:rPr>
        <w:t xml:space="preserve">Bioinformatics </w:t>
      </w:r>
      <w:r>
        <w:t xml:space="preserve">2021, </w:t>
      </w:r>
      <w:r>
        <w:rPr>
          <w:b/>
        </w:rPr>
        <w:t>37</w:t>
      </w:r>
      <w:r>
        <w:t>(18):2834-2840.</w:t>
      </w:r>
      <w:r>
        <w:fldChar w:fldCharType="begin"/>
      </w:r>
      <w:r>
        <w:instrText xml:space="preserve"> HYPERLINK "https://doi.org/10.1093/bioinformatics/btab203" </w:instrText>
      </w:r>
      <w:r>
        <w:fldChar w:fldCharType="separate"/>
      </w:r>
      <w:r>
        <w:rPr>
          <w:rStyle w:val="22"/>
        </w:rPr>
        <w:t>https://doi.org/10.1093/bioinformatics/btab203</w:t>
      </w:r>
      <w:r>
        <w:rPr>
          <w:rStyle w:val="22"/>
        </w:rPr>
        <w:fldChar w:fldCharType="end"/>
      </w:r>
    </w:p>
    <w:p>
      <w:pPr>
        <w:pStyle w:val="49"/>
        <w:ind w:left="720" w:hanging="720"/>
      </w:pPr>
      <w:r>
        <w:t>16.</w:t>
      </w:r>
      <w:r>
        <w:tab/>
      </w:r>
      <w:r>
        <w:t xml:space="preserve">Grant CE, Bailey TL, Noble WS: </w:t>
      </w:r>
      <w:r>
        <w:rPr>
          <w:b/>
        </w:rPr>
        <w:t>FIMO: scanning for occurrences of a given motif</w:t>
      </w:r>
      <w:r>
        <w:t xml:space="preserve">. </w:t>
      </w:r>
      <w:r>
        <w:rPr>
          <w:i/>
        </w:rPr>
        <w:t xml:space="preserve">Bioinformatics </w:t>
      </w:r>
      <w:r>
        <w:t xml:space="preserve">2011, </w:t>
      </w:r>
      <w:r>
        <w:rPr>
          <w:b/>
        </w:rPr>
        <w:t>27</w:t>
      </w:r>
      <w:r>
        <w:t>(7):1017-1018.</w:t>
      </w:r>
      <w:r>
        <w:fldChar w:fldCharType="begin"/>
      </w:r>
      <w:r>
        <w:instrText xml:space="preserve"> HYPERLINK "https://doi.org/10.1093/bioinformatics/btr064" </w:instrText>
      </w:r>
      <w:r>
        <w:fldChar w:fldCharType="separate"/>
      </w:r>
      <w:r>
        <w:rPr>
          <w:rStyle w:val="22"/>
        </w:rPr>
        <w:t>https://doi.org/10.1093/bioinformatics/btr064</w:t>
      </w:r>
      <w:r>
        <w:rPr>
          <w:rStyle w:val="22"/>
        </w:rPr>
        <w:fldChar w:fldCharType="end"/>
      </w:r>
    </w:p>
    <w:p>
      <w:pPr>
        <w:pStyle w:val="49"/>
        <w:ind w:left="720" w:hanging="720"/>
      </w:pPr>
      <w:r>
        <w:t>17.</w:t>
      </w:r>
      <w:r>
        <w:tab/>
      </w:r>
      <w:r>
        <w:t xml:space="preserve">Trifinopoulos J, Nguyen L-T, Haeseler Av, Minh BQ: </w:t>
      </w:r>
      <w:r>
        <w:rPr>
          <w:b/>
        </w:rPr>
        <w:t>W-IQ-TREE: a fast online phylogenetic tool for maximum likelihood analysis</w:t>
      </w:r>
      <w:r>
        <w:t xml:space="preserve">. </w:t>
      </w:r>
      <w:r>
        <w:rPr>
          <w:i/>
        </w:rPr>
        <w:t xml:space="preserve">Nucleic Acids Res </w:t>
      </w:r>
      <w:r>
        <w:t xml:space="preserve">2016, </w:t>
      </w:r>
      <w:r>
        <w:rPr>
          <w:b/>
        </w:rPr>
        <w:t>44</w:t>
      </w:r>
      <w:r>
        <w:t>(W1):W232-W235.</w:t>
      </w:r>
      <w:r>
        <w:fldChar w:fldCharType="begin"/>
      </w:r>
      <w:r>
        <w:instrText xml:space="preserve"> HYPERLINK "https://doi.org/10.1093/nar/gkw256" </w:instrText>
      </w:r>
      <w:r>
        <w:fldChar w:fldCharType="separate"/>
      </w:r>
      <w:r>
        <w:rPr>
          <w:rStyle w:val="22"/>
        </w:rPr>
        <w:t>https://doi.org/10.1093/nar/gkw256</w:t>
      </w:r>
      <w:r>
        <w:rPr>
          <w:rStyle w:val="22"/>
        </w:rPr>
        <w:fldChar w:fldCharType="end"/>
      </w:r>
    </w:p>
    <w:p>
      <w:pPr>
        <w:pStyle w:val="49"/>
        <w:ind w:left="720" w:hanging="720"/>
      </w:pPr>
      <w:r>
        <w:t>18.</w:t>
      </w:r>
      <w:r>
        <w:tab/>
      </w:r>
      <w:r>
        <w:t xml:space="preserve">Weigert A, Bleidorn C: </w:t>
      </w:r>
      <w:r>
        <w:rPr>
          <w:b/>
        </w:rPr>
        <w:t>Current status of annelid phylogeny</w:t>
      </w:r>
      <w:r>
        <w:t xml:space="preserve">. </w:t>
      </w:r>
      <w:r>
        <w:rPr>
          <w:i/>
        </w:rPr>
        <w:t xml:space="preserve">Organisms Diversity Evolution </w:t>
      </w:r>
      <w:r>
        <w:t xml:space="preserve">2016, </w:t>
      </w:r>
      <w:r>
        <w:rPr>
          <w:b/>
        </w:rPr>
        <w:t>16</w:t>
      </w:r>
      <w:r>
        <w:t>(2):345-362.</w:t>
      </w:r>
      <w:r>
        <w:fldChar w:fldCharType="begin"/>
      </w:r>
      <w:r>
        <w:instrText xml:space="preserve"> HYPERLINK "https://doi.org/10.1007/s13127-016-0265-7" </w:instrText>
      </w:r>
      <w:r>
        <w:fldChar w:fldCharType="separate"/>
      </w:r>
      <w:r>
        <w:rPr>
          <w:rStyle w:val="22"/>
        </w:rPr>
        <w:t>https://doi.org/10.1007/s13127-016-0265-7</w:t>
      </w:r>
      <w:r>
        <w:rPr>
          <w:rStyle w:val="22"/>
        </w:rPr>
        <w:fldChar w:fldCharType="end"/>
      </w:r>
    </w:p>
    <w:p>
      <w:pPr>
        <w:pStyle w:val="49"/>
        <w:ind w:left="720" w:hanging="720"/>
      </w:pPr>
      <w:r>
        <w:t>19.</w:t>
      </w:r>
      <w:r>
        <w:tab/>
      </w:r>
      <w:r>
        <w:t xml:space="preserve">Kryazhimskiy S, Plotkin JB: </w:t>
      </w:r>
      <w:r>
        <w:rPr>
          <w:b/>
        </w:rPr>
        <w:t>The population genetics of dN/dS</w:t>
      </w:r>
      <w:r>
        <w:t xml:space="preserve">. </w:t>
      </w:r>
      <w:r>
        <w:rPr>
          <w:i/>
        </w:rPr>
        <w:t xml:space="preserve">PLoS Genet </w:t>
      </w:r>
      <w:r>
        <w:t xml:space="preserve">2008, </w:t>
      </w:r>
      <w:r>
        <w:rPr>
          <w:b/>
        </w:rPr>
        <w:t>4</w:t>
      </w:r>
      <w:r>
        <w:t>(12):e1000304.</w:t>
      </w:r>
      <w:r>
        <w:fldChar w:fldCharType="begin"/>
      </w:r>
      <w:r>
        <w:instrText xml:space="preserve"> HYPERLINK "https://doi.org/10.1371/journal.pgen.1000304" </w:instrText>
      </w:r>
      <w:r>
        <w:fldChar w:fldCharType="separate"/>
      </w:r>
      <w:r>
        <w:rPr>
          <w:rStyle w:val="22"/>
        </w:rPr>
        <w:t>https://doi.org/10.1371/journal.pgen.1000304</w:t>
      </w:r>
      <w:r>
        <w:rPr>
          <w:rStyle w:val="22"/>
        </w:rPr>
        <w:fldChar w:fldCharType="end"/>
      </w:r>
    </w:p>
    <w:p>
      <w:pPr>
        <w:pStyle w:val="49"/>
        <w:ind w:left="720" w:hanging="720"/>
      </w:pPr>
      <w:r>
        <w:t>20.</w:t>
      </w:r>
      <w:r>
        <w:tab/>
      </w:r>
      <w:r>
        <w:t xml:space="preserve">Pond SLK, Frost SD: </w:t>
      </w:r>
      <w:r>
        <w:rPr>
          <w:b/>
        </w:rPr>
        <w:t>Not so different after all: a comparison of methods for detecting amino acid sites under selection</w:t>
      </w:r>
      <w:r>
        <w:t xml:space="preserve">. </w:t>
      </w:r>
      <w:r>
        <w:rPr>
          <w:i/>
        </w:rPr>
        <w:t xml:space="preserve">Mol Biol Evol </w:t>
      </w:r>
      <w:r>
        <w:t xml:space="preserve">2005, </w:t>
      </w:r>
      <w:r>
        <w:rPr>
          <w:b/>
        </w:rPr>
        <w:t>22</w:t>
      </w:r>
      <w:r>
        <w:t>(5):1208-1222.</w:t>
      </w:r>
      <w:r>
        <w:fldChar w:fldCharType="begin"/>
      </w:r>
      <w:r>
        <w:instrText xml:space="preserve"> HYPERLINK "https://doi.org/10.1093/molbev/msi105" </w:instrText>
      </w:r>
      <w:r>
        <w:fldChar w:fldCharType="separate"/>
      </w:r>
      <w:r>
        <w:rPr>
          <w:rStyle w:val="22"/>
        </w:rPr>
        <w:t>https://doi.org/10.1093/molbev/msi105</w:t>
      </w:r>
      <w:r>
        <w:rPr>
          <w:rStyle w:val="22"/>
        </w:rPr>
        <w:fldChar w:fldCharType="end"/>
      </w:r>
    </w:p>
    <w:p>
      <w:pPr>
        <w:pStyle w:val="49"/>
        <w:ind w:left="720" w:hanging="720"/>
      </w:pPr>
      <w:r>
        <w:t>21.</w:t>
      </w:r>
      <w:r>
        <w:tab/>
      </w:r>
      <w:r>
        <w:t xml:space="preserve">Ballard JWO, Rand DM: </w:t>
      </w:r>
      <w:r>
        <w:rPr>
          <w:b/>
        </w:rPr>
        <w:t>The population biology of mitochondrial DNA and its phylogenetic implications</w:t>
      </w:r>
      <w:r>
        <w:t xml:space="preserve">. </w:t>
      </w:r>
      <w:r>
        <w:rPr>
          <w:i/>
        </w:rPr>
        <w:t xml:space="preserve">Annu Rev Ecol Evol Syst </w:t>
      </w:r>
      <w:r>
        <w:t xml:space="preserve">2005, </w:t>
      </w:r>
      <w:r>
        <w:rPr>
          <w:b/>
        </w:rPr>
        <w:t>36</w:t>
      </w:r>
      <w:r>
        <w:t>:621-642.</w:t>
      </w:r>
      <w:r>
        <w:fldChar w:fldCharType="begin"/>
      </w:r>
      <w:r>
        <w:instrText xml:space="preserve"> HYPERLINK "https://doi.org/10.1146/annurev.ecolsys.36.091704.175513" </w:instrText>
      </w:r>
      <w:r>
        <w:fldChar w:fldCharType="separate"/>
      </w:r>
      <w:r>
        <w:rPr>
          <w:rStyle w:val="22"/>
        </w:rPr>
        <w:t>https://doi.org/10.1146/annurev.ecolsys.36.091704.175513</w:t>
      </w:r>
      <w:r>
        <w:rPr>
          <w:rStyle w:val="22"/>
        </w:rPr>
        <w:fldChar w:fldCharType="end"/>
      </w:r>
    </w:p>
    <w:p>
      <w:pPr>
        <w:pStyle w:val="49"/>
        <w:ind w:left="720" w:hanging="720"/>
      </w:pPr>
      <w:r>
        <w:t>22.</w:t>
      </w:r>
      <w:r>
        <w:tab/>
      </w:r>
      <w:r>
        <w:t xml:space="preserve">Fonseca RRD, Johnson WE, O'Brien SJ, Ramos MJ, Antunes A: </w:t>
      </w:r>
      <w:r>
        <w:rPr>
          <w:b/>
        </w:rPr>
        <w:t>The adaptive evolution of the mammalian mitochondrial genome</w:t>
      </w:r>
      <w:r>
        <w:t xml:space="preserve">. </w:t>
      </w:r>
      <w:r>
        <w:rPr>
          <w:i/>
        </w:rPr>
        <w:t xml:space="preserve">BMC Genomics </w:t>
      </w:r>
      <w:r>
        <w:t xml:space="preserve">2008, </w:t>
      </w:r>
      <w:r>
        <w:rPr>
          <w:b/>
        </w:rPr>
        <w:t>9</w:t>
      </w:r>
      <w:r>
        <w:t>(1):1-22.</w:t>
      </w:r>
      <w:r>
        <w:fldChar w:fldCharType="begin"/>
      </w:r>
      <w:r>
        <w:instrText xml:space="preserve"> HYPERLINK "https://doi.org/10.1186/1471-2164-9-119" </w:instrText>
      </w:r>
      <w:r>
        <w:fldChar w:fldCharType="separate"/>
      </w:r>
      <w:r>
        <w:rPr>
          <w:rStyle w:val="22"/>
        </w:rPr>
        <w:t>https://doi.org/10.1186/1471-2164-9-119</w:t>
      </w:r>
      <w:r>
        <w:rPr>
          <w:rStyle w:val="22"/>
        </w:rPr>
        <w:fldChar w:fldCharType="end"/>
      </w:r>
    </w:p>
    <w:p>
      <w:pPr>
        <w:pStyle w:val="49"/>
        <w:ind w:left="720" w:hanging="720"/>
      </w:pPr>
      <w:r>
        <w:t>23.</w:t>
      </w:r>
      <w:r>
        <w:tab/>
      </w:r>
      <w:r>
        <w:t xml:space="preserve">Shen Y-Y, Liang L, Zhu Z-H, Zhou W-P, Irwin DM, Zhang Y-P: </w:t>
      </w:r>
      <w:r>
        <w:rPr>
          <w:b/>
        </w:rPr>
        <w:t>Adaptive evolution of energy metabolism genes and the origin of flight in bats</w:t>
      </w:r>
      <w:r>
        <w:t xml:space="preserve">. </w:t>
      </w:r>
      <w:r>
        <w:rPr>
          <w:i/>
        </w:rPr>
        <w:t xml:space="preserve">Proceedings of the National Academy of Sciences </w:t>
      </w:r>
      <w:r>
        <w:t xml:space="preserve">2010, </w:t>
      </w:r>
      <w:r>
        <w:rPr>
          <w:b/>
        </w:rPr>
        <w:t>107</w:t>
      </w:r>
      <w:r>
        <w:t>(19):8666-8671.</w:t>
      </w:r>
      <w:r>
        <w:fldChar w:fldCharType="begin"/>
      </w:r>
      <w:r>
        <w:instrText xml:space="preserve"> HYPERLINK "https://doi.org/10.1073/pnas.0912613107" </w:instrText>
      </w:r>
      <w:r>
        <w:fldChar w:fldCharType="separate"/>
      </w:r>
      <w:r>
        <w:rPr>
          <w:rStyle w:val="22"/>
        </w:rPr>
        <w:t>https://doi.org/10.1073/pnas.0912613107</w:t>
      </w:r>
      <w:r>
        <w:rPr>
          <w:rStyle w:val="22"/>
        </w:rPr>
        <w:fldChar w:fldCharType="end"/>
      </w:r>
    </w:p>
    <w:p>
      <w:pPr>
        <w:pStyle w:val="49"/>
        <w:ind w:left="720" w:hanging="720"/>
      </w:pPr>
      <w:r>
        <w:t>24.</w:t>
      </w:r>
      <w:r>
        <w:tab/>
      </w:r>
      <w:r>
        <w:t xml:space="preserve">Menezes AN, Viana MC, Furtado C, Schrago CG, Seuanez HN: </w:t>
      </w:r>
      <w:r>
        <w:rPr>
          <w:b/>
        </w:rPr>
        <w:t>Positive selection along the evolution of primate mitogenomes</w:t>
      </w:r>
      <w:r>
        <w:t xml:space="preserve">. </w:t>
      </w:r>
      <w:r>
        <w:rPr>
          <w:i/>
        </w:rPr>
        <w:t xml:space="preserve">Mitochondrion </w:t>
      </w:r>
      <w:r>
        <w:t xml:space="preserve">2013, </w:t>
      </w:r>
      <w:r>
        <w:rPr>
          <w:b/>
        </w:rPr>
        <w:t>13</w:t>
      </w:r>
      <w:r>
        <w:t>(6):846-851.</w:t>
      </w:r>
      <w:r>
        <w:fldChar w:fldCharType="begin"/>
      </w:r>
      <w:r>
        <w:instrText xml:space="preserve"> HYPERLINK "https://doi.org/10.1016/j.mito.2013.06.001" </w:instrText>
      </w:r>
      <w:r>
        <w:fldChar w:fldCharType="separate"/>
      </w:r>
      <w:r>
        <w:rPr>
          <w:rStyle w:val="22"/>
        </w:rPr>
        <w:t>https://doi.org/10.1016/j.mito.2013.06.001</w:t>
      </w:r>
      <w:r>
        <w:rPr>
          <w:rStyle w:val="22"/>
        </w:rPr>
        <w:fldChar w:fldCharType="end"/>
      </w:r>
    </w:p>
    <w:p>
      <w:pPr>
        <w:pStyle w:val="49"/>
        <w:ind w:left="720" w:hanging="720"/>
      </w:pPr>
      <w:r>
        <w:t>25.</w:t>
      </w:r>
      <w:r>
        <w:tab/>
      </w:r>
      <w:r>
        <w:t xml:space="preserve">Blier PU, Dufresne F, Burton RS: </w:t>
      </w:r>
      <w:r>
        <w:rPr>
          <w:b/>
        </w:rPr>
        <w:t>Natural selection and the evolution of mtDNA-encoded peptides: evidence for intergenomic co-adaptation</w:t>
      </w:r>
      <w:r>
        <w:t xml:space="preserve">. </w:t>
      </w:r>
      <w:r>
        <w:rPr>
          <w:i/>
        </w:rPr>
        <w:t xml:space="preserve">TIG </w:t>
      </w:r>
      <w:r>
        <w:t xml:space="preserve">2001, </w:t>
      </w:r>
      <w:r>
        <w:rPr>
          <w:b/>
        </w:rPr>
        <w:t>17</w:t>
      </w:r>
      <w:r>
        <w:t>(7):400-406.</w:t>
      </w:r>
      <w:r>
        <w:fldChar w:fldCharType="begin"/>
      </w:r>
      <w:r>
        <w:instrText xml:space="preserve"> HYPERLINK "https://doi.org/10.1016/S0168-9525(01)02338-1" </w:instrText>
      </w:r>
      <w:r>
        <w:fldChar w:fldCharType="separate"/>
      </w:r>
      <w:r>
        <w:rPr>
          <w:rStyle w:val="22"/>
        </w:rPr>
        <w:t>https://doi.org/10.1016/S0168-9525(01)02338-1</w:t>
      </w:r>
      <w:r>
        <w:rPr>
          <w:rStyle w:val="22"/>
        </w:rPr>
        <w:fldChar w:fldCharType="end"/>
      </w:r>
    </w:p>
    <w:p>
      <w:pPr>
        <w:pStyle w:val="49"/>
        <w:ind w:left="720" w:hanging="720"/>
      </w:pPr>
      <w:r>
        <w:t>26.</w:t>
      </w:r>
      <w:r>
        <w:tab/>
      </w:r>
      <w:r>
        <w:t xml:space="preserve">Castoe TA, Koning AJd, Kim H-M, Gu W, Noonan BP, Naylor G, Jiang ZJ, Parkinson CL, Pollock DD: </w:t>
      </w:r>
      <w:r>
        <w:rPr>
          <w:b/>
        </w:rPr>
        <w:t>Evidence for an ancient adaptive episode of convergent molecular evolution</w:t>
      </w:r>
      <w:r>
        <w:t xml:space="preserve">. </w:t>
      </w:r>
      <w:r>
        <w:rPr>
          <w:i/>
        </w:rPr>
        <w:t xml:space="preserve">Proceedings of the National Academy of Sciences </w:t>
      </w:r>
      <w:r>
        <w:t xml:space="preserve">2009, </w:t>
      </w:r>
      <w:r>
        <w:rPr>
          <w:b/>
        </w:rPr>
        <w:t>106</w:t>
      </w:r>
      <w:r>
        <w:t>(22):8986-8991.</w:t>
      </w:r>
      <w:r>
        <w:fldChar w:fldCharType="begin"/>
      </w:r>
      <w:r>
        <w:instrText xml:space="preserve"> HYPERLINK "https://doi.org/10.1073/pnas.0900233106" </w:instrText>
      </w:r>
      <w:r>
        <w:fldChar w:fldCharType="separate"/>
      </w:r>
      <w:r>
        <w:rPr>
          <w:rStyle w:val="22"/>
        </w:rPr>
        <w:t>https://doi.org/10.1073/pnas.0900233106</w:t>
      </w:r>
      <w:r>
        <w:rPr>
          <w:rStyle w:val="22"/>
        </w:rPr>
        <w:fldChar w:fldCharType="end"/>
      </w:r>
    </w:p>
    <w:p>
      <w:pPr>
        <w:pStyle w:val="49"/>
        <w:ind w:left="720" w:hanging="720"/>
      </w:pPr>
      <w:r>
        <w:t>27.</w:t>
      </w:r>
      <w:r>
        <w:tab/>
      </w:r>
      <w:r>
        <w:t xml:space="preserve">Castellana S, Vicario S, Saccone C: </w:t>
      </w:r>
      <w:r>
        <w:rPr>
          <w:b/>
        </w:rPr>
        <w:t>Evolutionary patterns of the mitochondrial genome in Metazoa: exploring the role of mutation and selection in mitochondrial protein–coding genes</w:t>
      </w:r>
      <w:r>
        <w:t xml:space="preserve">. </w:t>
      </w:r>
      <w:r>
        <w:rPr>
          <w:i/>
        </w:rPr>
        <w:t xml:space="preserve">Genome biology evolution </w:t>
      </w:r>
      <w:r>
        <w:t xml:space="preserve">2011, </w:t>
      </w:r>
      <w:r>
        <w:rPr>
          <w:b/>
        </w:rPr>
        <w:t>3</w:t>
      </w:r>
      <w:r>
        <w:t>:1067-1079.</w:t>
      </w:r>
      <w:r>
        <w:fldChar w:fldCharType="begin"/>
      </w:r>
      <w:r>
        <w:instrText xml:space="preserve"> HYPERLINK "https://doi.org/10.1093/gbe/evr040" </w:instrText>
      </w:r>
      <w:r>
        <w:fldChar w:fldCharType="separate"/>
      </w:r>
      <w:r>
        <w:rPr>
          <w:rStyle w:val="22"/>
        </w:rPr>
        <w:t>https://doi.org/10.1093/gbe/evr040</w:t>
      </w:r>
      <w:r>
        <w:rPr>
          <w:rStyle w:val="22"/>
        </w:rPr>
        <w:fldChar w:fldCharType="end"/>
      </w:r>
    </w:p>
    <w:p>
      <w:pPr>
        <w:pStyle w:val="49"/>
        <w:ind w:left="720" w:hanging="720"/>
      </w:pPr>
      <w:r>
        <w:t>28.</w:t>
      </w:r>
      <w:r>
        <w:tab/>
      </w:r>
      <w:r>
        <w:t xml:space="preserve">Nabholz B, Uwimana N, Lartillot N: </w:t>
      </w:r>
      <w:r>
        <w:rPr>
          <w:b/>
        </w:rPr>
        <w:t>Reconstructing the phylogenetic history of long-term effective population size and life-history traits using patterns of amino acid replacement in mitochondrial genomes of mammals and birds</w:t>
      </w:r>
      <w:r>
        <w:t xml:space="preserve">. </w:t>
      </w:r>
      <w:r>
        <w:rPr>
          <w:i/>
        </w:rPr>
        <w:t xml:space="preserve">Genome biology evolution </w:t>
      </w:r>
      <w:r>
        <w:t xml:space="preserve">2013, </w:t>
      </w:r>
      <w:r>
        <w:rPr>
          <w:b/>
        </w:rPr>
        <w:t>5</w:t>
      </w:r>
      <w:r>
        <w:t>(7):1273-1290.</w:t>
      </w:r>
      <w:r>
        <w:fldChar w:fldCharType="begin"/>
      </w:r>
      <w:r>
        <w:instrText xml:space="preserve"> HYPERLINK "https://doi.org/10.1093/gbe/evt083" </w:instrText>
      </w:r>
      <w:r>
        <w:fldChar w:fldCharType="separate"/>
      </w:r>
      <w:r>
        <w:rPr>
          <w:rStyle w:val="22"/>
        </w:rPr>
        <w:t>https://doi.org/10.1093/gbe/evt083</w:t>
      </w:r>
      <w:r>
        <w:rPr>
          <w:rStyle w:val="22"/>
        </w:rPr>
        <w:fldChar w:fldCharType="end"/>
      </w:r>
    </w:p>
    <w:p>
      <w:pPr>
        <w:pStyle w:val="49"/>
        <w:ind w:left="720" w:hanging="720"/>
      </w:pPr>
      <w:r>
        <w:t>29.</w:t>
      </w:r>
      <w:r>
        <w:tab/>
      </w:r>
      <w:r>
        <w:t xml:space="preserve">Lanfear R, Ho SY, Love D, Bromham L: </w:t>
      </w:r>
      <w:r>
        <w:rPr>
          <w:b/>
        </w:rPr>
        <w:t>Mutation rate is linked to diversification in birds</w:t>
      </w:r>
      <w:r>
        <w:t xml:space="preserve">. </w:t>
      </w:r>
      <w:r>
        <w:rPr>
          <w:i/>
        </w:rPr>
        <w:t xml:space="preserve">Proceedings of the National Academy of Sciences </w:t>
      </w:r>
      <w:r>
        <w:t xml:space="preserve">2010, </w:t>
      </w:r>
      <w:r>
        <w:rPr>
          <w:b/>
        </w:rPr>
        <w:t>107</w:t>
      </w:r>
      <w:r>
        <w:t>(47):20423-20428.</w:t>
      </w:r>
      <w:r>
        <w:fldChar w:fldCharType="begin"/>
      </w:r>
      <w:r>
        <w:instrText xml:space="preserve"> HYPERLINK "https://doi.org/10.1073/pnas.1007888107" </w:instrText>
      </w:r>
      <w:r>
        <w:fldChar w:fldCharType="separate"/>
      </w:r>
      <w:r>
        <w:rPr>
          <w:rStyle w:val="22"/>
        </w:rPr>
        <w:t>https://doi.org/10.1073/pnas.1007888107</w:t>
      </w:r>
      <w:r>
        <w:rPr>
          <w:rStyle w:val="22"/>
        </w:rPr>
        <w:fldChar w:fldCharType="end"/>
      </w:r>
    </w:p>
    <w:p>
      <w:pPr>
        <w:pStyle w:val="7"/>
        <w:rPr>
          <w:rFonts w:eastAsia="宋体"/>
          <w:lang w:eastAsia="zh-CN"/>
        </w:rPr>
      </w:pPr>
      <w:r>
        <w:fldChar w:fldCharType="end"/>
      </w:r>
    </w:p>
    <w:sectPr>
      <w:pgSz w:w="11910" w:h="16840"/>
      <w:pgMar w:top="1380" w:right="320" w:bottom="280" w:left="168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96105765"/>
      <w:docPartObj>
        <w:docPartGallery w:val="autotext"/>
      </w:docPartObj>
    </w:sdtPr>
    <w:sdtContent>
      <w:p>
        <w:pPr>
          <w:pStyle w:val="10"/>
          <w:jc w:val="center"/>
        </w:pPr>
        <w:r>
          <w:fldChar w:fldCharType="begin"/>
        </w:r>
        <w:r>
          <w:instrText xml:space="preserve">PAGE   \* MERGEFORMAT</w:instrText>
        </w:r>
        <w:r>
          <w:fldChar w:fldCharType="separate"/>
        </w:r>
        <w:r>
          <w:rPr>
            <w:lang w:val="zh-CN" w:eastAsia="zh-CN"/>
          </w:rPr>
          <w:t>2</w:t>
        </w:r>
        <w:r>
          <w:fldChar w:fldCharType="end"/>
        </w:r>
      </w:p>
    </w:sdtContent>
  </w:sdt>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hideSpellingErrors/>
  <w:hideGrammaticalErrors/>
  <w:trackRevisions w:val="1"/>
  <w:documentProtection w:enforcement="0"/>
  <w:defaultTabStop w:val="720"/>
  <w:drawingGridHorizontalSpacing w:val="110"/>
  <w:noPunctuationKerning w:val="1"/>
  <w:characterSpacingControl w:val="doNotCompress"/>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LE0tTCzNDcyMzAxNrVU0lEKTi0uzszPAykwrgUAPFLDCSwAAAA="/>
    <w:docVar w:name="commondata" w:val="eyJoZGlkIjoiMDVjNmE4MmI3YWRmYzUxMzU1OWE2OGJmMjljOTUyMzUifQ=="/>
    <w:docVar w:name="EN.InstantFormat" w:val="&lt;ENInstantFormat&gt;&lt;Enabled&gt;1&lt;/Enabled&gt;&lt;ScanUnformatted&gt;1&lt;/ScanUnformatted&gt;&lt;ScanChanges&gt;1&lt;/ScanChanges&gt;&lt;Suspended&gt;0&lt;/Suspended&gt;&lt;/ENInstantFormat&gt;"/>
    <w:docVar w:name="EN.Layout" w:val="&lt;ENLayout&gt;&lt;Style&gt;BMC Genomic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wvd5satxtzds3eeefppxpwgpd9fas0p9aaw&quot;&gt;A&lt;record-ids&gt;&lt;item&gt;1&lt;/item&gt;&lt;item&gt;4&lt;/item&gt;&lt;item&gt;6&lt;/item&gt;&lt;item&gt;10&lt;/item&gt;&lt;item&gt;14&lt;/item&gt;&lt;item&gt;15&lt;/item&gt;&lt;item&gt;17&lt;/item&gt;&lt;item&gt;18&lt;/item&gt;&lt;item&gt;23&lt;/item&gt;&lt;item&gt;26&lt;/item&gt;&lt;item&gt;34&lt;/item&gt;&lt;item&gt;36&lt;/item&gt;&lt;item&gt;38&lt;/item&gt;&lt;item&gt;42&lt;/item&gt;&lt;item&gt;45&lt;/item&gt;&lt;item&gt;47&lt;/item&gt;&lt;item&gt;62&lt;/item&gt;&lt;item&gt;63&lt;/item&gt;&lt;item&gt;66&lt;/item&gt;&lt;item&gt;73&lt;/item&gt;&lt;item&gt;75&lt;/item&gt;&lt;item&gt;87&lt;/item&gt;&lt;item&gt;88&lt;/item&gt;&lt;item&gt;196&lt;/item&gt;&lt;item&gt;197&lt;/item&gt;&lt;item&gt;198&lt;/item&gt;&lt;item&gt;204&lt;/item&gt;&lt;item&gt;214&lt;/item&gt;&lt;item&gt;218&lt;/item&gt;&lt;/record-ids&gt;&lt;/item&gt;&lt;/Libraries&gt;"/>
  </w:docVars>
  <w:rsids>
    <w:rsidRoot w:val="007C610E"/>
    <w:rsid w:val="0003040F"/>
    <w:rsid w:val="0003620B"/>
    <w:rsid w:val="00083804"/>
    <w:rsid w:val="00084037"/>
    <w:rsid w:val="00085835"/>
    <w:rsid w:val="00085B2E"/>
    <w:rsid w:val="00091160"/>
    <w:rsid w:val="000A4240"/>
    <w:rsid w:val="000C1736"/>
    <w:rsid w:val="000C4797"/>
    <w:rsid w:val="000D2F96"/>
    <w:rsid w:val="000D37E2"/>
    <w:rsid w:val="000E1AB6"/>
    <w:rsid w:val="000F5ADB"/>
    <w:rsid w:val="00112185"/>
    <w:rsid w:val="00116FEC"/>
    <w:rsid w:val="00152127"/>
    <w:rsid w:val="00194C46"/>
    <w:rsid w:val="00195578"/>
    <w:rsid w:val="00197403"/>
    <w:rsid w:val="001A153D"/>
    <w:rsid w:val="001A1A09"/>
    <w:rsid w:val="001A40AA"/>
    <w:rsid w:val="001A75FF"/>
    <w:rsid w:val="001B7D1B"/>
    <w:rsid w:val="001C2DB9"/>
    <w:rsid w:val="001E76E6"/>
    <w:rsid w:val="001F47F9"/>
    <w:rsid w:val="0020006D"/>
    <w:rsid w:val="0021653F"/>
    <w:rsid w:val="002202DB"/>
    <w:rsid w:val="00225702"/>
    <w:rsid w:val="00233F5B"/>
    <w:rsid w:val="00250448"/>
    <w:rsid w:val="002517C2"/>
    <w:rsid w:val="00252C7F"/>
    <w:rsid w:val="00263745"/>
    <w:rsid w:val="002672C0"/>
    <w:rsid w:val="00272356"/>
    <w:rsid w:val="00274331"/>
    <w:rsid w:val="00277C71"/>
    <w:rsid w:val="00294424"/>
    <w:rsid w:val="002A1F58"/>
    <w:rsid w:val="002A660C"/>
    <w:rsid w:val="002B293D"/>
    <w:rsid w:val="002D55D6"/>
    <w:rsid w:val="002F45F4"/>
    <w:rsid w:val="002F52A1"/>
    <w:rsid w:val="003204E3"/>
    <w:rsid w:val="00332AB0"/>
    <w:rsid w:val="00341C2A"/>
    <w:rsid w:val="00343466"/>
    <w:rsid w:val="0034762E"/>
    <w:rsid w:val="00363E47"/>
    <w:rsid w:val="003C789E"/>
    <w:rsid w:val="003D0D95"/>
    <w:rsid w:val="003E63A0"/>
    <w:rsid w:val="003F2598"/>
    <w:rsid w:val="003F5607"/>
    <w:rsid w:val="003F65AB"/>
    <w:rsid w:val="00404880"/>
    <w:rsid w:val="004203A9"/>
    <w:rsid w:val="00420EDC"/>
    <w:rsid w:val="00431A3C"/>
    <w:rsid w:val="00432710"/>
    <w:rsid w:val="00445A95"/>
    <w:rsid w:val="00451D1D"/>
    <w:rsid w:val="0045671A"/>
    <w:rsid w:val="0047296D"/>
    <w:rsid w:val="004920ED"/>
    <w:rsid w:val="004A7426"/>
    <w:rsid w:val="004B2C19"/>
    <w:rsid w:val="004B5804"/>
    <w:rsid w:val="004B7547"/>
    <w:rsid w:val="004D1D58"/>
    <w:rsid w:val="004F0E48"/>
    <w:rsid w:val="00534EE7"/>
    <w:rsid w:val="00560222"/>
    <w:rsid w:val="005716BF"/>
    <w:rsid w:val="00572CC8"/>
    <w:rsid w:val="005A1492"/>
    <w:rsid w:val="005B33BA"/>
    <w:rsid w:val="005B4068"/>
    <w:rsid w:val="005C1B70"/>
    <w:rsid w:val="005D1CDA"/>
    <w:rsid w:val="006353C3"/>
    <w:rsid w:val="00660CBA"/>
    <w:rsid w:val="006A1831"/>
    <w:rsid w:val="006A211D"/>
    <w:rsid w:val="006A3143"/>
    <w:rsid w:val="006A4BD9"/>
    <w:rsid w:val="006C48FB"/>
    <w:rsid w:val="006D21BE"/>
    <w:rsid w:val="006E32F3"/>
    <w:rsid w:val="006F0FEB"/>
    <w:rsid w:val="0070410A"/>
    <w:rsid w:val="00716640"/>
    <w:rsid w:val="00717694"/>
    <w:rsid w:val="0072032D"/>
    <w:rsid w:val="0075763F"/>
    <w:rsid w:val="00762DD3"/>
    <w:rsid w:val="00784532"/>
    <w:rsid w:val="007A0F8D"/>
    <w:rsid w:val="007A6C7A"/>
    <w:rsid w:val="007C610E"/>
    <w:rsid w:val="007C6F97"/>
    <w:rsid w:val="007F6841"/>
    <w:rsid w:val="00806785"/>
    <w:rsid w:val="008111C2"/>
    <w:rsid w:val="008168FD"/>
    <w:rsid w:val="00817FF3"/>
    <w:rsid w:val="00821433"/>
    <w:rsid w:val="0082537A"/>
    <w:rsid w:val="00826F43"/>
    <w:rsid w:val="008343A8"/>
    <w:rsid w:val="00853AAA"/>
    <w:rsid w:val="0087304C"/>
    <w:rsid w:val="0088324F"/>
    <w:rsid w:val="00884F61"/>
    <w:rsid w:val="0089042C"/>
    <w:rsid w:val="00892A38"/>
    <w:rsid w:val="00895FA2"/>
    <w:rsid w:val="008A061C"/>
    <w:rsid w:val="008A4C59"/>
    <w:rsid w:val="008C009D"/>
    <w:rsid w:val="008D3ACE"/>
    <w:rsid w:val="008E3078"/>
    <w:rsid w:val="008F456B"/>
    <w:rsid w:val="008F45F3"/>
    <w:rsid w:val="00905E11"/>
    <w:rsid w:val="00924622"/>
    <w:rsid w:val="009258F9"/>
    <w:rsid w:val="00931425"/>
    <w:rsid w:val="0095509E"/>
    <w:rsid w:val="009571DB"/>
    <w:rsid w:val="00957E49"/>
    <w:rsid w:val="00976DA8"/>
    <w:rsid w:val="00977E41"/>
    <w:rsid w:val="00980D17"/>
    <w:rsid w:val="00993B64"/>
    <w:rsid w:val="00993CCF"/>
    <w:rsid w:val="009C48C5"/>
    <w:rsid w:val="009D2D35"/>
    <w:rsid w:val="009E2A4F"/>
    <w:rsid w:val="00A0200A"/>
    <w:rsid w:val="00A023A7"/>
    <w:rsid w:val="00A047D5"/>
    <w:rsid w:val="00A1679E"/>
    <w:rsid w:val="00A23E7B"/>
    <w:rsid w:val="00A43B3B"/>
    <w:rsid w:val="00A85D2D"/>
    <w:rsid w:val="00A939E1"/>
    <w:rsid w:val="00A95C33"/>
    <w:rsid w:val="00A97C0B"/>
    <w:rsid w:val="00AC0ECF"/>
    <w:rsid w:val="00B11C2B"/>
    <w:rsid w:val="00B57923"/>
    <w:rsid w:val="00B82394"/>
    <w:rsid w:val="00B83817"/>
    <w:rsid w:val="00B877C5"/>
    <w:rsid w:val="00B95C2B"/>
    <w:rsid w:val="00BA07CC"/>
    <w:rsid w:val="00BC28E2"/>
    <w:rsid w:val="00BC6C38"/>
    <w:rsid w:val="00BE7460"/>
    <w:rsid w:val="00BF02E8"/>
    <w:rsid w:val="00C020CA"/>
    <w:rsid w:val="00C0585F"/>
    <w:rsid w:val="00C06A38"/>
    <w:rsid w:val="00C075FE"/>
    <w:rsid w:val="00C17D0B"/>
    <w:rsid w:val="00C24EC1"/>
    <w:rsid w:val="00C257EB"/>
    <w:rsid w:val="00C27BB7"/>
    <w:rsid w:val="00C378BA"/>
    <w:rsid w:val="00C43318"/>
    <w:rsid w:val="00C451F3"/>
    <w:rsid w:val="00C67A84"/>
    <w:rsid w:val="00C80FB3"/>
    <w:rsid w:val="00C86E01"/>
    <w:rsid w:val="00C91FD4"/>
    <w:rsid w:val="00C9332E"/>
    <w:rsid w:val="00C94169"/>
    <w:rsid w:val="00CA7C68"/>
    <w:rsid w:val="00CC1686"/>
    <w:rsid w:val="00CC3D91"/>
    <w:rsid w:val="00CE41AA"/>
    <w:rsid w:val="00CE4822"/>
    <w:rsid w:val="00CE6933"/>
    <w:rsid w:val="00CF5985"/>
    <w:rsid w:val="00D422EF"/>
    <w:rsid w:val="00D51C96"/>
    <w:rsid w:val="00D57DDC"/>
    <w:rsid w:val="00D60DC5"/>
    <w:rsid w:val="00D73AAF"/>
    <w:rsid w:val="00D9227B"/>
    <w:rsid w:val="00DA355E"/>
    <w:rsid w:val="00DB7E1B"/>
    <w:rsid w:val="00DC07FD"/>
    <w:rsid w:val="00DC2173"/>
    <w:rsid w:val="00DC2AF6"/>
    <w:rsid w:val="00DC6AF7"/>
    <w:rsid w:val="00DD025B"/>
    <w:rsid w:val="00DD7133"/>
    <w:rsid w:val="00E30A2B"/>
    <w:rsid w:val="00E3361F"/>
    <w:rsid w:val="00E36756"/>
    <w:rsid w:val="00E42840"/>
    <w:rsid w:val="00E461DE"/>
    <w:rsid w:val="00E542FE"/>
    <w:rsid w:val="00E6088B"/>
    <w:rsid w:val="00E65015"/>
    <w:rsid w:val="00E8089A"/>
    <w:rsid w:val="00E82940"/>
    <w:rsid w:val="00E91F4E"/>
    <w:rsid w:val="00EA6172"/>
    <w:rsid w:val="00EB1B6C"/>
    <w:rsid w:val="00EB34AF"/>
    <w:rsid w:val="00EC32DE"/>
    <w:rsid w:val="00EC4905"/>
    <w:rsid w:val="00ED004F"/>
    <w:rsid w:val="00ED5B2D"/>
    <w:rsid w:val="00F3684E"/>
    <w:rsid w:val="00F64B72"/>
    <w:rsid w:val="00F6621A"/>
    <w:rsid w:val="00F97D75"/>
    <w:rsid w:val="00F97F42"/>
    <w:rsid w:val="00FD2489"/>
    <w:rsid w:val="00FD34CC"/>
    <w:rsid w:val="03A42634"/>
    <w:rsid w:val="0B345D44"/>
    <w:rsid w:val="0DB134F2"/>
    <w:rsid w:val="12610D16"/>
    <w:rsid w:val="164B2740"/>
    <w:rsid w:val="1D1659EC"/>
    <w:rsid w:val="21E77B73"/>
    <w:rsid w:val="2EAE348E"/>
    <w:rsid w:val="5C7C41F5"/>
    <w:rsid w:val="60C9555B"/>
    <w:rsid w:val="60CC4E34"/>
    <w:rsid w:val="6A130E84"/>
    <w:rsid w:val="6BA530B9"/>
    <w:rsid w:val="701D0DA2"/>
    <w:rsid w:val="76100C50"/>
    <w:rsid w:val="77C3695E"/>
    <w:rsid w:val="780C3A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semiHidden="0" w:name="Default Paragraph Font"/>
    <w:lsdException w:qFormat="1" w:unhideWhenUsed="0"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nhideWhenUsed="0" w:uiPriority="0" w:semiHidden="0" w:name="HTML Code"/>
    <w:lsdException w:qFormat="1" w:unhideWhenUsed="0" w:uiPriority="0" w:semiHidden="0" w:name="HTML Definition"/>
    <w:lsdException w:qFormat="1" w:unhideWhenUsed="0" w:uiPriority="0" w:semiHidden="0" w:name="HTML Keyboard"/>
    <w:lsdException w:uiPriority="0" w:name="HTML Preformatted"/>
    <w:lsdException w:qFormat="1" w:unhideWhenUsed="0" w:uiPriority="0" w:semiHidden="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Calibri" w:hAnsi="Calibri" w:eastAsia="Calibri" w:cs="Calibri"/>
      <w:sz w:val="22"/>
      <w:szCs w:val="22"/>
      <w:lang w:val="en-US" w:eastAsia="en-US" w:bidi="ar-SA"/>
    </w:rPr>
  </w:style>
  <w:style w:type="paragraph" w:styleId="2">
    <w:name w:val="heading 1"/>
    <w:basedOn w:val="1"/>
    <w:next w:val="1"/>
    <w:qFormat/>
    <w:uiPriority w:val="1"/>
    <w:pPr>
      <w:spacing w:before="21"/>
      <w:ind w:left="120"/>
      <w:outlineLvl w:val="0"/>
    </w:pPr>
    <w:rPr>
      <w:b/>
      <w:bCs/>
      <w:sz w:val="28"/>
      <w:szCs w:val="28"/>
    </w:rPr>
  </w:style>
  <w:style w:type="paragraph" w:styleId="3">
    <w:name w:val="heading 2"/>
    <w:basedOn w:val="1"/>
    <w:next w:val="1"/>
    <w:qFormat/>
    <w:uiPriority w:val="1"/>
    <w:pPr>
      <w:ind w:left="120"/>
      <w:outlineLvl w:val="1"/>
    </w:pPr>
    <w:rPr>
      <w:b/>
      <w:bCs/>
      <w:sz w:val="24"/>
      <w:szCs w:val="24"/>
    </w:rPr>
  </w:style>
  <w:style w:type="paragraph" w:styleId="4">
    <w:name w:val="heading 3"/>
    <w:basedOn w:val="1"/>
    <w:next w:val="1"/>
    <w:qFormat/>
    <w:uiPriority w:val="1"/>
    <w:pPr>
      <w:ind w:left="122"/>
      <w:jc w:val="both"/>
      <w:outlineLvl w:val="2"/>
    </w:pPr>
    <w:rPr>
      <w:b/>
      <w:bCs/>
    </w:rPr>
  </w:style>
  <w:style w:type="paragraph" w:styleId="5">
    <w:name w:val="heading 4"/>
    <w:basedOn w:val="1"/>
    <w:next w:val="1"/>
    <w:qFormat/>
    <w:uiPriority w:val="1"/>
    <w:pPr>
      <w:ind w:left="122"/>
      <w:outlineLvl w:val="3"/>
    </w:pPr>
    <w:rPr>
      <w:b/>
      <w:bCs/>
      <w:i/>
    </w:rPr>
  </w:style>
  <w:style w:type="character" w:default="1" w:styleId="17">
    <w:name w:val="Default Paragraph Font"/>
    <w:unhideWhenUsed/>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link w:val="43"/>
    <w:qFormat/>
    <w:uiPriority w:val="99"/>
  </w:style>
  <w:style w:type="paragraph" w:styleId="7">
    <w:name w:val="Body Text"/>
    <w:basedOn w:val="1"/>
    <w:link w:val="47"/>
    <w:qFormat/>
    <w:uiPriority w:val="1"/>
  </w:style>
  <w:style w:type="paragraph" w:styleId="8">
    <w:name w:val="toc 3"/>
    <w:basedOn w:val="1"/>
    <w:next w:val="1"/>
    <w:qFormat/>
    <w:uiPriority w:val="39"/>
    <w:pPr>
      <w:spacing w:before="140"/>
      <w:ind w:left="559"/>
    </w:pPr>
  </w:style>
  <w:style w:type="paragraph" w:styleId="9">
    <w:name w:val="Balloon Text"/>
    <w:basedOn w:val="1"/>
    <w:link w:val="45"/>
    <w:qFormat/>
    <w:uiPriority w:val="0"/>
    <w:rPr>
      <w:sz w:val="18"/>
      <w:szCs w:val="18"/>
    </w:rPr>
  </w:style>
  <w:style w:type="paragraph" w:styleId="10">
    <w:name w:val="footer"/>
    <w:basedOn w:val="1"/>
    <w:link w:val="55"/>
    <w:qFormat/>
    <w:uiPriority w:val="99"/>
    <w:pPr>
      <w:tabs>
        <w:tab w:val="center" w:pos="4153"/>
        <w:tab w:val="right" w:pos="8306"/>
      </w:tabs>
      <w:snapToGrid w:val="0"/>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2">
    <w:name w:val="toc 1"/>
    <w:basedOn w:val="1"/>
    <w:next w:val="1"/>
    <w:qFormat/>
    <w:uiPriority w:val="39"/>
    <w:pPr>
      <w:spacing w:before="139"/>
      <w:ind w:left="120"/>
    </w:pPr>
  </w:style>
  <w:style w:type="paragraph" w:styleId="13">
    <w:name w:val="toc 2"/>
    <w:basedOn w:val="1"/>
    <w:next w:val="1"/>
    <w:qFormat/>
    <w:uiPriority w:val="39"/>
    <w:pPr>
      <w:spacing w:before="142"/>
      <w:ind w:left="340"/>
    </w:pPr>
  </w:style>
  <w:style w:type="paragraph" w:styleId="14">
    <w:name w:val="Normal (Web)"/>
    <w:basedOn w:val="1"/>
    <w:qFormat/>
    <w:uiPriority w:val="0"/>
    <w:pPr>
      <w:spacing w:beforeAutospacing="1" w:afterAutospacing="1"/>
    </w:pPr>
    <w:rPr>
      <w:rFonts w:cs="Times New Roman"/>
      <w:sz w:val="24"/>
      <w:lang w:eastAsia="zh-CN"/>
    </w:rPr>
  </w:style>
  <w:style w:type="paragraph" w:styleId="15">
    <w:name w:val="annotation subject"/>
    <w:basedOn w:val="6"/>
    <w:next w:val="6"/>
    <w:link w:val="44"/>
    <w:qFormat/>
    <w:uiPriority w:val="0"/>
    <w:rPr>
      <w:b/>
      <w:bCs/>
    </w:rPr>
  </w:style>
  <w:style w:type="character" w:styleId="18">
    <w:name w:val="Strong"/>
    <w:basedOn w:val="17"/>
    <w:qFormat/>
    <w:uiPriority w:val="0"/>
    <w:rPr>
      <w:b/>
      <w:bCs/>
    </w:rPr>
  </w:style>
  <w:style w:type="character" w:styleId="19">
    <w:name w:val="FollowedHyperlink"/>
    <w:basedOn w:val="17"/>
    <w:qFormat/>
    <w:uiPriority w:val="0"/>
    <w:rPr>
      <w:color w:val="007398"/>
      <w:u w:val="none"/>
    </w:rPr>
  </w:style>
  <w:style w:type="character" w:styleId="20">
    <w:name w:val="Emphasis"/>
    <w:basedOn w:val="17"/>
    <w:qFormat/>
    <w:uiPriority w:val="0"/>
    <w:rPr>
      <w:i/>
    </w:rPr>
  </w:style>
  <w:style w:type="character" w:styleId="21">
    <w:name w:val="HTML Definition"/>
    <w:basedOn w:val="17"/>
    <w:qFormat/>
    <w:uiPriority w:val="0"/>
    <w:rPr>
      <w:i/>
      <w:iCs/>
    </w:rPr>
  </w:style>
  <w:style w:type="character" w:styleId="22">
    <w:name w:val="Hyperlink"/>
    <w:basedOn w:val="17"/>
    <w:qFormat/>
    <w:uiPriority w:val="99"/>
    <w:rPr>
      <w:color w:val="007398"/>
      <w:u w:val="none"/>
    </w:rPr>
  </w:style>
  <w:style w:type="character" w:styleId="23">
    <w:name w:val="HTML Code"/>
    <w:basedOn w:val="17"/>
    <w:uiPriority w:val="0"/>
    <w:rPr>
      <w:rFonts w:ascii="monospace" w:hAnsi="monospace" w:eastAsia="monospace" w:cs="monospace"/>
      <w:sz w:val="21"/>
      <w:szCs w:val="21"/>
    </w:rPr>
  </w:style>
  <w:style w:type="character" w:styleId="24">
    <w:name w:val="annotation reference"/>
    <w:basedOn w:val="17"/>
    <w:qFormat/>
    <w:uiPriority w:val="99"/>
    <w:rPr>
      <w:sz w:val="21"/>
      <w:szCs w:val="21"/>
    </w:rPr>
  </w:style>
  <w:style w:type="character" w:styleId="25">
    <w:name w:val="HTML Keyboard"/>
    <w:basedOn w:val="17"/>
    <w:qFormat/>
    <w:uiPriority w:val="0"/>
    <w:rPr>
      <w:rFonts w:hint="default" w:ascii="monospace" w:hAnsi="monospace" w:eastAsia="monospace" w:cs="monospace"/>
      <w:sz w:val="21"/>
      <w:szCs w:val="21"/>
    </w:rPr>
  </w:style>
  <w:style w:type="character" w:styleId="26">
    <w:name w:val="HTML Sample"/>
    <w:basedOn w:val="17"/>
    <w:qFormat/>
    <w:uiPriority w:val="0"/>
    <w:rPr>
      <w:rFonts w:hint="default" w:ascii="monospace" w:hAnsi="monospace" w:eastAsia="monospace" w:cs="monospace"/>
      <w:sz w:val="21"/>
      <w:szCs w:val="21"/>
    </w:rPr>
  </w:style>
  <w:style w:type="table" w:customStyle="1" w:styleId="27">
    <w:name w:val="Table Normal1"/>
    <w:semiHidden/>
    <w:unhideWhenUsed/>
    <w:qFormat/>
    <w:uiPriority w:val="2"/>
    <w:tblPr>
      <w:tblCellMar>
        <w:top w:w="0" w:type="dxa"/>
        <w:left w:w="0" w:type="dxa"/>
        <w:bottom w:w="0" w:type="dxa"/>
        <w:right w:w="0" w:type="dxa"/>
      </w:tblCellMar>
    </w:tblPr>
  </w:style>
  <w:style w:type="paragraph" w:styleId="28">
    <w:name w:val="List Paragraph"/>
    <w:basedOn w:val="1"/>
    <w:qFormat/>
    <w:uiPriority w:val="1"/>
  </w:style>
  <w:style w:type="paragraph" w:customStyle="1" w:styleId="29">
    <w:name w:val="Table Paragraph"/>
    <w:basedOn w:val="1"/>
    <w:qFormat/>
    <w:uiPriority w:val="1"/>
    <w:pPr>
      <w:jc w:val="center"/>
    </w:pPr>
  </w:style>
  <w:style w:type="character" w:customStyle="1" w:styleId="30">
    <w:name w:val="primary"/>
    <w:basedOn w:val="17"/>
    <w:qFormat/>
    <w:uiPriority w:val="0"/>
    <w:rPr>
      <w:color w:val="007398"/>
      <w:u w:val="none"/>
    </w:rPr>
  </w:style>
  <w:style w:type="character" w:customStyle="1" w:styleId="31">
    <w:name w:val="able-modkey-alt"/>
    <w:basedOn w:val="17"/>
    <w:qFormat/>
    <w:uiPriority w:val="0"/>
    <w:rPr>
      <w:color w:val="505050"/>
    </w:rPr>
  </w:style>
  <w:style w:type="character" w:customStyle="1" w:styleId="32">
    <w:name w:val="able-modkey-shift"/>
    <w:basedOn w:val="17"/>
    <w:qFormat/>
    <w:uiPriority w:val="0"/>
    <w:rPr>
      <w:color w:val="505050"/>
    </w:rPr>
  </w:style>
  <w:style w:type="character" w:customStyle="1" w:styleId="33">
    <w:name w:val="bold"/>
    <w:basedOn w:val="17"/>
    <w:qFormat/>
    <w:uiPriority w:val="0"/>
    <w:rPr>
      <w:b/>
      <w:bCs/>
    </w:rPr>
  </w:style>
  <w:style w:type="character" w:customStyle="1" w:styleId="34">
    <w:name w:val="size-m"/>
    <w:basedOn w:val="17"/>
    <w:qFormat/>
    <w:uiPriority w:val="0"/>
    <w:rPr>
      <w:sz w:val="15"/>
      <w:szCs w:val="15"/>
    </w:rPr>
  </w:style>
  <w:style w:type="character" w:customStyle="1" w:styleId="35">
    <w:name w:val="secondary"/>
    <w:basedOn w:val="17"/>
    <w:qFormat/>
    <w:uiPriority w:val="0"/>
    <w:rPr>
      <w:color w:val="737373"/>
    </w:rPr>
  </w:style>
  <w:style w:type="character" w:customStyle="1" w:styleId="36">
    <w:name w:val="small-caps"/>
    <w:basedOn w:val="17"/>
    <w:qFormat/>
    <w:uiPriority w:val="0"/>
    <w:rPr>
      <w:smallCaps/>
    </w:rPr>
  </w:style>
  <w:style w:type="character" w:customStyle="1" w:styleId="37">
    <w:name w:val="able-modkey"/>
    <w:basedOn w:val="17"/>
    <w:qFormat/>
    <w:uiPriority w:val="0"/>
    <w:rPr>
      <w:color w:val="505050"/>
    </w:rPr>
  </w:style>
  <w:style w:type="character" w:customStyle="1" w:styleId="38">
    <w:name w:val="after4"/>
    <w:basedOn w:val="17"/>
    <w:qFormat/>
    <w:uiPriority w:val="0"/>
  </w:style>
  <w:style w:type="character" w:customStyle="1" w:styleId="39">
    <w:name w:val="after5"/>
    <w:basedOn w:val="17"/>
    <w:qFormat/>
    <w:uiPriority w:val="0"/>
  </w:style>
  <w:style w:type="character" w:customStyle="1" w:styleId="40">
    <w:name w:val="able-modkey-ctrl"/>
    <w:basedOn w:val="17"/>
    <w:qFormat/>
    <w:uiPriority w:val="0"/>
    <w:rPr>
      <w:color w:val="505050"/>
    </w:rPr>
  </w:style>
  <w:style w:type="character" w:customStyle="1" w:styleId="41">
    <w:name w:val="after1"/>
    <w:basedOn w:val="17"/>
    <w:qFormat/>
    <w:uiPriority w:val="0"/>
  </w:style>
  <w:style w:type="character" w:customStyle="1" w:styleId="42">
    <w:name w:val="after2"/>
    <w:basedOn w:val="17"/>
    <w:qFormat/>
    <w:uiPriority w:val="0"/>
  </w:style>
  <w:style w:type="character" w:customStyle="1" w:styleId="43">
    <w:name w:val="批注文字 字符"/>
    <w:basedOn w:val="17"/>
    <w:link w:val="6"/>
    <w:qFormat/>
    <w:uiPriority w:val="99"/>
    <w:rPr>
      <w:rFonts w:ascii="Calibri" w:hAnsi="Calibri" w:eastAsia="Calibri" w:cs="Calibri"/>
      <w:sz w:val="22"/>
      <w:szCs w:val="22"/>
      <w:lang w:eastAsia="en-US"/>
    </w:rPr>
  </w:style>
  <w:style w:type="character" w:customStyle="1" w:styleId="44">
    <w:name w:val="批注主题 字符"/>
    <w:basedOn w:val="43"/>
    <w:link w:val="15"/>
    <w:qFormat/>
    <w:uiPriority w:val="0"/>
    <w:rPr>
      <w:rFonts w:ascii="Calibri" w:hAnsi="Calibri" w:eastAsia="Calibri" w:cs="Calibri"/>
      <w:b/>
      <w:bCs/>
      <w:sz w:val="22"/>
      <w:szCs w:val="22"/>
      <w:lang w:eastAsia="en-US"/>
    </w:rPr>
  </w:style>
  <w:style w:type="character" w:customStyle="1" w:styleId="45">
    <w:name w:val="批注框文本 字符"/>
    <w:basedOn w:val="17"/>
    <w:link w:val="9"/>
    <w:qFormat/>
    <w:uiPriority w:val="0"/>
    <w:rPr>
      <w:rFonts w:ascii="Calibri" w:hAnsi="Calibri" w:eastAsia="Calibri" w:cs="Calibri"/>
      <w:sz w:val="18"/>
      <w:szCs w:val="18"/>
      <w:lang w:eastAsia="en-US"/>
    </w:rPr>
  </w:style>
  <w:style w:type="paragraph" w:customStyle="1" w:styleId="46">
    <w:name w:val="EndNote Bibliography Title"/>
    <w:basedOn w:val="1"/>
    <w:link w:val="48"/>
    <w:qFormat/>
    <w:uiPriority w:val="0"/>
    <w:pPr>
      <w:jc w:val="center"/>
    </w:pPr>
  </w:style>
  <w:style w:type="character" w:customStyle="1" w:styleId="47">
    <w:name w:val="正文文本 字符"/>
    <w:basedOn w:val="17"/>
    <w:link w:val="7"/>
    <w:qFormat/>
    <w:uiPriority w:val="1"/>
    <w:rPr>
      <w:rFonts w:ascii="Calibri" w:hAnsi="Calibri" w:eastAsia="Calibri" w:cs="Calibri"/>
      <w:sz w:val="22"/>
      <w:szCs w:val="22"/>
      <w:lang w:eastAsia="en-US"/>
    </w:rPr>
  </w:style>
  <w:style w:type="character" w:customStyle="1" w:styleId="48">
    <w:name w:val="EndNote Bibliography Title 字符"/>
    <w:basedOn w:val="47"/>
    <w:link w:val="46"/>
    <w:qFormat/>
    <w:uiPriority w:val="0"/>
    <w:rPr>
      <w:rFonts w:ascii="Calibri" w:hAnsi="Calibri" w:eastAsia="Calibri" w:cs="Calibri"/>
      <w:sz w:val="22"/>
      <w:szCs w:val="22"/>
      <w:lang w:eastAsia="en-US"/>
    </w:rPr>
  </w:style>
  <w:style w:type="paragraph" w:customStyle="1" w:styleId="49">
    <w:name w:val="EndNote Bibliography"/>
    <w:basedOn w:val="1"/>
    <w:link w:val="50"/>
    <w:qFormat/>
    <w:uiPriority w:val="0"/>
  </w:style>
  <w:style w:type="character" w:customStyle="1" w:styleId="50">
    <w:name w:val="EndNote Bibliography 字符"/>
    <w:basedOn w:val="47"/>
    <w:link w:val="49"/>
    <w:qFormat/>
    <w:uiPriority w:val="0"/>
    <w:rPr>
      <w:rFonts w:ascii="Calibri" w:hAnsi="Calibri" w:eastAsia="Calibri" w:cs="Calibri"/>
      <w:sz w:val="22"/>
      <w:szCs w:val="22"/>
      <w:lang w:eastAsia="en-US"/>
    </w:rPr>
  </w:style>
  <w:style w:type="paragraph" w:customStyle="1" w:styleId="51">
    <w:name w:val="TOC 标题1"/>
    <w:basedOn w:val="2"/>
    <w:next w:val="1"/>
    <w:unhideWhenUsed/>
    <w:qFormat/>
    <w:uiPriority w:val="39"/>
    <w:pPr>
      <w:keepNext/>
      <w:keepLines/>
      <w:widowControl/>
      <w:autoSpaceDE/>
      <w:autoSpaceDN/>
      <w:spacing w:before="240" w:line="259" w:lineRule="auto"/>
      <w:ind w:left="0"/>
      <w:outlineLvl w:val="9"/>
    </w:pPr>
    <w:rPr>
      <w:rFonts w:asciiTheme="majorHAnsi" w:hAnsiTheme="majorHAnsi" w:eastAsiaTheme="majorEastAsia" w:cstheme="majorBidi"/>
      <w:b w:val="0"/>
      <w:bCs w:val="0"/>
      <w:color w:val="376092" w:themeColor="accent1" w:themeShade="BF"/>
      <w:sz w:val="32"/>
      <w:szCs w:val="32"/>
      <w:lang w:eastAsia="zh-CN"/>
    </w:rPr>
  </w:style>
  <w:style w:type="paragraph" w:customStyle="1" w:styleId="52">
    <w:name w:val="TOC 标题2"/>
    <w:basedOn w:val="2"/>
    <w:next w:val="1"/>
    <w:unhideWhenUsed/>
    <w:qFormat/>
    <w:uiPriority w:val="39"/>
    <w:pPr>
      <w:keepNext/>
      <w:keepLines/>
      <w:widowControl/>
      <w:autoSpaceDE/>
      <w:autoSpaceDN/>
      <w:spacing w:before="240" w:line="259" w:lineRule="auto"/>
      <w:ind w:left="0"/>
      <w:outlineLvl w:val="9"/>
    </w:pPr>
    <w:rPr>
      <w:rFonts w:asciiTheme="majorHAnsi" w:hAnsiTheme="majorHAnsi" w:eastAsiaTheme="majorEastAsia" w:cstheme="majorBidi"/>
      <w:b w:val="0"/>
      <w:bCs w:val="0"/>
      <w:color w:val="376092" w:themeColor="accent1" w:themeShade="BF"/>
      <w:sz w:val="32"/>
      <w:szCs w:val="32"/>
      <w:lang w:eastAsia="zh-CN"/>
    </w:rPr>
  </w:style>
  <w:style w:type="paragraph" w:customStyle="1" w:styleId="53">
    <w:name w:val="修订1"/>
    <w:hidden/>
    <w:semiHidden/>
    <w:qFormat/>
    <w:uiPriority w:val="99"/>
    <w:rPr>
      <w:rFonts w:ascii="Calibri" w:hAnsi="Calibri" w:eastAsia="Calibri" w:cs="Calibri"/>
      <w:sz w:val="22"/>
      <w:szCs w:val="22"/>
      <w:lang w:val="en-US" w:eastAsia="en-US" w:bidi="ar-SA"/>
    </w:rPr>
  </w:style>
  <w:style w:type="paragraph" w:customStyle="1" w:styleId="54">
    <w:name w:val="Revision"/>
    <w:hidden/>
    <w:semiHidden/>
    <w:uiPriority w:val="99"/>
    <w:rPr>
      <w:rFonts w:ascii="Calibri" w:hAnsi="Calibri" w:eastAsia="Calibri" w:cs="Calibri"/>
      <w:sz w:val="22"/>
      <w:szCs w:val="22"/>
      <w:lang w:val="en-US" w:eastAsia="en-US" w:bidi="ar-SA"/>
    </w:rPr>
  </w:style>
  <w:style w:type="character" w:customStyle="1" w:styleId="55">
    <w:name w:val="页脚 字符"/>
    <w:basedOn w:val="17"/>
    <w:link w:val="10"/>
    <w:qFormat/>
    <w:uiPriority w:val="99"/>
    <w:rPr>
      <w:rFonts w:ascii="Calibri" w:hAnsi="Calibri" w:eastAsia="Calibri" w:cs="Calibri"/>
      <w:sz w:val="18"/>
      <w:szCs w:val="22"/>
      <w:lang w:eastAsia="en-US"/>
    </w:rPr>
  </w:style>
  <w:style w:type="character" w:customStyle="1" w:styleId="56">
    <w:name w:val="Unresolved Mention"/>
    <w:basedOn w:val="17"/>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5.png"/><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F3B5B1-1E2E-445F-8672-0F9203284613}">
  <ds:schemaRefs/>
</ds:datastoreItem>
</file>

<file path=docProps/app.xml><?xml version="1.0" encoding="utf-8"?>
<Properties xmlns="http://schemas.openxmlformats.org/officeDocument/2006/extended-properties" xmlns:vt="http://schemas.openxmlformats.org/officeDocument/2006/docPropsVTypes">
  <Template>Normal.dotm</Template>
  <Pages>10</Pages>
  <Words>2912</Words>
  <Characters>17782</Characters>
  <Lines>395</Lines>
  <Paragraphs>111</Paragraphs>
  <TotalTime>177</TotalTime>
  <ScaleCrop>false</ScaleCrop>
  <LinksUpToDate>false</LinksUpToDate>
  <CharactersWithSpaces>20649</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2022-04-29T11:20:00Z</dcterms:created>
  <dc:creator>dell</dc:creator>
  <cp:lastModifiedBy>WPS_1643887815</cp:lastModifiedBy>
  <dcterms:modified xsi:type="dcterms:W3CDTF">2022-07-14T03:04:52Z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Xpdf - https://xpdf.net</vt:lpwstr>
  </property>
  <property fmtid="{D5CDD505-2E9C-101B-9397-08002B2CF9AE}" pid="3" name="KSOProductBuildVer">
    <vt:lpwstr>2052-11.1.0.11830</vt:lpwstr>
  </property>
  <property fmtid="{D5CDD505-2E9C-101B-9397-08002B2CF9AE}" pid="4" name="ICV">
    <vt:lpwstr>8F8BDEF144B9409D84E1D625DB38C206</vt:lpwstr>
  </property>
</Properties>
</file>