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FB775" w14:textId="3CCC0C41" w:rsidR="005D4E30" w:rsidRDefault="00000000" w:rsidP="00395399">
      <w:pPr>
        <w:spacing w:line="480" w:lineRule="auto"/>
        <w:rPr>
          <w:rFonts w:ascii="Arial" w:eastAsia="等线" w:hAnsi="Arial" w:cs="Arial"/>
          <w:b/>
          <w:szCs w:val="21"/>
        </w:rPr>
      </w:pPr>
      <w:r>
        <w:rPr>
          <w:rFonts w:ascii="Arial" w:hAnsi="Arial" w:cs="Arial"/>
          <w:b/>
          <w:bCs/>
          <w:szCs w:val="21"/>
        </w:rPr>
        <w:t xml:space="preserve">Supplementary </w:t>
      </w:r>
      <w:r>
        <w:rPr>
          <w:rFonts w:ascii="Arial" w:eastAsia="等线" w:hAnsi="Arial" w:cs="Arial"/>
          <w:b/>
          <w:szCs w:val="21"/>
        </w:rPr>
        <w:t>Materials and methods</w:t>
      </w:r>
      <w:r w:rsidR="00395399">
        <w:rPr>
          <w:rFonts w:ascii="Arial" w:eastAsia="等线" w:hAnsi="Arial" w:cs="Arial" w:hint="eastAsia"/>
          <w:b/>
          <w:szCs w:val="21"/>
        </w:rPr>
        <w:t>：</w:t>
      </w:r>
    </w:p>
    <w:p w14:paraId="794DC91C" w14:textId="77777777" w:rsidR="005D4E30" w:rsidRDefault="00000000">
      <w:pPr>
        <w:spacing w:line="360" w:lineRule="auto"/>
        <w:rPr>
          <w:rFonts w:ascii="Arial" w:eastAsia="等线" w:hAnsi="Arial" w:cs="Arial"/>
          <w:b/>
          <w:szCs w:val="21"/>
        </w:rPr>
      </w:pPr>
      <w:r>
        <w:rPr>
          <w:rFonts w:ascii="Arial" w:eastAsia="等线" w:hAnsi="Arial" w:cs="Arial"/>
          <w:b/>
          <w:szCs w:val="21"/>
        </w:rPr>
        <w:t>Stable cell line construction and RNA interfering</w:t>
      </w:r>
    </w:p>
    <w:p w14:paraId="38292D8F" w14:textId="34D82723" w:rsidR="005D4E30" w:rsidRDefault="00000000">
      <w:pPr>
        <w:spacing w:line="360" w:lineRule="auto"/>
        <w:rPr>
          <w:rFonts w:ascii="Arial" w:eastAsia="等线" w:hAnsi="Arial" w:cs="Arial"/>
          <w:szCs w:val="21"/>
        </w:rPr>
      </w:pPr>
      <w:r>
        <w:rPr>
          <w:rFonts w:ascii="Arial" w:eastAsia="等线" w:hAnsi="Arial" w:cs="Arial"/>
          <w:szCs w:val="21"/>
        </w:rPr>
        <w:t>Stable knockdown of target genes was achieved by lentiviral-based short-hairpin RNA (shRNA) delivery. PLKO.1 vectors with anti-puromycin or anti-hygromycin plasmid were constructed, while DOX-induced stable knockdown of USP14 was achieved by Tet-</w:t>
      </w:r>
      <w:proofErr w:type="spellStart"/>
      <w:r>
        <w:rPr>
          <w:rFonts w:ascii="Arial" w:eastAsia="等线" w:hAnsi="Arial" w:cs="Arial"/>
          <w:szCs w:val="21"/>
        </w:rPr>
        <w:t>pLKO</w:t>
      </w:r>
      <w:proofErr w:type="spellEnd"/>
      <w:r>
        <w:rPr>
          <w:rFonts w:ascii="Arial" w:eastAsia="等线" w:hAnsi="Arial" w:cs="Arial"/>
          <w:szCs w:val="21"/>
        </w:rPr>
        <w:t xml:space="preserve">-puro (#21915, </w:t>
      </w:r>
      <w:proofErr w:type="spellStart"/>
      <w:r>
        <w:rPr>
          <w:rFonts w:ascii="Arial" w:eastAsia="等线" w:hAnsi="Arial" w:cs="Arial"/>
          <w:szCs w:val="21"/>
        </w:rPr>
        <w:t>addgene</w:t>
      </w:r>
      <w:proofErr w:type="spellEnd"/>
      <w:r>
        <w:rPr>
          <w:rFonts w:ascii="Arial" w:eastAsia="等线" w:hAnsi="Arial" w:cs="Arial"/>
          <w:szCs w:val="21"/>
        </w:rPr>
        <w:t xml:space="preserve">). For the USP14 and GLUT1 overexpressing system, USP14 cDNA (KJ892686.1) and GLUT1 cDNA (NM_006516.4) were cloned into </w:t>
      </w:r>
      <w:proofErr w:type="spellStart"/>
      <w:r>
        <w:rPr>
          <w:rFonts w:ascii="Arial" w:eastAsia="等线" w:hAnsi="Arial" w:cs="Arial"/>
          <w:szCs w:val="21"/>
        </w:rPr>
        <w:t>pCDH</w:t>
      </w:r>
      <w:proofErr w:type="spellEnd"/>
      <w:r>
        <w:rPr>
          <w:rFonts w:ascii="Arial" w:eastAsia="等线" w:hAnsi="Arial" w:cs="Arial"/>
          <w:szCs w:val="21"/>
        </w:rPr>
        <w:t>-puro lentiviral vector (CD510B-1, System Biosciences). For shRNA knockdown and overexpression, pLKO.1, Tet-</w:t>
      </w:r>
      <w:proofErr w:type="spellStart"/>
      <w:r>
        <w:rPr>
          <w:rFonts w:ascii="Arial" w:eastAsia="等线" w:hAnsi="Arial" w:cs="Arial"/>
          <w:szCs w:val="21"/>
        </w:rPr>
        <w:t>pLKO</w:t>
      </w:r>
      <w:proofErr w:type="spellEnd"/>
      <w:r>
        <w:rPr>
          <w:rFonts w:ascii="Arial" w:eastAsia="等线" w:hAnsi="Arial" w:cs="Arial"/>
          <w:szCs w:val="21"/>
        </w:rPr>
        <w:t xml:space="preserve">-puro, and </w:t>
      </w:r>
      <w:proofErr w:type="spellStart"/>
      <w:r>
        <w:rPr>
          <w:rFonts w:ascii="Arial" w:eastAsia="等线" w:hAnsi="Arial" w:cs="Arial"/>
          <w:szCs w:val="21"/>
        </w:rPr>
        <w:t>pCDH</w:t>
      </w:r>
      <w:proofErr w:type="spellEnd"/>
      <w:r>
        <w:rPr>
          <w:rFonts w:ascii="Arial" w:eastAsia="等线" w:hAnsi="Arial" w:cs="Arial"/>
          <w:szCs w:val="21"/>
        </w:rPr>
        <w:t xml:space="preserve"> construct</w:t>
      </w:r>
      <w:r w:rsidR="00E91ED2">
        <w:rPr>
          <w:rFonts w:ascii="Arial" w:eastAsia="等线" w:hAnsi="Arial" w:cs="Arial" w:hint="eastAsia"/>
          <w:szCs w:val="21"/>
        </w:rPr>
        <w:t>ed</w:t>
      </w:r>
      <w:r>
        <w:rPr>
          <w:rFonts w:ascii="Arial" w:eastAsia="等线" w:hAnsi="Arial" w:cs="Arial"/>
          <w:szCs w:val="21"/>
        </w:rPr>
        <w:t xml:space="preserve"> together with packing and helper plasmids PAX2 and MD2G were co-transfected into HEK-293T cells by Calcium Phosphate Transfection Kit (CAPHOS-1KT, Sigma). Viruses were collected, filtered, and titrated before infecting target cells with 8 mg/ml Polybrene (TR-1003, Sigma). The infected cells were screened by puromycin or hygromycin accordingly. siRNAs duplexes were synthesized by TSINGKE (Guangzhou, China) and were transfected into cells by lipofectamine3000 (</w:t>
      </w:r>
      <w:proofErr w:type="spellStart"/>
      <w:r>
        <w:rPr>
          <w:rFonts w:ascii="Arial" w:eastAsia="等线" w:hAnsi="Arial" w:cs="Arial"/>
          <w:szCs w:val="21"/>
        </w:rPr>
        <w:t>Thermo</w:t>
      </w:r>
      <w:proofErr w:type="spellEnd"/>
      <w:r>
        <w:rPr>
          <w:rFonts w:ascii="Arial" w:eastAsia="等线" w:hAnsi="Arial" w:cs="Arial"/>
          <w:szCs w:val="21"/>
        </w:rPr>
        <w:t xml:space="preserve"> Fisher, USA). All the primer and siRNA sequences were listed in Table S</w:t>
      </w:r>
      <w:r w:rsidR="001733D1">
        <w:rPr>
          <w:rFonts w:ascii="Arial" w:eastAsia="等线" w:hAnsi="Arial" w:cs="Arial"/>
          <w:szCs w:val="21"/>
        </w:rPr>
        <w:t>6</w:t>
      </w:r>
      <w:r>
        <w:rPr>
          <w:rFonts w:ascii="Arial" w:eastAsia="等线" w:hAnsi="Arial" w:cs="Arial"/>
          <w:szCs w:val="21"/>
        </w:rPr>
        <w:t>.</w:t>
      </w:r>
    </w:p>
    <w:p w14:paraId="1EC5A07E" w14:textId="77777777" w:rsidR="005D4E30" w:rsidRDefault="00000000">
      <w:pPr>
        <w:spacing w:line="360" w:lineRule="auto"/>
        <w:rPr>
          <w:rFonts w:ascii="Arial" w:eastAsia="等线" w:hAnsi="Arial" w:cs="Arial"/>
          <w:b/>
          <w:bCs/>
          <w:szCs w:val="21"/>
        </w:rPr>
      </w:pPr>
      <w:r>
        <w:rPr>
          <w:rFonts w:ascii="Arial" w:eastAsia="等线" w:hAnsi="Arial" w:cs="Arial"/>
          <w:b/>
          <w:bCs/>
          <w:szCs w:val="21"/>
        </w:rPr>
        <w:t>Bioinformatics analysis</w:t>
      </w:r>
    </w:p>
    <w:p w14:paraId="1EAAB793" w14:textId="77777777" w:rsidR="005D4E30" w:rsidRDefault="00000000">
      <w:pPr>
        <w:spacing w:line="360" w:lineRule="auto"/>
        <w:rPr>
          <w:rFonts w:ascii="Arial" w:eastAsia="等线" w:hAnsi="Arial" w:cs="Arial"/>
          <w:szCs w:val="21"/>
        </w:rPr>
      </w:pPr>
      <w:r>
        <w:rPr>
          <w:rFonts w:ascii="Arial" w:eastAsia="等线" w:hAnsi="Arial" w:cs="Arial"/>
          <w:szCs w:val="21"/>
        </w:rPr>
        <w:t xml:space="preserve">The gene expression profile dataset was downloaded from TCGA HCC database. The relative expression levels of </w:t>
      </w:r>
      <w:r>
        <w:rPr>
          <w:rFonts w:ascii="Arial" w:eastAsia="等线" w:hAnsi="Arial" w:cs="Arial" w:hint="eastAsia"/>
          <w:szCs w:val="21"/>
        </w:rPr>
        <w:t>genes</w:t>
      </w:r>
      <w:r>
        <w:rPr>
          <w:rFonts w:ascii="Arial" w:eastAsia="等线" w:hAnsi="Arial" w:cs="Arial"/>
          <w:szCs w:val="21"/>
        </w:rPr>
        <w:t xml:space="preserve"> and patient survival in HCC were analyzed by R (V3.3, </w:t>
      </w:r>
      <w:hyperlink r:id="rId6" w:history="1">
        <w:r>
          <w:rPr>
            <w:rStyle w:val="a7"/>
            <w:rFonts w:ascii="Arial" w:eastAsia="等线" w:hAnsi="Arial" w:cs="Arial"/>
            <w:szCs w:val="21"/>
          </w:rPr>
          <w:t>http://www.bioconductor.org</w:t>
        </w:r>
      </w:hyperlink>
      <w:r>
        <w:rPr>
          <w:rFonts w:ascii="Arial" w:eastAsia="等线" w:hAnsi="Arial" w:cs="Arial"/>
          <w:szCs w:val="21"/>
        </w:rPr>
        <w:t>). Foldchange (FC) of gene expression was calculated with a</w:t>
      </w:r>
    </w:p>
    <w:p w14:paraId="165145EA" w14:textId="77777777" w:rsidR="005D4E30" w:rsidRDefault="00000000">
      <w:pPr>
        <w:spacing w:line="360" w:lineRule="auto"/>
        <w:rPr>
          <w:rFonts w:ascii="Arial" w:eastAsia="等线" w:hAnsi="Arial" w:cs="Arial"/>
          <w:szCs w:val="21"/>
        </w:rPr>
      </w:pPr>
      <w:r>
        <w:rPr>
          <w:rFonts w:ascii="Arial" w:eastAsia="等线" w:hAnsi="Arial" w:cs="Arial"/>
          <w:szCs w:val="21"/>
        </w:rPr>
        <w:t>threshold criteria of log</w:t>
      </w:r>
      <w:r w:rsidRPr="00E91ED2">
        <w:rPr>
          <w:rFonts w:ascii="Arial" w:eastAsia="等线" w:hAnsi="Arial" w:cs="Arial"/>
          <w:szCs w:val="21"/>
          <w:vertAlign w:val="subscript"/>
        </w:rPr>
        <w:t>2</w:t>
      </w:r>
      <w:r>
        <w:rPr>
          <w:rFonts w:ascii="Arial" w:eastAsia="等线" w:hAnsi="Arial" w:cs="Arial"/>
          <w:szCs w:val="21"/>
        </w:rPr>
        <w:t xml:space="preserve">FC ≥ 1.5 and </w:t>
      </w:r>
      <w:r w:rsidRPr="00E91ED2">
        <w:rPr>
          <w:rFonts w:ascii="Arial" w:eastAsia="等线" w:hAnsi="Arial" w:cs="Arial"/>
          <w:i/>
          <w:iCs/>
          <w:szCs w:val="21"/>
        </w:rPr>
        <w:t>P</w:t>
      </w:r>
      <w:r>
        <w:rPr>
          <w:rFonts w:ascii="Arial" w:eastAsia="等线" w:hAnsi="Arial" w:cs="Arial"/>
          <w:szCs w:val="21"/>
        </w:rPr>
        <w:t xml:space="preserve"> value&lt; 0.01.</w:t>
      </w:r>
      <w:r>
        <w:rPr>
          <w:rFonts w:ascii="Arial" w:eastAsia="等线" w:hAnsi="Arial" w:cs="Arial" w:hint="eastAsia"/>
          <w:szCs w:val="21"/>
        </w:rPr>
        <w:t xml:space="preserve"> The relative proportions of infiltrating immune cell subtypes were estimated by the CIBERSORT (https://cibersort. stanford.edu/) algorithm. We compared the relative fraction of the immune cell subtypes between the </w:t>
      </w:r>
      <w:proofErr w:type="spellStart"/>
      <w:r>
        <w:rPr>
          <w:rFonts w:ascii="Arial" w:eastAsia="等线" w:hAnsi="Arial" w:cs="Arial" w:hint="eastAsia"/>
          <w:szCs w:val="21"/>
        </w:rPr>
        <w:t>shCtrl</w:t>
      </w:r>
      <w:proofErr w:type="spellEnd"/>
      <w:r>
        <w:rPr>
          <w:rFonts w:ascii="Arial" w:eastAsia="等线" w:hAnsi="Arial" w:cs="Arial" w:hint="eastAsia"/>
          <w:szCs w:val="21"/>
        </w:rPr>
        <w:t xml:space="preserve"> and shUSP14 groups with the Wilcoxon test.</w:t>
      </w:r>
    </w:p>
    <w:p w14:paraId="46F3EEBC" w14:textId="77777777" w:rsidR="005D4E30" w:rsidRDefault="00000000">
      <w:pPr>
        <w:spacing w:line="360" w:lineRule="auto"/>
        <w:rPr>
          <w:rFonts w:ascii="Arial" w:eastAsia="等线" w:hAnsi="Arial" w:cs="Arial"/>
          <w:b/>
          <w:szCs w:val="21"/>
        </w:rPr>
      </w:pPr>
      <w:r>
        <w:rPr>
          <w:rFonts w:ascii="Arial" w:eastAsia="等线" w:hAnsi="Arial" w:cs="Arial"/>
          <w:b/>
          <w:szCs w:val="21"/>
        </w:rPr>
        <w:t>Human HCC Samples</w:t>
      </w:r>
    </w:p>
    <w:p w14:paraId="171A7C24" w14:textId="77777777" w:rsidR="005D4E30" w:rsidRDefault="00000000">
      <w:pPr>
        <w:spacing w:line="360" w:lineRule="auto"/>
        <w:rPr>
          <w:rFonts w:ascii="Arial" w:eastAsia="等线" w:hAnsi="Arial" w:cs="Arial"/>
          <w:szCs w:val="21"/>
        </w:rPr>
      </w:pPr>
      <w:r>
        <w:rPr>
          <w:rFonts w:ascii="Arial" w:eastAsia="等线" w:hAnsi="Arial" w:cs="Arial"/>
          <w:szCs w:val="21"/>
        </w:rPr>
        <w:t xml:space="preserve">Human HCC tissues were obtained from patients who received immune therapy at Sun </w:t>
      </w:r>
      <w:proofErr w:type="spellStart"/>
      <w:r>
        <w:rPr>
          <w:rFonts w:ascii="Arial" w:eastAsia="等线" w:hAnsi="Arial" w:cs="Arial"/>
          <w:szCs w:val="21"/>
        </w:rPr>
        <w:t>Yat-sen</w:t>
      </w:r>
      <w:proofErr w:type="spellEnd"/>
      <w:r>
        <w:rPr>
          <w:rFonts w:ascii="Arial" w:eastAsia="等线" w:hAnsi="Arial" w:cs="Arial"/>
          <w:szCs w:val="21"/>
        </w:rPr>
        <w:t xml:space="preserve"> Cancer Center (SYSUCC; Guangzhou, China).</w:t>
      </w:r>
    </w:p>
    <w:p w14:paraId="6E191C62" w14:textId="77777777" w:rsidR="005D4E30" w:rsidRDefault="00000000">
      <w:pPr>
        <w:spacing w:line="360" w:lineRule="auto"/>
        <w:rPr>
          <w:rFonts w:ascii="Arial" w:eastAsia="等线" w:hAnsi="Arial" w:cs="Arial"/>
          <w:b/>
          <w:szCs w:val="21"/>
        </w:rPr>
      </w:pPr>
      <w:r>
        <w:rPr>
          <w:rFonts w:ascii="Arial" w:eastAsia="等线" w:hAnsi="Arial" w:cs="Arial"/>
          <w:b/>
          <w:szCs w:val="21"/>
        </w:rPr>
        <w:t>Single-cell sequencing</w:t>
      </w:r>
    </w:p>
    <w:p w14:paraId="5462DB5A" w14:textId="77777777" w:rsidR="005D4E30" w:rsidRDefault="00000000">
      <w:pPr>
        <w:spacing w:line="360" w:lineRule="auto"/>
        <w:rPr>
          <w:rFonts w:ascii="Arial" w:eastAsia="等线" w:hAnsi="Arial" w:cs="Arial"/>
          <w:szCs w:val="21"/>
        </w:rPr>
      </w:pPr>
      <w:r>
        <w:rPr>
          <w:rFonts w:ascii="Arial" w:eastAsia="等线" w:hAnsi="Arial" w:cs="Arial"/>
          <w:szCs w:val="21"/>
        </w:rPr>
        <w:t xml:space="preserve">Flow cytometry-sorted cells were examined under a microscope, counted with a </w:t>
      </w:r>
      <w:r>
        <w:rPr>
          <w:rFonts w:ascii="Arial" w:eastAsia="等线" w:hAnsi="Arial" w:cs="Arial"/>
          <w:szCs w:val="21"/>
        </w:rPr>
        <w:lastRenderedPageBreak/>
        <w:t xml:space="preserve">hemocytometer, and then subjected to 3’ </w:t>
      </w:r>
      <w:proofErr w:type="spellStart"/>
      <w:r>
        <w:rPr>
          <w:rFonts w:ascii="Arial" w:eastAsia="等线" w:hAnsi="Arial" w:cs="Arial"/>
          <w:szCs w:val="21"/>
        </w:rPr>
        <w:t>scRNA</w:t>
      </w:r>
      <w:proofErr w:type="spellEnd"/>
      <w:r>
        <w:rPr>
          <w:rFonts w:ascii="Arial" w:eastAsia="等线" w:hAnsi="Arial" w:cs="Arial"/>
          <w:szCs w:val="21"/>
        </w:rPr>
        <w:t xml:space="preserve">-seq library construction on a Chromium Controller (10× Genomics). All libraries were constructed with Single Cell 3’ v2 kit according to the manufacturer’s instructions except for the irradiation sample of female mice (Single Cell 3’ v3 kit). Our target output was 4,000 cells for each sample. Reverse transcription, cDNA amplification, and library constructions were performed on T100 Touch Thermal cycler (Bio-Rad). Amplified cDNA and libraries were evaluated on an Agilent Tape-Station system using D5000 and D1000 </w:t>
      </w:r>
      <w:bookmarkStart w:id="0" w:name="OLE_LINK24"/>
      <w:proofErr w:type="spellStart"/>
      <w:r>
        <w:rPr>
          <w:rFonts w:ascii="Arial" w:eastAsia="等线" w:hAnsi="Arial" w:cs="Arial"/>
          <w:szCs w:val="21"/>
        </w:rPr>
        <w:t>screentapes</w:t>
      </w:r>
      <w:bookmarkEnd w:id="0"/>
      <w:proofErr w:type="spellEnd"/>
      <w:r>
        <w:rPr>
          <w:rFonts w:ascii="Arial" w:eastAsia="等线" w:hAnsi="Arial" w:cs="Arial"/>
          <w:szCs w:val="21"/>
        </w:rPr>
        <w:t xml:space="preserve"> (Agilent Technologies) and diluted to 10 ng/µl. Pooled samples were sequenced on a </w:t>
      </w:r>
      <w:proofErr w:type="spellStart"/>
      <w:r>
        <w:rPr>
          <w:rFonts w:ascii="Arial" w:eastAsia="等线" w:hAnsi="Arial" w:cs="Arial"/>
          <w:szCs w:val="21"/>
        </w:rPr>
        <w:t>HiSeq</w:t>
      </w:r>
      <w:proofErr w:type="spellEnd"/>
      <w:r>
        <w:rPr>
          <w:rFonts w:ascii="Arial" w:eastAsia="等线" w:hAnsi="Arial" w:cs="Arial"/>
          <w:szCs w:val="21"/>
        </w:rPr>
        <w:t xml:space="preserve"> X Ten system (Illumina) as paired-end 150-bp reads, to ~90% saturation level for all samples.</w:t>
      </w:r>
    </w:p>
    <w:p w14:paraId="6F86005B" w14:textId="77777777" w:rsidR="005D4E30" w:rsidRDefault="00000000">
      <w:pPr>
        <w:spacing w:line="360" w:lineRule="auto"/>
        <w:rPr>
          <w:rFonts w:ascii="Arial" w:eastAsia="等线" w:hAnsi="Arial" w:cs="Arial"/>
          <w:b/>
          <w:szCs w:val="21"/>
        </w:rPr>
      </w:pPr>
      <w:r>
        <w:rPr>
          <w:rFonts w:ascii="Arial" w:eastAsia="等线" w:hAnsi="Arial" w:cs="Arial"/>
          <w:b/>
          <w:szCs w:val="21"/>
        </w:rPr>
        <w:t>Mice</w:t>
      </w:r>
    </w:p>
    <w:p w14:paraId="02C89C26" w14:textId="77777777" w:rsidR="005D4E30" w:rsidRDefault="00000000">
      <w:pPr>
        <w:spacing w:line="360" w:lineRule="auto"/>
        <w:rPr>
          <w:rFonts w:ascii="Arial" w:eastAsia="等线" w:hAnsi="Arial" w:cs="Arial"/>
          <w:szCs w:val="21"/>
        </w:rPr>
      </w:pPr>
      <w:r>
        <w:rPr>
          <w:rFonts w:ascii="Arial" w:eastAsia="等线" w:hAnsi="Arial" w:cs="Arial"/>
          <w:szCs w:val="21"/>
        </w:rPr>
        <w:t xml:space="preserve">Nude mice were purchased from Guangdong Medical Laboratory Animal Center. Transgenic C57BL/6 mice bearing human PD-1 gene were purchased from </w:t>
      </w:r>
      <w:proofErr w:type="spellStart"/>
      <w:r>
        <w:rPr>
          <w:rFonts w:ascii="Arial" w:eastAsia="等线" w:hAnsi="Arial" w:cs="Arial"/>
          <w:szCs w:val="21"/>
        </w:rPr>
        <w:t>Cyagen</w:t>
      </w:r>
      <w:proofErr w:type="spellEnd"/>
      <w:r>
        <w:rPr>
          <w:rFonts w:ascii="Arial" w:eastAsia="等线" w:hAnsi="Arial" w:cs="Arial"/>
          <w:szCs w:val="21"/>
        </w:rPr>
        <w:t xml:space="preserve"> Biosciences. Mice were housed at five mice per cage under pathogen-free conditions. All animal care and experiments were approved by the Institutional Animal Care and Use Committee of Sun </w:t>
      </w:r>
      <w:proofErr w:type="spellStart"/>
      <w:r>
        <w:rPr>
          <w:rFonts w:ascii="Arial" w:eastAsia="等线" w:hAnsi="Arial" w:cs="Arial"/>
          <w:szCs w:val="21"/>
        </w:rPr>
        <w:t>Yat</w:t>
      </w:r>
      <w:proofErr w:type="spellEnd"/>
      <w:r>
        <w:rPr>
          <w:rFonts w:ascii="Arial" w:eastAsia="等线" w:hAnsi="Arial" w:cs="Arial"/>
          <w:szCs w:val="21"/>
        </w:rPr>
        <w:t xml:space="preserve">-Sen University, Guangzhou, China, and the study is compliant with all relevant ethical regulations regarding animal research. </w:t>
      </w:r>
      <w:bookmarkStart w:id="1" w:name="_Hlk95745603"/>
      <w:r>
        <w:rPr>
          <w:rFonts w:ascii="Arial" w:eastAsia="等线" w:hAnsi="Arial" w:cs="Arial"/>
          <w:szCs w:val="21"/>
        </w:rPr>
        <w:t xml:space="preserve">Mice were euthanized when they met the institutional euthanasia criteria for tumor size </w:t>
      </w:r>
      <w:bookmarkEnd w:id="1"/>
      <w:r>
        <w:rPr>
          <w:rFonts w:ascii="Arial" w:eastAsia="等线" w:hAnsi="Arial" w:cs="Arial"/>
          <w:szCs w:val="21"/>
        </w:rPr>
        <w:t>and overall health condition.</w:t>
      </w:r>
    </w:p>
    <w:p w14:paraId="651AFF4C" w14:textId="77777777" w:rsidR="005D4E30" w:rsidRDefault="00000000">
      <w:pPr>
        <w:spacing w:line="360" w:lineRule="auto"/>
        <w:rPr>
          <w:rFonts w:ascii="Arial" w:eastAsia="等线" w:hAnsi="Arial" w:cs="Arial"/>
          <w:b/>
          <w:szCs w:val="21"/>
        </w:rPr>
      </w:pPr>
      <w:r>
        <w:rPr>
          <w:rFonts w:ascii="Arial" w:eastAsia="等线" w:hAnsi="Arial" w:cs="Arial"/>
          <w:b/>
          <w:szCs w:val="21"/>
        </w:rPr>
        <w:t>Subcutaneous xenograft model</w:t>
      </w:r>
    </w:p>
    <w:p w14:paraId="57C0E7DE" w14:textId="77534C4E" w:rsidR="005D4E30" w:rsidRDefault="00000000">
      <w:pPr>
        <w:spacing w:line="360" w:lineRule="auto"/>
        <w:rPr>
          <w:rFonts w:ascii="Arial" w:eastAsia="等线" w:hAnsi="Arial" w:cs="Arial"/>
          <w:szCs w:val="21"/>
        </w:rPr>
      </w:pPr>
      <w:r>
        <w:rPr>
          <w:rFonts w:ascii="Arial" w:eastAsia="等线" w:hAnsi="Arial" w:cs="Arial"/>
          <w:szCs w:val="21"/>
        </w:rPr>
        <w:t>4-week-old transgenic C57BL/6 mice bearing human PD-1 gene with the average body weight of 18 to 22 g were randomly divided into groups. Xenografts were initiated by subcutaneous injection of 1</w:t>
      </w:r>
      <w:r w:rsidR="00E91ED2" w:rsidRPr="00E91ED2">
        <w:rPr>
          <w:rFonts w:ascii="Arial" w:eastAsia="等线" w:hAnsi="Arial" w:cs="Arial" w:hint="eastAsia"/>
          <w:szCs w:val="21"/>
        </w:rPr>
        <w:t>×</w:t>
      </w:r>
      <w:r>
        <w:rPr>
          <w:rFonts w:ascii="Arial" w:eastAsia="等线" w:hAnsi="Arial" w:cs="Arial"/>
          <w:szCs w:val="21"/>
        </w:rPr>
        <w:t>10</w:t>
      </w:r>
      <w:r>
        <w:rPr>
          <w:rFonts w:ascii="Arial" w:eastAsia="等线" w:hAnsi="Arial" w:cs="Arial"/>
          <w:szCs w:val="21"/>
          <w:vertAlign w:val="superscript"/>
        </w:rPr>
        <w:t>6</w:t>
      </w:r>
      <w:r>
        <w:rPr>
          <w:rFonts w:ascii="Arial" w:eastAsia="等线" w:hAnsi="Arial" w:cs="Arial"/>
          <w:szCs w:val="21"/>
        </w:rPr>
        <w:t xml:space="preserve"> </w:t>
      </w:r>
      <w:proofErr w:type="spellStart"/>
      <w:r>
        <w:rPr>
          <w:rFonts w:ascii="Arial" w:eastAsia="等线" w:hAnsi="Arial" w:cs="Arial"/>
          <w:szCs w:val="21"/>
        </w:rPr>
        <w:t>Hepa</w:t>
      </w:r>
      <w:proofErr w:type="spellEnd"/>
      <w:r>
        <w:rPr>
          <w:rFonts w:ascii="Arial" w:eastAsia="等线" w:hAnsi="Arial" w:cs="Arial"/>
          <w:szCs w:val="21"/>
        </w:rPr>
        <w:t xml:space="preserve"> 1-6 cells into the right flank of C57BL/6 mice. Mice were euthanized when they met the institutional euthanasia criteria for tumor size and the tumor nodules were harvested and photographed. </w:t>
      </w:r>
    </w:p>
    <w:p w14:paraId="1E8C17A7" w14:textId="77777777" w:rsidR="005D4E30" w:rsidRDefault="00000000">
      <w:pPr>
        <w:spacing w:line="360" w:lineRule="auto"/>
        <w:rPr>
          <w:rFonts w:ascii="Arial" w:eastAsia="等线" w:hAnsi="Arial" w:cs="Arial"/>
          <w:b/>
          <w:bCs/>
          <w:szCs w:val="21"/>
        </w:rPr>
      </w:pPr>
      <w:r>
        <w:rPr>
          <w:rFonts w:ascii="Arial" w:eastAsia="等线" w:hAnsi="Arial" w:cs="Arial"/>
          <w:b/>
          <w:bCs/>
          <w:szCs w:val="21"/>
        </w:rPr>
        <w:t>CD8+ T cell depletion</w:t>
      </w:r>
    </w:p>
    <w:p w14:paraId="7F7419A3" w14:textId="77777777" w:rsidR="005D4E30" w:rsidRDefault="00000000">
      <w:pPr>
        <w:spacing w:line="360" w:lineRule="auto"/>
        <w:rPr>
          <w:rFonts w:ascii="Arial" w:eastAsia="等线" w:hAnsi="Arial" w:cs="Arial"/>
          <w:szCs w:val="21"/>
        </w:rPr>
      </w:pPr>
      <w:r>
        <w:rPr>
          <w:rFonts w:ascii="Arial" w:eastAsia="等线" w:hAnsi="Arial" w:cs="Arial"/>
          <w:szCs w:val="21"/>
        </w:rPr>
        <w:t>Anti-CD8α (clone 2.43, catalog #BP0061, Bio X Cell) and corresponding isotype control (clone LTF-2, catalog #BP0090, Bio X Cell) were injected intraperitoneally in tumor-bearing transgenic C57BL/6 mice with human PD-1 gene. The anti-CD8α treated doses were 300 µg/mice on the first day and following 200 µg/mice every four days (total five doses). Depletion was confirmed by flow cytometry to quantify CD8+ T cell populations in peripheral blood.</w:t>
      </w:r>
    </w:p>
    <w:p w14:paraId="2408765B" w14:textId="77777777" w:rsidR="005D4E30" w:rsidRDefault="00000000">
      <w:pPr>
        <w:spacing w:line="360" w:lineRule="auto"/>
        <w:rPr>
          <w:rFonts w:ascii="Arial" w:eastAsia="等线" w:hAnsi="Arial" w:cs="Arial"/>
          <w:b/>
          <w:szCs w:val="21"/>
        </w:rPr>
      </w:pPr>
      <w:r>
        <w:rPr>
          <w:rFonts w:ascii="Arial" w:eastAsia="等线" w:hAnsi="Arial" w:cs="Arial"/>
          <w:b/>
          <w:szCs w:val="21"/>
        </w:rPr>
        <w:lastRenderedPageBreak/>
        <w:t>Orthotopic xenograft mouse model</w:t>
      </w:r>
    </w:p>
    <w:p w14:paraId="73B14983" w14:textId="40D01B32" w:rsidR="005D4E30" w:rsidRDefault="00000000">
      <w:pPr>
        <w:spacing w:line="360" w:lineRule="auto"/>
        <w:rPr>
          <w:rFonts w:ascii="Arial" w:eastAsia="等线" w:hAnsi="Arial" w:cs="Arial"/>
          <w:szCs w:val="21"/>
        </w:rPr>
      </w:pPr>
      <w:r>
        <w:rPr>
          <w:rFonts w:ascii="Arial" w:eastAsia="等线" w:hAnsi="Arial" w:cs="Arial"/>
          <w:szCs w:val="21"/>
        </w:rPr>
        <w:t xml:space="preserve">For orthotopic xenograft mouse model, 4-week-old transgenic C57BL/6 mice bearing human PD-1 gene were randomly grouped. After anaesthetizing and exposing the liver, </w:t>
      </w:r>
      <w:proofErr w:type="spellStart"/>
      <w:r>
        <w:rPr>
          <w:rFonts w:ascii="Arial" w:eastAsia="等线" w:hAnsi="Arial" w:cs="Arial"/>
          <w:szCs w:val="21"/>
        </w:rPr>
        <w:t>Hepa</w:t>
      </w:r>
      <w:proofErr w:type="spellEnd"/>
      <w:r>
        <w:rPr>
          <w:rFonts w:ascii="Arial" w:eastAsia="等线" w:hAnsi="Arial" w:cs="Arial"/>
          <w:szCs w:val="21"/>
        </w:rPr>
        <w:t xml:space="preserve"> 1-6 cells (2</w:t>
      </w:r>
      <w:r w:rsidR="00E91ED2" w:rsidRPr="00E91ED2">
        <w:rPr>
          <w:rFonts w:ascii="Arial" w:eastAsia="等线" w:hAnsi="Arial" w:cs="Arial"/>
          <w:szCs w:val="21"/>
        </w:rPr>
        <w:t>×</w:t>
      </w:r>
      <w:r>
        <w:rPr>
          <w:rFonts w:ascii="Arial" w:eastAsia="等线" w:hAnsi="Arial" w:cs="Arial"/>
          <w:szCs w:val="21"/>
        </w:rPr>
        <w:t>10</w:t>
      </w:r>
      <w:r>
        <w:rPr>
          <w:rFonts w:ascii="Arial" w:eastAsia="等线" w:hAnsi="Arial" w:cs="Arial"/>
          <w:szCs w:val="21"/>
          <w:vertAlign w:val="superscript"/>
        </w:rPr>
        <w:t>6</w:t>
      </w:r>
      <w:r>
        <w:rPr>
          <w:rFonts w:ascii="Arial" w:eastAsia="等线" w:hAnsi="Arial" w:cs="Arial"/>
          <w:szCs w:val="21"/>
        </w:rPr>
        <w:t>) in 50μl PBS solution were orthotopically injected into left lobe of the liver using a 50μl Hamilton microliter syringe, and the incision was closed using surgery suture threads with needle. At the experimental endpoint, mice tumors were monitored by the IVIS system after luciferin injection for 15min. Tumor tissues were harvested for further analysis.</w:t>
      </w:r>
    </w:p>
    <w:p w14:paraId="735E193A" w14:textId="77777777" w:rsidR="005D4E30" w:rsidRDefault="00000000">
      <w:pPr>
        <w:spacing w:line="360" w:lineRule="auto"/>
        <w:rPr>
          <w:rFonts w:ascii="Arial" w:eastAsia="等线" w:hAnsi="Arial" w:cs="Arial"/>
          <w:b/>
          <w:szCs w:val="21"/>
        </w:rPr>
      </w:pPr>
      <w:r>
        <w:rPr>
          <w:rFonts w:ascii="Arial" w:eastAsia="等线" w:hAnsi="Arial" w:cs="Arial"/>
          <w:b/>
          <w:szCs w:val="21"/>
        </w:rPr>
        <w:t>Patient-Derived tumor Xenograft (PDX) mouse model</w:t>
      </w:r>
    </w:p>
    <w:p w14:paraId="7BFAC2F9" w14:textId="2585E18D" w:rsidR="005D4E30" w:rsidRDefault="00000000">
      <w:pPr>
        <w:spacing w:line="360" w:lineRule="auto"/>
        <w:rPr>
          <w:rFonts w:ascii="Arial" w:eastAsia="等线" w:hAnsi="Arial" w:cs="Arial"/>
          <w:szCs w:val="21"/>
        </w:rPr>
      </w:pPr>
      <w:r>
        <w:rPr>
          <w:rFonts w:ascii="Arial" w:eastAsia="等线" w:hAnsi="Arial" w:cs="Arial"/>
          <w:szCs w:val="21"/>
        </w:rPr>
        <w:t>For PDX, surgically resect</w:t>
      </w:r>
      <w:r w:rsidR="00376653">
        <w:rPr>
          <w:rFonts w:ascii="Arial" w:eastAsia="等线" w:hAnsi="Arial" w:cs="Arial"/>
          <w:szCs w:val="21"/>
        </w:rPr>
        <w:t>ed</w:t>
      </w:r>
      <w:r>
        <w:rPr>
          <w:rFonts w:ascii="Arial" w:eastAsia="等线" w:hAnsi="Arial" w:cs="Arial"/>
          <w:szCs w:val="21"/>
        </w:rPr>
        <w:t xml:space="preserve"> tumor specimens were obtained from patients with histologically confirmed HCC. All surgically resect</w:t>
      </w:r>
      <w:r w:rsidR="00376653">
        <w:rPr>
          <w:rFonts w:ascii="Arial" w:eastAsia="等线" w:hAnsi="Arial" w:cs="Arial"/>
          <w:szCs w:val="21"/>
        </w:rPr>
        <w:t>ed</w:t>
      </w:r>
      <w:r>
        <w:rPr>
          <w:rFonts w:ascii="Arial" w:eastAsia="等线" w:hAnsi="Arial" w:cs="Arial"/>
          <w:szCs w:val="21"/>
        </w:rPr>
        <w:t xml:space="preserve"> tumors were collected in accordance with the institutional review board-approved protocols of the SYSUCC. PDX tumors were generated by transplanting small tumor fragments isolated directly from surgical specimens subcutaneously into nude mice. Tumors were harvested when they reached 1cm</w:t>
      </w:r>
      <w:r>
        <w:rPr>
          <w:rFonts w:ascii="Arial" w:eastAsia="等线" w:hAnsi="Arial" w:cs="Arial"/>
          <w:szCs w:val="21"/>
          <w:vertAlign w:val="superscript"/>
        </w:rPr>
        <w:t>3</w:t>
      </w:r>
      <w:r>
        <w:rPr>
          <w:rFonts w:ascii="Arial" w:eastAsia="等线" w:hAnsi="Arial" w:cs="Arial"/>
          <w:szCs w:val="21"/>
        </w:rPr>
        <w:t xml:space="preserve">. 10% of each tumor was re-implanted in a nude mouse, and the tumor was thus propagated for 3~4 generations until it was used for this experiment. 5~6 nude mice were randomly grouped and implanted HCC-PDX. </w:t>
      </w:r>
      <w:proofErr w:type="spellStart"/>
      <w:r>
        <w:rPr>
          <w:rFonts w:ascii="Arial" w:eastAsia="等线" w:hAnsi="Arial" w:cs="Arial"/>
          <w:szCs w:val="21"/>
        </w:rPr>
        <w:t>siCtrl</w:t>
      </w:r>
      <w:proofErr w:type="spellEnd"/>
      <w:r>
        <w:rPr>
          <w:rFonts w:ascii="Arial" w:eastAsia="等线" w:hAnsi="Arial" w:cs="Arial"/>
          <w:szCs w:val="21"/>
        </w:rPr>
        <w:t xml:space="preserve">, siUSP14 (20 </w:t>
      </w:r>
      <w:proofErr w:type="spellStart"/>
      <w:r>
        <w:rPr>
          <w:rFonts w:ascii="Arial" w:eastAsia="等线" w:hAnsi="Arial" w:cs="Arial"/>
          <w:szCs w:val="21"/>
        </w:rPr>
        <w:t>μg</w:t>
      </w:r>
      <w:proofErr w:type="spellEnd"/>
      <w:r>
        <w:rPr>
          <w:rFonts w:ascii="Arial" w:eastAsia="等线" w:hAnsi="Arial" w:cs="Arial"/>
          <w:szCs w:val="21"/>
        </w:rPr>
        <w:t xml:space="preserve"> siRNA per mouse equivalent) encapsulated with liposomes and IU1were injected via the intra-tumor injection every 3 days for 20 days, while activated CD8+ T cells were intraperitoneally injected into nude mice. Tumors were measured with a caliper every 3 days to analyze tumor growth. Tumor volumes were calculated by the formula V = ab</w:t>
      </w:r>
      <w:r>
        <w:rPr>
          <w:rFonts w:ascii="Arial" w:eastAsia="等线" w:hAnsi="Arial" w:cs="Arial"/>
          <w:szCs w:val="21"/>
          <w:vertAlign w:val="superscript"/>
        </w:rPr>
        <w:t>2</w:t>
      </w:r>
      <w:r>
        <w:rPr>
          <w:rFonts w:ascii="Arial" w:eastAsia="等线" w:hAnsi="Arial" w:cs="Arial"/>
          <w:szCs w:val="21"/>
        </w:rPr>
        <w:t xml:space="preserve">/2 (a represents tumors’ length and b represents tumors’ width). At the experimental endpoint, tumor tissues were harvested and fixed with 4% PFA for the paraffin-embedded section. </w:t>
      </w:r>
    </w:p>
    <w:p w14:paraId="5E16C2DE" w14:textId="77777777" w:rsidR="005D4E30" w:rsidRDefault="00000000">
      <w:pPr>
        <w:spacing w:line="360" w:lineRule="auto"/>
        <w:rPr>
          <w:rFonts w:ascii="Arial" w:eastAsia="等线" w:hAnsi="Arial" w:cs="Arial"/>
          <w:b/>
          <w:szCs w:val="21"/>
        </w:rPr>
      </w:pPr>
      <w:r>
        <w:rPr>
          <w:rFonts w:ascii="Arial" w:eastAsia="等线" w:hAnsi="Arial" w:cs="Arial"/>
          <w:b/>
          <w:szCs w:val="21"/>
        </w:rPr>
        <w:t>Flow cytometry</w:t>
      </w:r>
    </w:p>
    <w:p w14:paraId="2A3E9498" w14:textId="59AC7377" w:rsidR="005D4E30" w:rsidRDefault="00000000">
      <w:pPr>
        <w:spacing w:line="360" w:lineRule="auto"/>
        <w:rPr>
          <w:rFonts w:ascii="Arial" w:eastAsia="等线" w:hAnsi="Arial" w:cs="Arial"/>
          <w:szCs w:val="21"/>
        </w:rPr>
      </w:pPr>
      <w:r>
        <w:rPr>
          <w:rFonts w:ascii="Arial" w:eastAsia="等线" w:hAnsi="Arial" w:cs="Arial"/>
          <w:szCs w:val="21"/>
        </w:rPr>
        <w:t>Single-cell suspensions of HCC nodules were prepared using the Liver Dissociation kit (</w:t>
      </w:r>
      <w:proofErr w:type="spellStart"/>
      <w:r>
        <w:rPr>
          <w:rFonts w:ascii="Arial" w:eastAsia="等线" w:hAnsi="Arial" w:cs="Arial"/>
          <w:szCs w:val="21"/>
        </w:rPr>
        <w:t>Miltenyi</w:t>
      </w:r>
      <w:proofErr w:type="spellEnd"/>
      <w:r>
        <w:rPr>
          <w:rFonts w:ascii="Arial" w:eastAsia="等线" w:hAnsi="Arial" w:cs="Arial"/>
          <w:szCs w:val="21"/>
        </w:rPr>
        <w:t xml:space="preserve"> </w:t>
      </w:r>
      <w:proofErr w:type="spellStart"/>
      <w:r>
        <w:rPr>
          <w:rFonts w:ascii="Arial" w:eastAsia="等线" w:hAnsi="Arial" w:cs="Arial"/>
          <w:szCs w:val="21"/>
        </w:rPr>
        <w:t>Biotec</w:t>
      </w:r>
      <w:proofErr w:type="spellEnd"/>
      <w:r>
        <w:rPr>
          <w:rFonts w:ascii="Arial" w:eastAsia="等线" w:hAnsi="Arial" w:cs="Arial"/>
          <w:szCs w:val="21"/>
        </w:rPr>
        <w:t xml:space="preserve">) and the </w:t>
      </w:r>
      <w:proofErr w:type="spellStart"/>
      <w:r>
        <w:rPr>
          <w:rFonts w:ascii="Arial" w:eastAsia="等线" w:hAnsi="Arial" w:cs="Arial"/>
          <w:szCs w:val="21"/>
        </w:rPr>
        <w:t>gentleMACS</w:t>
      </w:r>
      <w:proofErr w:type="spellEnd"/>
      <w:r>
        <w:rPr>
          <w:rFonts w:ascii="Arial" w:eastAsia="等线" w:hAnsi="Arial" w:cs="Arial"/>
          <w:szCs w:val="21"/>
        </w:rPr>
        <w:t xml:space="preserve"> Octo </w:t>
      </w:r>
      <w:proofErr w:type="spellStart"/>
      <w:r>
        <w:rPr>
          <w:rFonts w:ascii="Arial" w:eastAsia="等线" w:hAnsi="Arial" w:cs="Arial"/>
          <w:szCs w:val="21"/>
        </w:rPr>
        <w:t>Dissociator</w:t>
      </w:r>
      <w:proofErr w:type="spellEnd"/>
      <w:r>
        <w:rPr>
          <w:rFonts w:ascii="Arial" w:eastAsia="等线" w:hAnsi="Arial" w:cs="Arial"/>
          <w:szCs w:val="21"/>
        </w:rPr>
        <w:t xml:space="preserve"> following the manufacturer’s instructions. The samples were stained with the indicated antibodies (Supplementary Table </w:t>
      </w:r>
      <w:r w:rsidR="00673A60">
        <w:rPr>
          <w:rFonts w:ascii="Arial" w:eastAsia="等线" w:hAnsi="Arial" w:cs="Arial"/>
          <w:szCs w:val="21"/>
        </w:rPr>
        <w:t>7</w:t>
      </w:r>
      <w:r>
        <w:rPr>
          <w:rFonts w:ascii="Arial" w:eastAsia="等线" w:hAnsi="Arial" w:cs="Arial"/>
          <w:szCs w:val="21"/>
        </w:rPr>
        <w:t xml:space="preserve">), fixed with the </w:t>
      </w:r>
      <w:proofErr w:type="spellStart"/>
      <w:r>
        <w:rPr>
          <w:rFonts w:ascii="Arial" w:eastAsia="等线" w:hAnsi="Arial" w:cs="Arial"/>
          <w:szCs w:val="21"/>
        </w:rPr>
        <w:t>eBioscience</w:t>
      </w:r>
      <w:proofErr w:type="spellEnd"/>
      <w:r>
        <w:rPr>
          <w:rFonts w:ascii="Arial" w:eastAsia="等线" w:hAnsi="Arial" w:cs="Arial"/>
          <w:szCs w:val="21"/>
        </w:rPr>
        <w:t xml:space="preserve"> fixation and permeabilization kit (Invitrogen). After staining, samples were run on a </w:t>
      </w:r>
      <w:proofErr w:type="spellStart"/>
      <w:r>
        <w:rPr>
          <w:rFonts w:ascii="Arial" w:eastAsia="等线" w:hAnsi="Arial" w:cs="Arial"/>
          <w:szCs w:val="21"/>
        </w:rPr>
        <w:t>CytoFLEX</w:t>
      </w:r>
      <w:proofErr w:type="spellEnd"/>
      <w:r>
        <w:rPr>
          <w:rFonts w:ascii="Arial" w:eastAsia="等线" w:hAnsi="Arial" w:cs="Arial"/>
          <w:szCs w:val="21"/>
        </w:rPr>
        <w:t xml:space="preserve"> flow cytometer and data were analyzed with </w:t>
      </w:r>
      <w:proofErr w:type="spellStart"/>
      <w:r>
        <w:rPr>
          <w:rFonts w:ascii="Arial" w:eastAsia="等线" w:hAnsi="Arial" w:cs="Arial"/>
          <w:szCs w:val="21"/>
        </w:rPr>
        <w:t>CytExpert</w:t>
      </w:r>
      <w:proofErr w:type="spellEnd"/>
      <w:r>
        <w:rPr>
          <w:rFonts w:ascii="Arial" w:eastAsia="等线" w:hAnsi="Arial" w:cs="Arial"/>
          <w:szCs w:val="21"/>
        </w:rPr>
        <w:t xml:space="preserve"> or </w:t>
      </w:r>
      <w:proofErr w:type="spellStart"/>
      <w:r>
        <w:rPr>
          <w:rFonts w:ascii="Arial" w:eastAsia="等线" w:hAnsi="Arial" w:cs="Arial"/>
          <w:szCs w:val="21"/>
        </w:rPr>
        <w:t>FlowJo</w:t>
      </w:r>
      <w:proofErr w:type="spellEnd"/>
      <w:r>
        <w:rPr>
          <w:rFonts w:ascii="Arial" w:eastAsia="等线" w:hAnsi="Arial" w:cs="Arial"/>
          <w:szCs w:val="21"/>
        </w:rPr>
        <w:t xml:space="preserve"> software.</w:t>
      </w:r>
    </w:p>
    <w:p w14:paraId="3DD74BCF" w14:textId="77777777" w:rsidR="005D4E30" w:rsidRDefault="00000000">
      <w:pPr>
        <w:spacing w:line="360" w:lineRule="auto"/>
        <w:rPr>
          <w:rFonts w:ascii="Arial" w:eastAsia="等线" w:hAnsi="Arial" w:cs="Arial"/>
          <w:b/>
          <w:szCs w:val="21"/>
        </w:rPr>
      </w:pPr>
      <w:r>
        <w:rPr>
          <w:rFonts w:ascii="Arial" w:eastAsia="等线" w:hAnsi="Arial" w:cs="Arial"/>
          <w:b/>
          <w:szCs w:val="21"/>
        </w:rPr>
        <w:lastRenderedPageBreak/>
        <w:t>Immunohistochemical staining (IHC)</w:t>
      </w:r>
    </w:p>
    <w:p w14:paraId="07840DB5" w14:textId="6D08F9FC" w:rsidR="005D4E30" w:rsidRDefault="00000000">
      <w:pPr>
        <w:spacing w:line="360" w:lineRule="auto"/>
        <w:rPr>
          <w:rFonts w:ascii="Arial" w:eastAsia="等线" w:hAnsi="Arial" w:cs="Arial"/>
          <w:szCs w:val="21"/>
        </w:rPr>
      </w:pPr>
      <w:r>
        <w:rPr>
          <w:rFonts w:ascii="Arial" w:eastAsia="等线" w:hAnsi="Arial" w:cs="Arial"/>
          <w:szCs w:val="21"/>
        </w:rPr>
        <w:t>After deparaffinized and blocked off the nonspecific antigen with goat serum (</w:t>
      </w:r>
      <w:proofErr w:type="spellStart"/>
      <w:r>
        <w:rPr>
          <w:rFonts w:ascii="Arial" w:eastAsia="等线" w:hAnsi="Arial" w:cs="Arial"/>
          <w:szCs w:val="21"/>
        </w:rPr>
        <w:t>Zsbio</w:t>
      </w:r>
      <w:proofErr w:type="spellEnd"/>
      <w:r>
        <w:rPr>
          <w:rFonts w:ascii="Arial" w:eastAsia="等线" w:hAnsi="Arial" w:cs="Arial"/>
          <w:szCs w:val="21"/>
        </w:rPr>
        <w:t>, Beijing, China), HCC tissue microarrays were probed with anti-USP14 antibody, anti-GLUT1 antibody</w:t>
      </w:r>
      <w:r w:rsidR="00625489" w:rsidRPr="00625489">
        <w:rPr>
          <w:rFonts w:ascii="Arial" w:eastAsia="等线" w:hAnsi="Arial" w:cs="Arial"/>
          <w:szCs w:val="21"/>
        </w:rPr>
        <w:t xml:space="preserve"> </w:t>
      </w:r>
      <w:r w:rsidR="00625489">
        <w:rPr>
          <w:rFonts w:ascii="Arial" w:eastAsia="等线" w:hAnsi="Arial" w:cs="Arial"/>
          <w:szCs w:val="21"/>
        </w:rPr>
        <w:t xml:space="preserve">at </w:t>
      </w:r>
      <w:r w:rsidR="00625489">
        <w:rPr>
          <w:rFonts w:ascii="Arial" w:eastAsia="等线" w:hAnsi="Arial" w:cs="Arial"/>
          <w:szCs w:val="21"/>
        </w:rPr>
        <w:t>4 °C</w:t>
      </w:r>
      <w:r w:rsidR="00625489" w:rsidRPr="00625489">
        <w:rPr>
          <w:rFonts w:ascii="Arial" w:eastAsia="等线" w:hAnsi="Arial" w:cs="Arial"/>
          <w:szCs w:val="21"/>
        </w:rPr>
        <w:t xml:space="preserve"> </w:t>
      </w:r>
      <w:r w:rsidR="00625489">
        <w:rPr>
          <w:rFonts w:ascii="Arial" w:eastAsia="等线" w:hAnsi="Arial" w:cs="Arial"/>
          <w:szCs w:val="21"/>
        </w:rPr>
        <w:t>overnight</w:t>
      </w:r>
      <w:r>
        <w:rPr>
          <w:rFonts w:ascii="Arial" w:eastAsia="等线" w:hAnsi="Arial" w:cs="Arial"/>
          <w:szCs w:val="21"/>
        </w:rPr>
        <w:t>, as described in Table S</w:t>
      </w:r>
      <w:r w:rsidR="009A5C5B">
        <w:rPr>
          <w:rFonts w:ascii="Arial" w:eastAsia="等线" w:hAnsi="Arial" w:cs="Arial"/>
          <w:szCs w:val="21"/>
        </w:rPr>
        <w:t>7</w:t>
      </w:r>
      <w:r>
        <w:rPr>
          <w:rFonts w:ascii="Arial" w:eastAsia="等线" w:hAnsi="Arial" w:cs="Arial"/>
          <w:szCs w:val="21"/>
        </w:rPr>
        <w:t>. Then, the microarrays were incubated with HRP anti-rabbit/mouse antibodies (</w:t>
      </w:r>
      <w:proofErr w:type="spellStart"/>
      <w:r>
        <w:rPr>
          <w:rFonts w:ascii="Arial" w:eastAsia="等线" w:hAnsi="Arial" w:cs="Arial"/>
          <w:szCs w:val="21"/>
        </w:rPr>
        <w:t>Dako</w:t>
      </w:r>
      <w:proofErr w:type="spellEnd"/>
      <w:r>
        <w:rPr>
          <w:rFonts w:ascii="Arial" w:eastAsia="等线" w:hAnsi="Arial" w:cs="Arial"/>
          <w:szCs w:val="21"/>
        </w:rPr>
        <w:t xml:space="preserve">, Copenhagen, Denmark) for </w:t>
      </w:r>
      <w:r w:rsidR="00625489">
        <w:rPr>
          <w:rFonts w:ascii="Arial" w:eastAsia="等线" w:hAnsi="Arial" w:cs="Arial"/>
          <w:szCs w:val="21"/>
        </w:rPr>
        <w:t xml:space="preserve">0.5 </w:t>
      </w:r>
      <w:r>
        <w:rPr>
          <w:rFonts w:ascii="Arial" w:eastAsia="等线" w:hAnsi="Arial" w:cs="Arial"/>
          <w:szCs w:val="21"/>
        </w:rPr>
        <w:t>h at 37 °C, and then the diaminobenzidine chromogen (</w:t>
      </w:r>
      <w:proofErr w:type="spellStart"/>
      <w:r>
        <w:rPr>
          <w:rFonts w:ascii="Arial" w:eastAsia="等线" w:hAnsi="Arial" w:cs="Arial"/>
          <w:szCs w:val="21"/>
        </w:rPr>
        <w:t>Dako</w:t>
      </w:r>
      <w:proofErr w:type="spellEnd"/>
      <w:r>
        <w:rPr>
          <w:rFonts w:ascii="Arial" w:eastAsia="等线" w:hAnsi="Arial" w:cs="Arial"/>
          <w:szCs w:val="21"/>
        </w:rPr>
        <w:t>, Copenhagen, Denmark) was applied for reaction, followed by counterstaining with hematoxylin (</w:t>
      </w:r>
      <w:proofErr w:type="spellStart"/>
      <w:r>
        <w:rPr>
          <w:rFonts w:ascii="Arial" w:eastAsia="等线" w:hAnsi="Arial" w:cs="Arial"/>
          <w:szCs w:val="21"/>
        </w:rPr>
        <w:t>Leagene</w:t>
      </w:r>
      <w:proofErr w:type="spellEnd"/>
      <w:r>
        <w:rPr>
          <w:rFonts w:ascii="Arial" w:eastAsia="等线" w:hAnsi="Arial" w:cs="Arial"/>
          <w:szCs w:val="21"/>
        </w:rPr>
        <w:t>, Beijing, China). Images were taken with Nikon microscopy.</w:t>
      </w:r>
    </w:p>
    <w:p w14:paraId="700E937F" w14:textId="77777777" w:rsidR="005D4E30" w:rsidRDefault="00000000">
      <w:pPr>
        <w:spacing w:line="360" w:lineRule="auto"/>
        <w:rPr>
          <w:rFonts w:ascii="Arial" w:eastAsia="等线" w:hAnsi="Arial" w:cs="Arial"/>
          <w:b/>
          <w:szCs w:val="21"/>
        </w:rPr>
      </w:pPr>
      <w:r>
        <w:rPr>
          <w:rFonts w:ascii="Arial" w:eastAsia="等线" w:hAnsi="Arial" w:cs="Arial"/>
          <w:b/>
          <w:szCs w:val="21"/>
        </w:rPr>
        <w:t>Immunofluorescence staining (IF)</w:t>
      </w:r>
    </w:p>
    <w:p w14:paraId="7A3D588F" w14:textId="77777777" w:rsidR="005D4E30" w:rsidRDefault="00000000">
      <w:pPr>
        <w:spacing w:line="360" w:lineRule="auto"/>
        <w:rPr>
          <w:rFonts w:ascii="Arial" w:eastAsia="等线" w:hAnsi="Arial" w:cs="Arial"/>
          <w:szCs w:val="21"/>
        </w:rPr>
      </w:pPr>
      <w:r>
        <w:rPr>
          <w:rFonts w:ascii="Arial" w:eastAsia="等线" w:hAnsi="Arial" w:cs="Arial"/>
          <w:szCs w:val="21"/>
        </w:rPr>
        <w:t>Cells grown in 8-well BD Falcon cell culture slides (Millipore, MI, USA) were washed three times with ice-cold PBS and then were fixed with 4% paraformaldehyde (Jetway Biotech, Guangzhou, China) for 15 min. After permeabilizing with 0.2% Triton X-100 for 10 min at room temperature, the cells were blocked in goat serum (</w:t>
      </w:r>
      <w:proofErr w:type="spellStart"/>
      <w:r>
        <w:rPr>
          <w:rFonts w:ascii="Arial" w:eastAsia="等线" w:hAnsi="Arial" w:cs="Arial"/>
          <w:szCs w:val="21"/>
        </w:rPr>
        <w:t>Zsbio</w:t>
      </w:r>
      <w:proofErr w:type="spellEnd"/>
      <w:r>
        <w:rPr>
          <w:rFonts w:ascii="Arial" w:eastAsia="等线" w:hAnsi="Arial" w:cs="Arial"/>
          <w:szCs w:val="21"/>
        </w:rPr>
        <w:t>, Beijing, China). Thereafter, the cells were incubated with anti-USP14 or anti-GLUT1 antibodies, at 4°C overnight. Then, after washing with ice-cold PBS for three times, the cells were incubated with AlexaFluor488 or AlexaFluor594 goat anti-rabbit IgG (Invitrogen, California, USA) at room temperature for 1h avoiding lights. The nuclei staining was performed by DAPI (</w:t>
      </w:r>
      <w:proofErr w:type="spellStart"/>
      <w:r>
        <w:rPr>
          <w:rFonts w:ascii="Arial" w:eastAsia="等线" w:hAnsi="Arial" w:cs="Arial"/>
          <w:szCs w:val="21"/>
        </w:rPr>
        <w:t>Beyotime</w:t>
      </w:r>
      <w:proofErr w:type="spellEnd"/>
      <w:r>
        <w:rPr>
          <w:rFonts w:ascii="Arial" w:eastAsia="等线" w:hAnsi="Arial" w:cs="Arial"/>
          <w:szCs w:val="21"/>
        </w:rPr>
        <w:t>, Shanghai, China) for 10 min, and then the stained cells were observed with a laser scanning confocal microscope.</w:t>
      </w:r>
    </w:p>
    <w:p w14:paraId="1E7B55AB" w14:textId="77777777" w:rsidR="005D4E30" w:rsidRDefault="00000000">
      <w:pPr>
        <w:spacing w:line="360" w:lineRule="auto"/>
        <w:rPr>
          <w:rFonts w:ascii="Arial" w:eastAsia="等线" w:hAnsi="Arial" w:cs="Arial"/>
          <w:b/>
          <w:szCs w:val="21"/>
        </w:rPr>
      </w:pPr>
      <w:r>
        <w:rPr>
          <w:rFonts w:ascii="Arial" w:eastAsia="等线" w:hAnsi="Arial" w:cs="Arial"/>
          <w:b/>
          <w:szCs w:val="21"/>
        </w:rPr>
        <w:t>RNA extraction and quantitative real-time PCR</w:t>
      </w:r>
    </w:p>
    <w:p w14:paraId="7C92545D" w14:textId="2894850C" w:rsidR="005D4E30" w:rsidRDefault="00000000">
      <w:pPr>
        <w:spacing w:line="360" w:lineRule="auto"/>
        <w:rPr>
          <w:rFonts w:ascii="Arial" w:eastAsia="等线" w:hAnsi="Arial" w:cs="Arial"/>
          <w:szCs w:val="21"/>
        </w:rPr>
      </w:pPr>
      <w:r>
        <w:rPr>
          <w:rFonts w:ascii="Arial" w:eastAsia="等线" w:hAnsi="Arial" w:cs="Arial"/>
          <w:szCs w:val="21"/>
        </w:rPr>
        <w:t xml:space="preserve">Total RNA was isolated from cell lines using </w:t>
      </w:r>
      <w:proofErr w:type="spellStart"/>
      <w:r>
        <w:rPr>
          <w:rFonts w:ascii="Arial" w:eastAsia="等线" w:hAnsi="Arial" w:cs="Arial"/>
          <w:szCs w:val="21"/>
        </w:rPr>
        <w:t>Trizol</w:t>
      </w:r>
      <w:proofErr w:type="spellEnd"/>
      <w:r>
        <w:rPr>
          <w:rFonts w:ascii="Arial" w:eastAsia="等线" w:hAnsi="Arial" w:cs="Arial"/>
          <w:szCs w:val="21"/>
        </w:rPr>
        <w:t xml:space="preserve"> reagent (Life Technologies, Carlsbad, CA) according to the manufacturer’s instructions. Complementary DNA was synthesized using random hexamers and superscript III (Invitrogen, California, USA) from 1 µg of total RNA. Then, quantitative real-time PCR was performed on </w:t>
      </w:r>
      <w:proofErr w:type="spellStart"/>
      <w:r>
        <w:rPr>
          <w:rFonts w:ascii="Arial" w:eastAsia="等线" w:hAnsi="Arial" w:cs="Arial"/>
          <w:szCs w:val="21"/>
        </w:rPr>
        <w:t>LightCycler</w:t>
      </w:r>
      <w:proofErr w:type="spellEnd"/>
      <w:r>
        <w:rPr>
          <w:rFonts w:ascii="Arial" w:eastAsia="等线" w:hAnsi="Arial" w:cs="Arial"/>
          <w:szCs w:val="21"/>
        </w:rPr>
        <w:t xml:space="preserve"> 480 II detector (Roche, Basel, Switzerland) using SYBR Green PCR kit (Invitrogen, California, USA). All experiments were run in triplicate, and β-actin was used as control gene to normalize the gene expression levels. All primers used in this study are listed in Table S</w:t>
      </w:r>
      <w:r w:rsidR="00E94BB5">
        <w:rPr>
          <w:rFonts w:ascii="Arial" w:eastAsia="等线" w:hAnsi="Arial" w:cs="Arial"/>
          <w:szCs w:val="21"/>
        </w:rPr>
        <w:t>6</w:t>
      </w:r>
      <w:r>
        <w:rPr>
          <w:rFonts w:ascii="Arial" w:eastAsia="等线" w:hAnsi="Arial" w:cs="Arial"/>
          <w:szCs w:val="21"/>
        </w:rPr>
        <w:t>.</w:t>
      </w:r>
    </w:p>
    <w:p w14:paraId="14BB6C6C" w14:textId="77777777" w:rsidR="005D4E30" w:rsidRDefault="00000000">
      <w:pPr>
        <w:spacing w:line="360" w:lineRule="auto"/>
        <w:rPr>
          <w:rFonts w:ascii="Arial" w:eastAsia="等线" w:hAnsi="Arial" w:cs="Arial"/>
          <w:b/>
          <w:szCs w:val="21"/>
        </w:rPr>
      </w:pPr>
      <w:r>
        <w:rPr>
          <w:rFonts w:ascii="Arial" w:eastAsia="等线" w:hAnsi="Arial" w:cs="Arial"/>
          <w:b/>
          <w:szCs w:val="21"/>
        </w:rPr>
        <w:t>Western blotting assays</w:t>
      </w:r>
    </w:p>
    <w:p w14:paraId="753B2FCA" w14:textId="6C6A2B95" w:rsidR="005D4E30" w:rsidRDefault="00000000">
      <w:pPr>
        <w:spacing w:line="360" w:lineRule="auto"/>
        <w:rPr>
          <w:rFonts w:ascii="Arial" w:eastAsia="等线" w:hAnsi="Arial" w:cs="Arial"/>
          <w:szCs w:val="21"/>
        </w:rPr>
      </w:pPr>
      <w:r>
        <w:rPr>
          <w:rFonts w:ascii="Arial" w:eastAsia="等线" w:hAnsi="Arial" w:cs="Arial"/>
          <w:szCs w:val="21"/>
        </w:rPr>
        <w:t xml:space="preserve">The extracted whole cell protein lysates were prepared with cell lysis buffer (Cell Signaling Technology, Boston, USA) supplemented with protease inhibitor cocktail (Roche, Basel, </w:t>
      </w:r>
      <w:r>
        <w:rPr>
          <w:rFonts w:ascii="Arial" w:eastAsia="等线" w:hAnsi="Arial" w:cs="Arial"/>
          <w:szCs w:val="21"/>
        </w:rPr>
        <w:lastRenderedPageBreak/>
        <w:t>Switzerland). Then, the equal amounts of protein lysates were separated by SDS-polyacrylamide gels and transferred to polyvinylidene difluoride membranes (Merck Millipore, Cork, Ireland). After incubated with the indicated primary and secondary antibodies the bindings were detected using High-sig ECL western blotting kit (</w:t>
      </w:r>
      <w:proofErr w:type="spellStart"/>
      <w:r>
        <w:rPr>
          <w:rFonts w:ascii="Arial" w:eastAsia="等线" w:hAnsi="Arial" w:cs="Arial"/>
          <w:szCs w:val="21"/>
        </w:rPr>
        <w:t>Tanon</w:t>
      </w:r>
      <w:proofErr w:type="spellEnd"/>
      <w:r>
        <w:rPr>
          <w:rFonts w:ascii="Arial" w:eastAsia="等线" w:hAnsi="Arial" w:cs="Arial"/>
          <w:szCs w:val="21"/>
        </w:rPr>
        <w:t>, shanghai, China).</w:t>
      </w:r>
    </w:p>
    <w:p w14:paraId="7AA5604D" w14:textId="77777777" w:rsidR="005D4E30" w:rsidRDefault="00000000">
      <w:pPr>
        <w:spacing w:line="360" w:lineRule="auto"/>
        <w:rPr>
          <w:rFonts w:ascii="Arial" w:eastAsia="等线" w:hAnsi="Arial" w:cs="Arial"/>
          <w:b/>
          <w:szCs w:val="21"/>
        </w:rPr>
      </w:pPr>
      <w:r>
        <w:rPr>
          <w:rFonts w:ascii="Arial" w:eastAsia="等线" w:hAnsi="Arial" w:cs="Arial"/>
          <w:b/>
          <w:szCs w:val="21"/>
        </w:rPr>
        <w:t>Cell proliferation assays</w:t>
      </w:r>
    </w:p>
    <w:p w14:paraId="356C56FF" w14:textId="0189A732" w:rsidR="005D4E30" w:rsidRDefault="00000000">
      <w:pPr>
        <w:spacing w:line="360" w:lineRule="auto"/>
        <w:rPr>
          <w:rFonts w:ascii="Arial" w:eastAsia="等线" w:hAnsi="Arial" w:cs="Arial"/>
          <w:szCs w:val="21"/>
        </w:rPr>
      </w:pPr>
      <w:r>
        <w:rPr>
          <w:rFonts w:ascii="Arial" w:eastAsia="等线" w:hAnsi="Arial" w:cs="Arial"/>
          <w:szCs w:val="21"/>
        </w:rPr>
        <w:t xml:space="preserve">The cell proliferation was conducted with Cell Counting kit-8 (CCK-8; </w:t>
      </w:r>
      <w:proofErr w:type="spellStart"/>
      <w:r>
        <w:rPr>
          <w:rFonts w:ascii="Arial" w:eastAsia="等线" w:hAnsi="Arial" w:cs="Arial"/>
          <w:szCs w:val="21"/>
        </w:rPr>
        <w:t>DojinDo</w:t>
      </w:r>
      <w:proofErr w:type="spellEnd"/>
      <w:r>
        <w:rPr>
          <w:rFonts w:ascii="Arial" w:eastAsia="等线" w:hAnsi="Arial" w:cs="Arial"/>
          <w:szCs w:val="21"/>
        </w:rPr>
        <w:t>, Japan) reagent. Briefly, 1</w:t>
      </w:r>
      <w:r w:rsidR="002F3A4D" w:rsidRPr="002F3A4D">
        <w:rPr>
          <w:rFonts w:ascii="Arial" w:eastAsia="等线" w:hAnsi="Arial" w:cs="Arial"/>
          <w:szCs w:val="21"/>
        </w:rPr>
        <w:t>×</w:t>
      </w:r>
      <w:r>
        <w:rPr>
          <w:rFonts w:ascii="Arial" w:eastAsia="等线" w:hAnsi="Arial" w:cs="Arial"/>
          <w:szCs w:val="21"/>
        </w:rPr>
        <w:t>10</w:t>
      </w:r>
      <w:r>
        <w:rPr>
          <w:rFonts w:ascii="Arial" w:eastAsia="等线" w:hAnsi="Arial" w:cs="Arial"/>
          <w:szCs w:val="21"/>
          <w:vertAlign w:val="superscript"/>
        </w:rPr>
        <w:t>3</w:t>
      </w:r>
      <w:r>
        <w:rPr>
          <w:rFonts w:ascii="Arial" w:eastAsia="等线" w:hAnsi="Arial" w:cs="Arial"/>
          <w:szCs w:val="21"/>
        </w:rPr>
        <w:t xml:space="preserve"> cells were seeded in 96-well plates and cultured in DMED containing 10% FBS. 2 h after replaced the supernatant with fresh medium containing CCK-8 reagent in a 10:1 ratio, the relative cell density was measured by </w:t>
      </w:r>
      <w:proofErr w:type="spellStart"/>
      <w:r>
        <w:rPr>
          <w:rFonts w:ascii="Arial" w:eastAsia="等线" w:hAnsi="Arial" w:cs="Arial"/>
          <w:szCs w:val="21"/>
        </w:rPr>
        <w:t>Biotek</w:t>
      </w:r>
      <w:proofErr w:type="spellEnd"/>
      <w:r>
        <w:rPr>
          <w:rFonts w:ascii="Arial" w:eastAsia="等线" w:hAnsi="Arial" w:cs="Arial"/>
          <w:szCs w:val="21"/>
        </w:rPr>
        <w:t xml:space="preserve"> Epoch 2 machine (</w:t>
      </w:r>
      <w:proofErr w:type="spellStart"/>
      <w:r>
        <w:rPr>
          <w:rFonts w:ascii="Arial" w:eastAsia="等线" w:hAnsi="Arial" w:cs="Arial"/>
          <w:szCs w:val="21"/>
        </w:rPr>
        <w:t>BioTek</w:t>
      </w:r>
      <w:proofErr w:type="spellEnd"/>
      <w:r>
        <w:rPr>
          <w:rFonts w:ascii="Arial" w:eastAsia="等线" w:hAnsi="Arial" w:cs="Arial"/>
          <w:szCs w:val="21"/>
        </w:rPr>
        <w:t>, Winooski, USA) at 450 nm. Six repeated wells were used for each experimental condition, and three independent experiments were performed.</w:t>
      </w:r>
    </w:p>
    <w:p w14:paraId="18523334" w14:textId="49F5E119" w:rsidR="005D4E30" w:rsidRDefault="00000000">
      <w:pPr>
        <w:spacing w:line="360" w:lineRule="auto"/>
        <w:rPr>
          <w:rFonts w:ascii="Arial" w:eastAsia="等线" w:hAnsi="Arial" w:cs="Arial"/>
          <w:szCs w:val="21"/>
        </w:rPr>
      </w:pPr>
      <w:r>
        <w:rPr>
          <w:rFonts w:ascii="Arial" w:eastAsia="等线" w:hAnsi="Arial" w:cs="Arial"/>
          <w:szCs w:val="21"/>
        </w:rPr>
        <w:t>For the colony formation assay, indicated stable cells were plated in 6-well plates</w:t>
      </w:r>
      <w:r w:rsidR="0034186A">
        <w:rPr>
          <w:rFonts w:ascii="Arial" w:eastAsia="等线" w:hAnsi="Arial" w:cs="Arial"/>
          <w:szCs w:val="21"/>
        </w:rPr>
        <w:t xml:space="preserve"> </w:t>
      </w:r>
      <w:r w:rsidR="0034186A" w:rsidRPr="0034186A">
        <w:rPr>
          <w:rFonts w:ascii="Arial" w:eastAsia="等线" w:hAnsi="Arial" w:cs="Arial"/>
          <w:szCs w:val="21"/>
        </w:rPr>
        <w:t>at a density of 1×10</w:t>
      </w:r>
      <w:r w:rsidR="0034186A" w:rsidRPr="0034186A">
        <w:rPr>
          <w:rFonts w:ascii="Arial" w:eastAsia="等线" w:hAnsi="Arial" w:cs="Arial"/>
          <w:szCs w:val="21"/>
          <w:vertAlign w:val="superscript"/>
        </w:rPr>
        <w:t>3</w:t>
      </w:r>
      <w:r w:rsidR="0034186A" w:rsidRPr="0034186A">
        <w:rPr>
          <w:rFonts w:ascii="Arial" w:eastAsia="等线" w:hAnsi="Arial" w:cs="Arial"/>
          <w:szCs w:val="21"/>
        </w:rPr>
        <w:t xml:space="preserve"> cells per well</w:t>
      </w:r>
      <w:r>
        <w:rPr>
          <w:rFonts w:ascii="Arial" w:eastAsia="等线" w:hAnsi="Arial" w:cs="Arial"/>
          <w:szCs w:val="21"/>
        </w:rPr>
        <w:t xml:space="preserve"> in triplicate. Then the cells were incubated with DMEM containing 10% FBS and the medium was refreshed every 4 days. Fourteen days later, the cells were fixed in methanol and stained with 0.1% crystal violet. Images of the colonies were photographed and counted. </w:t>
      </w:r>
    </w:p>
    <w:p w14:paraId="24831F12" w14:textId="77777777" w:rsidR="005D4E30" w:rsidRDefault="00000000">
      <w:pPr>
        <w:spacing w:line="360" w:lineRule="auto"/>
        <w:rPr>
          <w:rFonts w:ascii="Arial" w:eastAsia="等线" w:hAnsi="Arial" w:cs="Arial"/>
          <w:szCs w:val="21"/>
        </w:rPr>
      </w:pPr>
      <w:r>
        <w:rPr>
          <w:rFonts w:ascii="Arial" w:eastAsia="等线" w:hAnsi="Arial" w:cs="Arial"/>
          <w:szCs w:val="21"/>
        </w:rPr>
        <w:t xml:space="preserve">For </w:t>
      </w:r>
      <w:proofErr w:type="spellStart"/>
      <w:r>
        <w:rPr>
          <w:rFonts w:ascii="Arial" w:eastAsia="等线" w:hAnsi="Arial" w:cs="Arial"/>
          <w:szCs w:val="21"/>
        </w:rPr>
        <w:t>EdU</w:t>
      </w:r>
      <w:proofErr w:type="spellEnd"/>
      <w:r>
        <w:rPr>
          <w:rFonts w:ascii="Arial" w:eastAsia="等线" w:hAnsi="Arial" w:cs="Arial"/>
          <w:szCs w:val="21"/>
        </w:rPr>
        <w:t xml:space="preserve"> (5-Ethynyl-2′-deoxyuridine) assay, logarithmic growth stage cells were seeded in a 6-well plate with corresponding concentration of EDU reagent for 2 h. Cells were washed with PBS for 5 min twice before incubating with 4% Paraformaldehyde for 30 min, and permeated with 0.3% TritonX-100 in PBS, and dyed with reaction solution (#C0071S; </w:t>
      </w:r>
      <w:proofErr w:type="spellStart"/>
      <w:r>
        <w:rPr>
          <w:rFonts w:ascii="Arial" w:eastAsia="等线" w:hAnsi="Arial" w:cs="Arial"/>
          <w:szCs w:val="21"/>
        </w:rPr>
        <w:t>Beyotime</w:t>
      </w:r>
      <w:proofErr w:type="spellEnd"/>
      <w:r>
        <w:rPr>
          <w:rFonts w:ascii="Arial" w:eastAsia="等线" w:hAnsi="Arial" w:cs="Arial"/>
          <w:szCs w:val="21"/>
        </w:rPr>
        <w:t xml:space="preserve"> Biotechnology). The results were observed and captured using the fluorescence microscope (Olympus Corporation). All studies were conducted in triplicates.</w:t>
      </w:r>
    </w:p>
    <w:p w14:paraId="554BAC76" w14:textId="77777777" w:rsidR="005D4E30" w:rsidRDefault="00000000">
      <w:pPr>
        <w:spacing w:line="360" w:lineRule="auto"/>
        <w:rPr>
          <w:rFonts w:ascii="Arial" w:eastAsia="等线" w:hAnsi="Arial" w:cs="Arial"/>
          <w:szCs w:val="21"/>
        </w:rPr>
      </w:pPr>
      <w:r>
        <w:rPr>
          <w:rFonts w:ascii="Arial" w:eastAsia="等线" w:hAnsi="Arial" w:cs="Arial"/>
          <w:b/>
          <w:szCs w:val="21"/>
        </w:rPr>
        <w:t>Cell apoptosis assays</w:t>
      </w:r>
    </w:p>
    <w:p w14:paraId="53240A2D" w14:textId="77777777" w:rsidR="005D4E30" w:rsidRDefault="00000000">
      <w:pPr>
        <w:spacing w:line="360" w:lineRule="auto"/>
        <w:rPr>
          <w:rFonts w:ascii="Arial" w:eastAsia="等线" w:hAnsi="Arial" w:cs="Arial"/>
          <w:szCs w:val="21"/>
        </w:rPr>
      </w:pPr>
      <w:bookmarkStart w:id="2" w:name="OLE_LINK2"/>
      <w:r>
        <w:rPr>
          <w:rFonts w:ascii="Arial" w:eastAsia="等线" w:hAnsi="Arial" w:cs="Arial"/>
          <w:szCs w:val="21"/>
        </w:rPr>
        <w:t xml:space="preserve">For </w:t>
      </w:r>
      <w:bookmarkStart w:id="3" w:name="OLE_LINK4"/>
      <w:r>
        <w:rPr>
          <w:rFonts w:ascii="Arial" w:eastAsia="等线" w:hAnsi="Arial" w:cs="Arial"/>
          <w:szCs w:val="21"/>
        </w:rPr>
        <w:t>apoptosis</w:t>
      </w:r>
      <w:bookmarkEnd w:id="3"/>
      <w:r>
        <w:rPr>
          <w:rFonts w:ascii="Arial" w:eastAsia="等线" w:hAnsi="Arial" w:cs="Arial"/>
          <w:szCs w:val="21"/>
        </w:rPr>
        <w:t xml:space="preserve"> assay, cells were pretreated with either Annexin V/APC or 7-AAD (</w:t>
      </w:r>
      <w:proofErr w:type="spellStart"/>
      <w:r>
        <w:rPr>
          <w:rFonts w:ascii="Arial" w:eastAsia="等线" w:hAnsi="Arial" w:cs="Arial"/>
          <w:szCs w:val="21"/>
        </w:rPr>
        <w:t>KeyGEN</w:t>
      </w:r>
      <w:proofErr w:type="spellEnd"/>
      <w:r>
        <w:rPr>
          <w:rFonts w:ascii="Arial" w:eastAsia="等线" w:hAnsi="Arial" w:cs="Arial"/>
          <w:szCs w:val="21"/>
        </w:rPr>
        <w:t xml:space="preserve"> </w:t>
      </w:r>
      <w:proofErr w:type="spellStart"/>
      <w:r>
        <w:rPr>
          <w:rFonts w:ascii="Arial" w:eastAsia="等线" w:hAnsi="Arial" w:cs="Arial"/>
          <w:szCs w:val="21"/>
        </w:rPr>
        <w:t>BioTECH</w:t>
      </w:r>
      <w:proofErr w:type="spellEnd"/>
      <w:r>
        <w:rPr>
          <w:rFonts w:ascii="Arial" w:eastAsia="等线" w:hAnsi="Arial" w:cs="Arial"/>
          <w:szCs w:val="21"/>
        </w:rPr>
        <w:t>, China) according to the manufacturer’s instructions.</w:t>
      </w:r>
    </w:p>
    <w:bookmarkEnd w:id="2"/>
    <w:p w14:paraId="28A73BFD" w14:textId="77777777" w:rsidR="005D4E30" w:rsidRDefault="00000000">
      <w:pPr>
        <w:spacing w:line="360" w:lineRule="auto"/>
        <w:rPr>
          <w:rFonts w:ascii="Arial" w:eastAsia="等线" w:hAnsi="Arial" w:cs="Arial"/>
          <w:b/>
          <w:szCs w:val="21"/>
        </w:rPr>
      </w:pPr>
      <w:r>
        <w:rPr>
          <w:rFonts w:ascii="Arial" w:eastAsia="等线" w:hAnsi="Arial" w:cs="Arial"/>
          <w:b/>
          <w:szCs w:val="21"/>
        </w:rPr>
        <w:t xml:space="preserve">Measurement of </w:t>
      </w:r>
      <w:bookmarkStart w:id="4" w:name="_Hlk95752886"/>
      <w:r>
        <w:rPr>
          <w:rFonts w:ascii="Arial" w:eastAsia="等线" w:hAnsi="Arial" w:cs="Arial"/>
          <w:b/>
          <w:szCs w:val="21"/>
        </w:rPr>
        <w:t>cytokines</w:t>
      </w:r>
      <w:bookmarkEnd w:id="4"/>
      <w:r>
        <w:rPr>
          <w:rFonts w:ascii="Arial" w:eastAsia="等线" w:hAnsi="Arial" w:cs="Arial"/>
          <w:b/>
          <w:szCs w:val="21"/>
        </w:rPr>
        <w:t xml:space="preserve"> expression</w:t>
      </w:r>
    </w:p>
    <w:p w14:paraId="32B51202" w14:textId="77777777" w:rsidR="005D4E30" w:rsidRDefault="00000000">
      <w:pPr>
        <w:spacing w:line="360" w:lineRule="auto"/>
        <w:rPr>
          <w:rFonts w:ascii="Arial" w:eastAsia="等线" w:hAnsi="Arial" w:cs="Arial"/>
          <w:szCs w:val="21"/>
        </w:rPr>
      </w:pPr>
      <w:r>
        <w:rPr>
          <w:rFonts w:ascii="Arial" w:eastAsia="等线" w:hAnsi="Arial" w:cs="Arial"/>
          <w:szCs w:val="21"/>
        </w:rPr>
        <w:t xml:space="preserve">Expression of cytokines and T cell exhausted makers were determined by using an enzyme-linked immunosorbent assay (ELISA) (CSB-E08718h; </w:t>
      </w:r>
      <w:r>
        <w:rPr>
          <w:rFonts w:ascii="Arial" w:eastAsia="微软雅黑" w:hAnsi="Arial" w:cs="Arial"/>
          <w:szCs w:val="21"/>
        </w:rPr>
        <w:t>CSB-E13643h; CSB-EL012719HU; CSB-EL010145HU; CSB-E04740h; CSB-E04577h,</w:t>
      </w:r>
      <w:r>
        <w:rPr>
          <w:rFonts w:ascii="Arial" w:eastAsia="等线" w:hAnsi="Arial" w:cs="Arial"/>
          <w:szCs w:val="21"/>
        </w:rPr>
        <w:t xml:space="preserve"> CUSABIO, China) </w:t>
      </w:r>
      <w:r>
        <w:rPr>
          <w:rFonts w:ascii="Arial" w:eastAsia="等线" w:hAnsi="Arial" w:cs="Arial"/>
          <w:szCs w:val="21"/>
        </w:rPr>
        <w:lastRenderedPageBreak/>
        <w:t>according to the manufacturer’s protocol.</w:t>
      </w:r>
    </w:p>
    <w:p w14:paraId="678099EF" w14:textId="77777777" w:rsidR="005D4E30" w:rsidRDefault="00000000">
      <w:pPr>
        <w:spacing w:line="360" w:lineRule="auto"/>
        <w:rPr>
          <w:rFonts w:ascii="Arial" w:eastAsia="等线" w:hAnsi="Arial" w:cs="Arial"/>
          <w:b/>
          <w:szCs w:val="21"/>
        </w:rPr>
      </w:pPr>
      <w:r>
        <w:rPr>
          <w:rFonts w:ascii="Arial" w:eastAsia="等线" w:hAnsi="Arial" w:cs="Arial"/>
          <w:b/>
          <w:szCs w:val="21"/>
        </w:rPr>
        <w:t>SEAHORSE</w:t>
      </w:r>
    </w:p>
    <w:p w14:paraId="4B9E6367" w14:textId="77777777" w:rsidR="005D4E30" w:rsidRDefault="00000000">
      <w:pPr>
        <w:spacing w:line="360" w:lineRule="auto"/>
        <w:rPr>
          <w:rFonts w:ascii="Arial" w:eastAsia="等线" w:hAnsi="Arial" w:cs="Arial"/>
          <w:szCs w:val="21"/>
        </w:rPr>
      </w:pPr>
      <w:r>
        <w:rPr>
          <w:rFonts w:ascii="Arial" w:eastAsia="等线" w:hAnsi="Arial" w:cs="Arial"/>
          <w:szCs w:val="21"/>
        </w:rPr>
        <w:t>Liver cancer cells (</w:t>
      </w:r>
      <w:proofErr w:type="spellStart"/>
      <w:r>
        <w:rPr>
          <w:rFonts w:ascii="Arial" w:eastAsia="等线" w:hAnsi="Arial" w:cs="Arial"/>
          <w:szCs w:val="21"/>
        </w:rPr>
        <w:t>shCtrl</w:t>
      </w:r>
      <w:proofErr w:type="spellEnd"/>
      <w:r>
        <w:rPr>
          <w:rFonts w:ascii="Arial" w:eastAsia="等线" w:hAnsi="Arial" w:cs="Arial"/>
          <w:szCs w:val="21"/>
        </w:rPr>
        <w:t>, shUSP14#1 and shUSP14#2) were seeded to a 96-well Seahorse XF Cell Culture Microplate (8000 cells per well). After 24 h, the cell culture growth medium was changed to a pre-warmed assay medium and the cell culture microplate was placed into a 37 °C non-CO</w:t>
      </w:r>
      <w:r>
        <w:rPr>
          <w:rFonts w:ascii="Arial" w:eastAsia="等线" w:hAnsi="Arial" w:cs="Arial"/>
          <w:szCs w:val="21"/>
          <w:vertAlign w:val="subscript"/>
        </w:rPr>
        <w:t>2</w:t>
      </w:r>
      <w:r>
        <w:rPr>
          <w:rFonts w:ascii="Arial" w:eastAsia="等线" w:hAnsi="Arial" w:cs="Arial"/>
          <w:szCs w:val="21"/>
        </w:rPr>
        <w:t xml:space="preserve"> incubator for 45 min. The glycolysis (ECAR) was measured in the XF Analyzer according to the manual of Seahorse XF Cell Mito Stress Test Assay (Seahorse Bioscience of Agilent Technologies).</w:t>
      </w:r>
    </w:p>
    <w:p w14:paraId="165850BE" w14:textId="77777777" w:rsidR="005D4E30" w:rsidRDefault="00000000">
      <w:pPr>
        <w:spacing w:line="360" w:lineRule="auto"/>
        <w:rPr>
          <w:rFonts w:ascii="Arial" w:eastAsia="等线" w:hAnsi="Arial" w:cs="Arial"/>
          <w:b/>
          <w:szCs w:val="21"/>
        </w:rPr>
      </w:pPr>
      <w:r>
        <w:rPr>
          <w:rFonts w:ascii="Arial" w:eastAsia="等线" w:hAnsi="Arial" w:cs="Arial"/>
          <w:b/>
          <w:szCs w:val="21"/>
        </w:rPr>
        <w:t xml:space="preserve">Co-immunoprecipitation (Co-IP) assay </w:t>
      </w:r>
    </w:p>
    <w:p w14:paraId="551E5932" w14:textId="0161812B" w:rsidR="005D4E30" w:rsidRDefault="00000000">
      <w:pPr>
        <w:spacing w:line="360" w:lineRule="auto"/>
        <w:rPr>
          <w:rFonts w:ascii="Arial" w:eastAsia="等线" w:hAnsi="Arial" w:cs="Arial"/>
          <w:szCs w:val="21"/>
        </w:rPr>
      </w:pPr>
      <w:r>
        <w:rPr>
          <w:rFonts w:ascii="Arial" w:eastAsia="等线" w:hAnsi="Arial" w:cs="Arial"/>
          <w:szCs w:val="21"/>
        </w:rPr>
        <w:t>The cells were lysed with Pierce™ IP lysis buffer (</w:t>
      </w:r>
      <w:proofErr w:type="spellStart"/>
      <w:r>
        <w:rPr>
          <w:rFonts w:ascii="Arial" w:eastAsia="等线" w:hAnsi="Arial" w:cs="Arial"/>
          <w:szCs w:val="21"/>
        </w:rPr>
        <w:t>ThermoFisher</w:t>
      </w:r>
      <w:proofErr w:type="spellEnd"/>
      <w:r>
        <w:rPr>
          <w:rFonts w:ascii="Arial" w:eastAsia="等线" w:hAnsi="Arial" w:cs="Arial"/>
          <w:szCs w:val="21"/>
        </w:rPr>
        <w:t>, USA) supplemented with protease inhibitors. 50 ml of the mixture was removed and used as input, and the remaining mixture was incubated with primary anti-USP14 or with anti-IgG as a negative control overnight</w:t>
      </w:r>
      <w:r w:rsidR="00202ADE" w:rsidRPr="00202ADE">
        <w:rPr>
          <w:rFonts w:ascii="Arial" w:eastAsia="等线" w:hAnsi="Arial" w:cs="Arial"/>
          <w:szCs w:val="21"/>
        </w:rPr>
        <w:t xml:space="preserve"> </w:t>
      </w:r>
      <w:r w:rsidR="00202ADE">
        <w:rPr>
          <w:rFonts w:ascii="Arial" w:eastAsia="等线" w:hAnsi="Arial" w:cs="Arial"/>
          <w:szCs w:val="21"/>
        </w:rPr>
        <w:t>at 4 °C</w:t>
      </w:r>
      <w:r>
        <w:rPr>
          <w:rFonts w:ascii="Arial" w:eastAsia="等线" w:hAnsi="Arial" w:cs="Arial"/>
          <w:szCs w:val="21"/>
        </w:rPr>
        <w:t>, as described in Table S</w:t>
      </w:r>
      <w:r w:rsidR="00E94BB5">
        <w:rPr>
          <w:rFonts w:ascii="Arial" w:eastAsia="等线" w:hAnsi="Arial" w:cs="Arial"/>
          <w:szCs w:val="21"/>
        </w:rPr>
        <w:t>7</w:t>
      </w:r>
      <w:r>
        <w:rPr>
          <w:rFonts w:ascii="Arial" w:eastAsia="等线" w:hAnsi="Arial" w:cs="Arial"/>
          <w:szCs w:val="21"/>
        </w:rPr>
        <w:t>. Thereafter, an appropriate volume of Protein A/G PLUS-Agarose beads (sc-2003, Santa Cruz Biotechnology) was added to the mixture for conjugation for another 1 h at 4 °C. After that, the beads were washed with lysis buffer, and the precipitated proteins binding on the beads were collected. Finally, the beads were resuspended in electrophoresis loading buffer and boiled for western blotting assays.</w:t>
      </w:r>
    </w:p>
    <w:p w14:paraId="0850BAA5" w14:textId="77777777" w:rsidR="005D4E30" w:rsidRDefault="00000000">
      <w:pPr>
        <w:spacing w:line="360" w:lineRule="auto"/>
        <w:rPr>
          <w:rFonts w:ascii="Arial" w:eastAsia="等线" w:hAnsi="Arial" w:cs="Arial"/>
          <w:b/>
          <w:szCs w:val="21"/>
        </w:rPr>
      </w:pPr>
      <w:r>
        <w:rPr>
          <w:rFonts w:ascii="Arial" w:eastAsia="等线" w:hAnsi="Arial" w:cs="Arial"/>
          <w:b/>
          <w:szCs w:val="21"/>
        </w:rPr>
        <w:t>Metabolomics</w:t>
      </w:r>
    </w:p>
    <w:p w14:paraId="1C14F980" w14:textId="5F6EF204" w:rsidR="005D4E30" w:rsidRDefault="00000000">
      <w:pPr>
        <w:spacing w:line="360" w:lineRule="auto"/>
        <w:rPr>
          <w:rFonts w:ascii="Arial" w:eastAsia="等线" w:hAnsi="Arial" w:cs="Arial"/>
          <w:szCs w:val="21"/>
        </w:rPr>
      </w:pPr>
      <w:r>
        <w:rPr>
          <w:rFonts w:ascii="Arial" w:eastAsia="等线" w:hAnsi="Arial" w:cs="Arial"/>
          <w:szCs w:val="21"/>
        </w:rPr>
        <w:t>As described previously</w:t>
      </w:r>
      <w:r>
        <w:rPr>
          <w:rFonts w:ascii="Arial" w:eastAsia="等线" w:hAnsi="Arial" w:cs="Arial"/>
          <w:szCs w:val="21"/>
        </w:rPr>
        <w:fldChar w:fldCharType="begin"/>
      </w:r>
      <w:r w:rsidR="00B846FB">
        <w:rPr>
          <w:rFonts w:ascii="Arial" w:eastAsia="等线" w:hAnsi="Arial" w:cs="Arial"/>
          <w:szCs w:val="21"/>
        </w:rPr>
        <w:instrText xml:space="preserve"> ADDIN EN.CITE &lt;EndNote&gt;&lt;Cite&gt;&lt;Author&gt;Han&lt;/Author&gt;&lt;Year&gt;2016&lt;/Year&gt;&lt;RecNum&gt;16&lt;/RecNum&gt;&lt;DisplayText&gt;[1]&lt;/DisplayText&gt;&lt;record&gt;&lt;rec-number&gt;16&lt;/rec-number&gt;&lt;foreign-keys&gt;&lt;key app="EN" db-id="evvpz9rpr00vxhe2907xs2fksdrpxxw2sd9a" timestamp="1644829019"&gt;16&lt;/key&gt;&lt;/foreign-keys&gt;&lt;ref-type name="Journal Article"&gt;17&lt;/ref-type&gt;&lt;contributors&gt;&lt;authors&gt;&lt;author&gt;Han, C.&lt;/author&gt;&lt;author&gt;Yang, L.&lt;/author&gt;&lt;author&gt;Choi, H. H.&lt;/author&gt;&lt;author&gt;Baddour, J.&lt;/author&gt;&lt;author&gt;Achreja, A.&lt;/author&gt;&lt;author&gt;Liu, Y.&lt;/author&gt;&lt;author&gt;Li, Y.&lt;/author&gt;&lt;author&gt;Li, J.&lt;/author&gt;&lt;author&gt;Wan, G.&lt;/author&gt;&lt;author&gt;Huang, C.&lt;/author&gt;&lt;author&gt;Ji, G.&lt;/author&gt;&lt;author&gt;Zhang, X.&lt;/author&gt;&lt;author&gt;Nagrath, D.&lt;/author&gt;&lt;author&gt;Lu, X.&lt;/author&gt;&lt;/authors&gt;&lt;/contributors&gt;&lt;titles&gt;&lt;title&gt;Amplification of USP13 drives ovarian cancer metabolism&lt;/title&gt;&lt;secondary-title&gt;Nature communications&lt;/secondary-title&gt;&lt;/titles&gt;&lt;periodical&gt;&lt;full-title&gt;Nature communications&lt;/full-title&gt;&lt;/periodical&gt;&lt;pages&gt;13525&lt;/pages&gt;&lt;volume&gt;7&lt;/volume&gt;&lt;dates&gt;&lt;year&gt;2016&lt;/year&gt;&lt;/dates&gt;&lt;label&gt;12.121&lt;/label&gt;&lt;urls&gt;&lt;/urls&gt;&lt;electronic-resource-num&gt;10.1038/ncomms13525&lt;/electronic-resource-num&gt;&lt;/record&gt;&lt;/Cite&gt;&lt;/EndNote&gt;</w:instrText>
      </w:r>
      <w:r>
        <w:rPr>
          <w:rFonts w:ascii="Arial" w:eastAsia="等线" w:hAnsi="Arial" w:cs="Arial"/>
          <w:szCs w:val="21"/>
        </w:rPr>
        <w:fldChar w:fldCharType="separate"/>
      </w:r>
      <w:r w:rsidR="00B846FB">
        <w:rPr>
          <w:rFonts w:ascii="Arial" w:eastAsia="等线" w:hAnsi="Arial" w:cs="Arial"/>
          <w:noProof/>
          <w:szCs w:val="21"/>
        </w:rPr>
        <w:t>[1]</w:t>
      </w:r>
      <w:r>
        <w:rPr>
          <w:rFonts w:ascii="Arial" w:eastAsia="等线" w:hAnsi="Arial" w:cs="Arial"/>
          <w:szCs w:val="21"/>
        </w:rPr>
        <w:fldChar w:fldCharType="end"/>
      </w:r>
      <w:r>
        <w:rPr>
          <w:rFonts w:ascii="Arial" w:eastAsia="等线" w:hAnsi="Arial" w:cs="Arial"/>
          <w:szCs w:val="21"/>
        </w:rPr>
        <w:t>, 1</w:t>
      </w:r>
      <w:r w:rsidR="0094521E" w:rsidRPr="0094521E">
        <w:rPr>
          <w:rFonts w:ascii="Arial" w:eastAsia="等线" w:hAnsi="Arial" w:cs="Arial"/>
          <w:szCs w:val="21"/>
        </w:rPr>
        <w:t>×</w:t>
      </w:r>
      <w:r>
        <w:rPr>
          <w:rFonts w:ascii="Arial" w:eastAsia="等线" w:hAnsi="Arial" w:cs="Arial"/>
          <w:szCs w:val="21"/>
        </w:rPr>
        <w:t>10</w:t>
      </w:r>
      <w:r>
        <w:rPr>
          <w:rFonts w:ascii="Arial" w:eastAsia="等线" w:hAnsi="Arial" w:cs="Arial"/>
          <w:szCs w:val="21"/>
          <w:vertAlign w:val="superscript"/>
        </w:rPr>
        <w:t>7</w:t>
      </w:r>
      <w:r>
        <w:rPr>
          <w:rFonts w:ascii="Arial" w:eastAsia="等线" w:hAnsi="Arial" w:cs="Arial"/>
          <w:szCs w:val="21"/>
        </w:rPr>
        <w:t xml:space="preserve"> </w:t>
      </w:r>
      <w:r>
        <w:rPr>
          <w:rFonts w:ascii="Arial" w:eastAsia="等线" w:hAnsi="Arial" w:cs="Arial"/>
          <w:szCs w:val="24"/>
        </w:rPr>
        <w:t>PLC/PRF/5</w:t>
      </w:r>
      <w:r>
        <w:rPr>
          <w:rFonts w:ascii="Arial" w:eastAsia="等线" w:hAnsi="Arial" w:cs="Arial"/>
          <w:szCs w:val="21"/>
        </w:rPr>
        <w:t xml:space="preserve"> cells (</w:t>
      </w:r>
      <w:proofErr w:type="spellStart"/>
      <w:r>
        <w:rPr>
          <w:rFonts w:ascii="Arial" w:eastAsia="等线" w:hAnsi="Arial" w:cs="Arial"/>
          <w:szCs w:val="21"/>
        </w:rPr>
        <w:t>shCtrl</w:t>
      </w:r>
      <w:proofErr w:type="spellEnd"/>
      <w:r>
        <w:rPr>
          <w:rFonts w:ascii="Arial" w:eastAsia="等线" w:hAnsi="Arial" w:cs="Arial"/>
          <w:szCs w:val="21"/>
        </w:rPr>
        <w:t xml:space="preserve"> and shUSP14) co-cultur</w:t>
      </w:r>
      <w:r w:rsidR="00053731">
        <w:rPr>
          <w:rFonts w:ascii="Arial" w:eastAsia="等线" w:hAnsi="Arial" w:cs="Arial"/>
          <w:szCs w:val="21"/>
        </w:rPr>
        <w:t>ed</w:t>
      </w:r>
      <w:r>
        <w:rPr>
          <w:rFonts w:ascii="Arial" w:eastAsia="等线" w:hAnsi="Arial" w:cs="Arial"/>
          <w:szCs w:val="21"/>
        </w:rPr>
        <w:t xml:space="preserve"> with CD8+ T cells were homogenized with 1000</w:t>
      </w:r>
      <w:r w:rsidR="00053731">
        <w:rPr>
          <w:rFonts w:ascii="Arial" w:eastAsia="等线" w:hAnsi="Arial" w:cs="Arial"/>
          <w:szCs w:val="21"/>
        </w:rPr>
        <w:t xml:space="preserve"> </w:t>
      </w:r>
      <w:proofErr w:type="spellStart"/>
      <w:r>
        <w:rPr>
          <w:rFonts w:ascii="Arial" w:eastAsia="等线" w:hAnsi="Arial" w:cs="Arial"/>
          <w:szCs w:val="21"/>
        </w:rPr>
        <w:t>μL</w:t>
      </w:r>
      <w:proofErr w:type="spellEnd"/>
      <w:r>
        <w:rPr>
          <w:rFonts w:ascii="Arial" w:eastAsia="等线" w:hAnsi="Arial" w:cs="Arial"/>
          <w:szCs w:val="21"/>
        </w:rPr>
        <w:t xml:space="preserve"> acetonitrile: methanol: ddH2O mixed solution (2:2:1, v/v/v) and then centrifuged at 13000</w:t>
      </w:r>
      <w:r w:rsidR="00053731">
        <w:rPr>
          <w:rFonts w:ascii="Arial" w:eastAsia="等线" w:hAnsi="Arial" w:cs="Arial"/>
          <w:szCs w:val="21"/>
        </w:rPr>
        <w:t xml:space="preserve"> rpm at</w:t>
      </w:r>
      <w:r>
        <w:rPr>
          <w:rFonts w:ascii="Arial" w:eastAsia="等线" w:hAnsi="Arial" w:cs="Arial"/>
          <w:szCs w:val="21"/>
        </w:rPr>
        <w:t xml:space="preserve"> 4°C for 10 minutes. The supernatant was collected and dried out by vacuum concentrator. 300</w:t>
      </w:r>
      <w:r w:rsidR="00053731">
        <w:rPr>
          <w:rFonts w:ascii="Arial" w:eastAsia="等线" w:hAnsi="Arial" w:cs="Arial"/>
          <w:szCs w:val="21"/>
        </w:rPr>
        <w:t xml:space="preserve"> </w:t>
      </w:r>
      <w:proofErr w:type="spellStart"/>
      <w:r>
        <w:rPr>
          <w:rFonts w:ascii="Arial" w:eastAsia="等线" w:hAnsi="Arial" w:cs="Arial"/>
          <w:szCs w:val="21"/>
        </w:rPr>
        <w:t>μL</w:t>
      </w:r>
      <w:proofErr w:type="spellEnd"/>
      <w:r>
        <w:rPr>
          <w:rFonts w:ascii="Arial" w:eastAsia="等线" w:hAnsi="Arial" w:cs="Arial"/>
          <w:szCs w:val="21"/>
        </w:rPr>
        <w:t xml:space="preserve"> acetonitrile: 0.1% FA (1:9 v/v) solution (-20 °C)</w:t>
      </w:r>
      <w:r w:rsidR="00053731">
        <w:rPr>
          <w:rFonts w:ascii="Arial" w:eastAsia="等线" w:hAnsi="Arial" w:cs="Arial"/>
          <w:szCs w:val="21"/>
        </w:rPr>
        <w:t xml:space="preserve"> was used</w:t>
      </w:r>
      <w:r>
        <w:rPr>
          <w:rFonts w:ascii="Arial" w:eastAsia="等线" w:hAnsi="Arial" w:cs="Arial"/>
          <w:szCs w:val="21"/>
        </w:rPr>
        <w:t xml:space="preserve"> to resolute the sample, after 0.22μM membrane filtration, </w:t>
      </w:r>
      <w:r w:rsidR="00053731">
        <w:rPr>
          <w:rFonts w:ascii="Arial" w:eastAsia="等线" w:hAnsi="Arial" w:cs="Arial"/>
          <w:szCs w:val="21"/>
        </w:rPr>
        <w:t xml:space="preserve">and </w:t>
      </w:r>
      <w:r>
        <w:rPr>
          <w:rFonts w:ascii="Arial" w:eastAsia="等线" w:hAnsi="Arial" w:cs="Arial"/>
          <w:szCs w:val="21"/>
        </w:rPr>
        <w:t xml:space="preserve">the filtrate was added to the detection bottle. </w:t>
      </w:r>
    </w:p>
    <w:p w14:paraId="6BB467C2" w14:textId="77777777" w:rsidR="005D4E30" w:rsidRDefault="00000000">
      <w:pPr>
        <w:spacing w:line="360" w:lineRule="auto"/>
        <w:rPr>
          <w:rFonts w:ascii="Arial" w:eastAsia="等线" w:hAnsi="Arial" w:cs="Arial"/>
          <w:szCs w:val="21"/>
        </w:rPr>
      </w:pPr>
      <w:r>
        <w:rPr>
          <w:rFonts w:ascii="Arial" w:eastAsia="等线" w:hAnsi="Arial" w:cs="Arial"/>
          <w:szCs w:val="21"/>
        </w:rPr>
        <w:t xml:space="preserve">Chromatographic separation was accomplished in </w:t>
      </w:r>
      <w:proofErr w:type="spellStart"/>
      <w:r>
        <w:rPr>
          <w:rFonts w:ascii="Arial" w:eastAsia="等线" w:hAnsi="Arial" w:cs="Arial"/>
          <w:szCs w:val="21"/>
        </w:rPr>
        <w:t>Thermo</w:t>
      </w:r>
      <w:proofErr w:type="spellEnd"/>
      <w:r>
        <w:rPr>
          <w:rFonts w:ascii="Arial" w:eastAsia="等线" w:hAnsi="Arial" w:cs="Arial"/>
          <w:szCs w:val="21"/>
        </w:rPr>
        <w:t xml:space="preserve"> Ultimate 3000 system equipped with an ACQUITY UPLC® HSS T3 (150 x 2.1 mm, 1.8 µm, Waters) column maintained at 40°C. The temperature of the autosampler was 8°C. Gradient elution of analytes was carried out with 0.1% formic acid in water (C) and 0.1% formic acid in acetonitrile (D) or 5 mM ammonium </w:t>
      </w:r>
      <w:proofErr w:type="spellStart"/>
      <w:r>
        <w:rPr>
          <w:rFonts w:ascii="Arial" w:eastAsia="等线" w:hAnsi="Arial" w:cs="Arial"/>
          <w:szCs w:val="21"/>
        </w:rPr>
        <w:t>formate</w:t>
      </w:r>
      <w:proofErr w:type="spellEnd"/>
      <w:r>
        <w:rPr>
          <w:rFonts w:ascii="Arial" w:eastAsia="等线" w:hAnsi="Arial" w:cs="Arial"/>
          <w:szCs w:val="21"/>
        </w:rPr>
        <w:t xml:space="preserve"> in water (A) and acetonitrile (B) at a flow rate of 0.25mL/min. Injection of 2μL of each sample was done after equilibration. An increasing linear gradient </w:t>
      </w:r>
      <w:r>
        <w:rPr>
          <w:rFonts w:ascii="Arial" w:eastAsia="等线" w:hAnsi="Arial" w:cs="Arial"/>
          <w:szCs w:val="21"/>
        </w:rPr>
        <w:lastRenderedPageBreak/>
        <w:t xml:space="preserve">of solvent B (v/v) was used as follows: 0~1 min, 2% B/D; 1~9 min, 2%~50% B/D; 9~12 min, 50%~98% B/D; 12~13.5 min, 98% B/D; 13.5~14 min, 98%~2% B/D; 14~20min, 2% D-positive model (14~17 min, 2% B-negative model). </w:t>
      </w:r>
    </w:p>
    <w:p w14:paraId="02FD6987" w14:textId="77777777" w:rsidR="005D4E30" w:rsidRDefault="00000000">
      <w:pPr>
        <w:spacing w:line="360" w:lineRule="auto"/>
        <w:rPr>
          <w:rFonts w:ascii="Arial" w:eastAsia="等线" w:hAnsi="Arial" w:cs="Arial"/>
          <w:szCs w:val="21"/>
        </w:rPr>
      </w:pPr>
      <w:r>
        <w:rPr>
          <w:rFonts w:ascii="Arial" w:eastAsia="等线" w:hAnsi="Arial" w:cs="Arial"/>
          <w:szCs w:val="21"/>
        </w:rPr>
        <w:t>The ESI-</w:t>
      </w:r>
      <w:proofErr w:type="spellStart"/>
      <w:r>
        <w:rPr>
          <w:rFonts w:ascii="Arial" w:eastAsia="等线" w:hAnsi="Arial" w:cs="Arial"/>
          <w:szCs w:val="21"/>
        </w:rPr>
        <w:t>MSn</w:t>
      </w:r>
      <w:proofErr w:type="spellEnd"/>
      <w:r>
        <w:rPr>
          <w:rFonts w:ascii="Arial" w:eastAsia="等线" w:hAnsi="Arial" w:cs="Arial"/>
          <w:szCs w:val="21"/>
        </w:rPr>
        <w:t xml:space="preserve"> experiments were executed on the </w:t>
      </w:r>
      <w:proofErr w:type="spellStart"/>
      <w:r>
        <w:rPr>
          <w:rFonts w:ascii="Arial" w:eastAsia="等线" w:hAnsi="Arial" w:cs="Arial"/>
          <w:szCs w:val="21"/>
        </w:rPr>
        <w:t>Thermo</w:t>
      </w:r>
      <w:proofErr w:type="spellEnd"/>
      <w:r>
        <w:rPr>
          <w:rFonts w:ascii="Arial" w:eastAsia="等线" w:hAnsi="Arial" w:cs="Arial"/>
          <w:szCs w:val="21"/>
        </w:rPr>
        <w:t xml:space="preserve"> Q </w:t>
      </w:r>
      <w:proofErr w:type="spellStart"/>
      <w:r>
        <w:rPr>
          <w:rFonts w:ascii="Arial" w:eastAsia="等线" w:hAnsi="Arial" w:cs="Arial"/>
          <w:szCs w:val="21"/>
        </w:rPr>
        <w:t>Exactive</w:t>
      </w:r>
      <w:proofErr w:type="spellEnd"/>
      <w:r>
        <w:rPr>
          <w:rFonts w:ascii="Arial" w:eastAsia="等线" w:hAnsi="Arial" w:cs="Arial"/>
          <w:szCs w:val="21"/>
        </w:rPr>
        <w:t xml:space="preserve"> mass spectrometer with the spray voltage of 3.8 kV and -2.5 kV in positive and negative modes, respectively. Sheath gas and auxiliary gas were set at 45 and 15 arbitrary units, respectively. The capillary temperature was 325°C respectively. The Orbitrap analyzer scanned over a mass range of m/z 81-1,000 for full scan at a mass resolution of 70,000. Data dependent acquisition (DDA) MS/MS experiments were performed with HCD scan. The normalized collision energy was 30eV. Dynamic exclusion was implemented to remove some. The LC-MS detection and analysis were performed by </w:t>
      </w:r>
      <w:proofErr w:type="spellStart"/>
      <w:r>
        <w:rPr>
          <w:rFonts w:ascii="Arial" w:eastAsia="等线" w:hAnsi="Arial" w:cs="Arial"/>
          <w:szCs w:val="21"/>
        </w:rPr>
        <w:t>Fitgene</w:t>
      </w:r>
      <w:proofErr w:type="spellEnd"/>
      <w:r>
        <w:rPr>
          <w:rFonts w:ascii="Arial" w:eastAsia="等线" w:hAnsi="Arial" w:cs="Arial"/>
          <w:szCs w:val="21"/>
        </w:rPr>
        <w:t xml:space="preserve"> Biotech Co., LTD (Guangzhou, China). Lactate, glucose and G6P concentrations were determined using commercially available assay kit (A019-2-1, Nanjing </w:t>
      </w:r>
      <w:proofErr w:type="spellStart"/>
      <w:r>
        <w:rPr>
          <w:rFonts w:ascii="Arial" w:eastAsia="等线" w:hAnsi="Arial" w:cs="Arial"/>
          <w:szCs w:val="21"/>
        </w:rPr>
        <w:t>Jiancheng</w:t>
      </w:r>
      <w:proofErr w:type="spellEnd"/>
      <w:r>
        <w:rPr>
          <w:rFonts w:ascii="Arial" w:eastAsia="等线" w:hAnsi="Arial" w:cs="Arial"/>
          <w:szCs w:val="21"/>
        </w:rPr>
        <w:t xml:space="preserve"> Bioengineering Institute, China; S0201S; S0185, </w:t>
      </w:r>
      <w:proofErr w:type="spellStart"/>
      <w:r>
        <w:rPr>
          <w:rFonts w:ascii="Arial" w:eastAsia="等线" w:hAnsi="Arial" w:cs="Arial"/>
          <w:szCs w:val="21"/>
        </w:rPr>
        <w:t>Beyotime</w:t>
      </w:r>
      <w:proofErr w:type="spellEnd"/>
      <w:r>
        <w:rPr>
          <w:rFonts w:ascii="Arial" w:eastAsia="等线" w:hAnsi="Arial" w:cs="Arial"/>
          <w:szCs w:val="21"/>
        </w:rPr>
        <w:t xml:space="preserve"> Biotechnology, China) according to the manufacturer’s protocol.</w:t>
      </w:r>
    </w:p>
    <w:p w14:paraId="4EC610D2" w14:textId="77777777" w:rsidR="005D4E30" w:rsidRDefault="00000000">
      <w:pPr>
        <w:spacing w:line="360" w:lineRule="auto"/>
        <w:rPr>
          <w:rFonts w:ascii="Arial" w:eastAsia="等线" w:hAnsi="Arial" w:cs="Arial"/>
          <w:b/>
          <w:szCs w:val="21"/>
        </w:rPr>
      </w:pPr>
      <w:r>
        <w:rPr>
          <w:rFonts w:ascii="Arial" w:eastAsia="等线" w:hAnsi="Arial" w:cs="Arial"/>
          <w:b/>
          <w:szCs w:val="21"/>
        </w:rPr>
        <w:t xml:space="preserve">Labelled metabolites of </w:t>
      </w:r>
      <w:proofErr w:type="spellStart"/>
      <w:r>
        <w:rPr>
          <w:rFonts w:ascii="Arial" w:eastAsia="等线" w:hAnsi="Arial" w:cs="Arial"/>
          <w:b/>
          <w:szCs w:val="21"/>
        </w:rPr>
        <w:t>isotopomers</w:t>
      </w:r>
      <w:proofErr w:type="spellEnd"/>
      <w:r>
        <w:rPr>
          <w:rFonts w:ascii="Arial" w:eastAsia="等线" w:hAnsi="Arial" w:cs="Arial"/>
          <w:b/>
          <w:szCs w:val="21"/>
        </w:rPr>
        <w:t xml:space="preserve"> measurement by GC-MS</w:t>
      </w:r>
    </w:p>
    <w:p w14:paraId="1F802BA6" w14:textId="653A7753" w:rsidR="005D4E30" w:rsidRDefault="00000000">
      <w:pPr>
        <w:spacing w:line="360" w:lineRule="auto"/>
        <w:rPr>
          <w:rFonts w:ascii="Arial" w:eastAsia="等线" w:hAnsi="Arial" w:cs="Arial"/>
          <w:szCs w:val="21"/>
        </w:rPr>
      </w:pPr>
      <w:r>
        <w:rPr>
          <w:rFonts w:ascii="Arial" w:eastAsia="等线" w:hAnsi="Arial" w:cs="Arial"/>
          <w:szCs w:val="21"/>
        </w:rPr>
        <w:t>Cells were re-suspended in 0.6 ml cold (-40 °C) 50% aqueous methanol containing (100 µM norvaline) as an internal standard, and inserted in dry ice for 30 min, and then thawed samples on ice. Next added 0.4ml chloroform and vortexed for 30 second before centrifugation for 10 min at 14,000 rpm (4 °C), transferred supernatant to new 1.5 ml tubes to evaporate and stored at -80°C before analysis. Metabolites were derivatized for GC/MS analysis as follows: First, 70μl of pyridine was added to the dried pellet and incubated for 20 min at 80 °C. After cooling, 30 µl of N-tert-</w:t>
      </w:r>
      <w:proofErr w:type="spellStart"/>
      <w:r>
        <w:rPr>
          <w:rFonts w:ascii="Arial" w:eastAsia="等线" w:hAnsi="Arial" w:cs="Arial"/>
          <w:szCs w:val="21"/>
        </w:rPr>
        <w:t>butyldimethylsilyl</w:t>
      </w:r>
      <w:proofErr w:type="spellEnd"/>
      <w:r>
        <w:rPr>
          <w:rFonts w:ascii="Arial" w:eastAsia="等线" w:hAnsi="Arial" w:cs="Arial"/>
          <w:szCs w:val="21"/>
        </w:rPr>
        <w:t>-N-</w:t>
      </w:r>
      <w:proofErr w:type="spellStart"/>
      <w:r>
        <w:rPr>
          <w:rFonts w:ascii="Arial" w:eastAsia="等线" w:hAnsi="Arial" w:cs="Arial"/>
          <w:szCs w:val="21"/>
        </w:rPr>
        <w:t>methyltrifluoroacetamide</w:t>
      </w:r>
      <w:proofErr w:type="spellEnd"/>
      <w:r>
        <w:rPr>
          <w:rFonts w:ascii="Arial" w:eastAsia="等线" w:hAnsi="Arial" w:cs="Arial"/>
          <w:szCs w:val="21"/>
        </w:rPr>
        <w:t xml:space="preserve"> (Sigma) was added and samples were re-incubated for 60 min at 80 °C before centrifugation for 10 min at 14,000 rpm (4°C). The supernatant was transferred to an autosampler vial for GC/MS analysis. A Shimadzu QP-2010 Ultra GC-MS was programmed with an injection temperature of 250°C injection and injected with 1 µl of sample. GC oven temperature started at 110 °C for 4 min, rising to 230 °C at 3 °C/min and to 280 °C at 20 °C /min with a final hold at this temperature for 2 min. GC flow rate with helium carrier gas was 50cm/s. The GC column used was a 20 m</w:t>
      </w:r>
      <w:r w:rsidR="0076693A">
        <w:rPr>
          <w:rFonts w:ascii="Arial" w:eastAsia="等线" w:hAnsi="Arial" w:cs="Arial"/>
          <w:szCs w:val="21"/>
        </w:rPr>
        <w:t xml:space="preserve"> </w:t>
      </w:r>
      <w:r w:rsidR="0076693A" w:rsidRPr="0076693A">
        <w:rPr>
          <w:rFonts w:ascii="Arial" w:eastAsia="等线" w:hAnsi="Arial" w:cs="Arial"/>
          <w:szCs w:val="21"/>
        </w:rPr>
        <w:t>×</w:t>
      </w:r>
      <w:r w:rsidR="0076693A">
        <w:rPr>
          <w:rFonts w:ascii="Arial" w:eastAsia="等线" w:hAnsi="Arial" w:cs="Arial"/>
          <w:szCs w:val="21"/>
        </w:rPr>
        <w:t xml:space="preserve"> </w:t>
      </w:r>
      <w:r>
        <w:rPr>
          <w:rFonts w:ascii="Arial" w:eastAsia="等线" w:hAnsi="Arial" w:cs="Arial"/>
          <w:szCs w:val="21"/>
        </w:rPr>
        <w:t>0.25 mm</w:t>
      </w:r>
      <w:r w:rsidR="0076693A">
        <w:rPr>
          <w:rFonts w:ascii="Arial" w:eastAsia="等线" w:hAnsi="Arial" w:cs="Arial"/>
          <w:szCs w:val="21"/>
        </w:rPr>
        <w:t xml:space="preserve"> </w:t>
      </w:r>
      <w:r w:rsidR="0076693A" w:rsidRPr="0076693A">
        <w:rPr>
          <w:rFonts w:ascii="Arial" w:eastAsia="等线" w:hAnsi="Arial" w:cs="Arial"/>
          <w:szCs w:val="21"/>
        </w:rPr>
        <w:t>×</w:t>
      </w:r>
      <w:r w:rsidR="0076693A">
        <w:rPr>
          <w:rFonts w:ascii="Arial" w:eastAsia="等线" w:hAnsi="Arial" w:cs="Arial"/>
          <w:szCs w:val="21"/>
        </w:rPr>
        <w:t xml:space="preserve"> </w:t>
      </w:r>
      <w:r>
        <w:rPr>
          <w:rFonts w:ascii="Arial" w:eastAsia="等线" w:hAnsi="Arial" w:cs="Arial"/>
          <w:szCs w:val="21"/>
        </w:rPr>
        <w:t xml:space="preserve">0.25 mm Rxi-5ms. GC-MS interface temperature was 300°C and (electron impact) ion source temperature was set at </w:t>
      </w:r>
      <w:r>
        <w:rPr>
          <w:rFonts w:ascii="Arial" w:eastAsia="等线" w:hAnsi="Arial" w:cs="Arial"/>
          <w:szCs w:val="21"/>
        </w:rPr>
        <w:lastRenderedPageBreak/>
        <w:t xml:space="preserve">200 °C, with 70 V ionization voltage. The mass spectrometer was set to scan m/z range 50-800, with 1 kV detector. GC/MS data were analyzed to determine isotope labeling. To determine </w:t>
      </w:r>
      <w:r>
        <w:rPr>
          <w:rFonts w:ascii="Arial" w:eastAsia="等线" w:hAnsi="Arial" w:cs="Arial"/>
          <w:szCs w:val="21"/>
          <w:vertAlign w:val="superscript"/>
        </w:rPr>
        <w:t>13</w:t>
      </w:r>
      <w:r>
        <w:rPr>
          <w:rFonts w:ascii="Arial" w:eastAsia="等线" w:hAnsi="Arial" w:cs="Arial"/>
          <w:szCs w:val="21"/>
        </w:rPr>
        <w:t xml:space="preserve">C labeling, the mass distribution for known fragments of metabolites was extracted from the appropriate chromatographic peak. These fragments contained either the whole carbon skeleton of the metabolite, or lacked the alpha carboxyl carbon, or (for some amino acids) contained only the backbone minus the side-chain. For each fragment, the retrieved data comprised mass intensities for the lightest </w:t>
      </w:r>
      <w:proofErr w:type="spellStart"/>
      <w:r>
        <w:rPr>
          <w:rFonts w:ascii="Arial" w:eastAsia="等线" w:hAnsi="Arial" w:cs="Arial"/>
          <w:szCs w:val="21"/>
        </w:rPr>
        <w:t>isotopomer</w:t>
      </w:r>
      <w:proofErr w:type="spellEnd"/>
      <w:r>
        <w:rPr>
          <w:rFonts w:ascii="Arial" w:eastAsia="等线" w:hAnsi="Arial" w:cs="Arial"/>
          <w:szCs w:val="21"/>
        </w:rPr>
        <w:t xml:space="preserve"> (without any heavy isotopes, M0), and </w:t>
      </w:r>
      <w:proofErr w:type="spellStart"/>
      <w:r>
        <w:rPr>
          <w:rFonts w:ascii="Arial" w:eastAsia="等线" w:hAnsi="Arial" w:cs="Arial"/>
          <w:szCs w:val="21"/>
        </w:rPr>
        <w:t>isotopomers</w:t>
      </w:r>
      <w:proofErr w:type="spellEnd"/>
      <w:r>
        <w:rPr>
          <w:rFonts w:ascii="Arial" w:eastAsia="等线" w:hAnsi="Arial" w:cs="Arial"/>
          <w:szCs w:val="21"/>
        </w:rPr>
        <w:t xml:space="preserve"> with increasing unit mass (up to M6) relative to M0. These mass distributions were normalized by dividing by the sum of M0 to M6 and corrected for the natural abundance of heavy isotopes of the elements H, N, O, Si and C, using matrix-based probabilistic methods as described, and implemented in MATLAB. </w:t>
      </w:r>
    </w:p>
    <w:p w14:paraId="1317443E" w14:textId="77777777" w:rsidR="005D4E30" w:rsidRDefault="00000000">
      <w:pPr>
        <w:spacing w:line="360" w:lineRule="auto"/>
        <w:rPr>
          <w:rFonts w:ascii="Arial" w:eastAsia="等线" w:hAnsi="Arial" w:cs="Arial"/>
          <w:b/>
          <w:bCs/>
          <w:szCs w:val="21"/>
        </w:rPr>
      </w:pPr>
      <w:r>
        <w:rPr>
          <w:rFonts w:ascii="Arial" w:eastAsia="等线" w:hAnsi="Arial" w:cs="Arial"/>
          <w:b/>
          <w:bCs/>
          <w:szCs w:val="21"/>
        </w:rPr>
        <w:t xml:space="preserve">Labelled metabolites of </w:t>
      </w:r>
      <w:proofErr w:type="spellStart"/>
      <w:r>
        <w:rPr>
          <w:rFonts w:ascii="Arial" w:eastAsia="等线" w:hAnsi="Arial" w:cs="Arial"/>
          <w:b/>
          <w:bCs/>
          <w:szCs w:val="21"/>
        </w:rPr>
        <w:t>isotopomers</w:t>
      </w:r>
      <w:proofErr w:type="spellEnd"/>
      <w:r>
        <w:rPr>
          <w:rFonts w:ascii="Arial" w:eastAsia="等线" w:hAnsi="Arial" w:cs="Arial"/>
          <w:b/>
          <w:bCs/>
          <w:szCs w:val="21"/>
        </w:rPr>
        <w:t xml:space="preserve"> measurement by UPLC- QTOF (LC-MS) mass spectrometer</w:t>
      </w:r>
    </w:p>
    <w:p w14:paraId="7EA1B631" w14:textId="76E70352" w:rsidR="005D4E30" w:rsidRDefault="00000000">
      <w:pPr>
        <w:spacing w:line="360" w:lineRule="auto"/>
        <w:rPr>
          <w:rFonts w:ascii="Arial" w:eastAsia="等线" w:hAnsi="Arial" w:cs="Arial"/>
          <w:szCs w:val="21"/>
        </w:rPr>
      </w:pPr>
      <w:r>
        <w:rPr>
          <w:rFonts w:ascii="Arial" w:eastAsia="等线" w:hAnsi="Arial" w:cs="Arial"/>
          <w:szCs w:val="21"/>
        </w:rPr>
        <w:t xml:space="preserve">Sugar phosphate, labelled G6P, R5P, AND S7P </w:t>
      </w:r>
      <w:r>
        <w:rPr>
          <w:rFonts w:ascii="Arial" w:eastAsia="等线" w:hAnsi="Arial" w:cs="Arial"/>
          <w:i/>
          <w:iCs/>
          <w:szCs w:val="21"/>
        </w:rPr>
        <w:t>et al</w:t>
      </w:r>
      <w:r>
        <w:rPr>
          <w:rFonts w:ascii="Arial" w:eastAsia="等线" w:hAnsi="Arial" w:cs="Arial"/>
          <w:szCs w:val="21"/>
        </w:rPr>
        <w:t xml:space="preserve"> from [U- 13 C]-glucose were measured by a </w:t>
      </w:r>
      <w:proofErr w:type="spellStart"/>
      <w:r>
        <w:rPr>
          <w:rFonts w:ascii="Arial" w:eastAsia="等线" w:hAnsi="Arial" w:cs="Arial"/>
          <w:szCs w:val="21"/>
        </w:rPr>
        <w:t>Nexera</w:t>
      </w:r>
      <w:proofErr w:type="spellEnd"/>
      <w:r>
        <w:rPr>
          <w:rFonts w:ascii="Arial" w:eastAsia="等线" w:hAnsi="Arial" w:cs="Arial"/>
          <w:szCs w:val="21"/>
        </w:rPr>
        <w:t xml:space="preserve"> UHPLC-LC 30A (SHIMADZU Technologies, Japan) coupled with a quadruple time-of-flight (QTOF) mass spectrometer (AB 6600 </w:t>
      </w:r>
      <w:proofErr w:type="spellStart"/>
      <w:r>
        <w:rPr>
          <w:rFonts w:ascii="Arial" w:eastAsia="等线" w:hAnsi="Arial" w:cs="Arial"/>
          <w:szCs w:val="21"/>
        </w:rPr>
        <w:t>TripleTOF</w:t>
      </w:r>
      <w:proofErr w:type="spellEnd"/>
      <w:r>
        <w:rPr>
          <w:rFonts w:ascii="Arial" w:eastAsia="等线" w:hAnsi="Arial" w:cs="Arial"/>
          <w:szCs w:val="21"/>
        </w:rPr>
        <w:t>, SCIEX, Canada). A Waters HILIC carbon column (Amide 4.6</w:t>
      </w:r>
      <w:r w:rsidR="00E564D1" w:rsidRPr="0076693A">
        <w:rPr>
          <w:rFonts w:ascii="Arial" w:eastAsia="等线" w:hAnsi="Arial" w:cs="Arial"/>
          <w:szCs w:val="21"/>
        </w:rPr>
        <w:t>×</w:t>
      </w:r>
      <w:r>
        <w:rPr>
          <w:rFonts w:ascii="Arial" w:eastAsia="等线" w:hAnsi="Arial" w:cs="Arial"/>
          <w:szCs w:val="21"/>
        </w:rPr>
        <w:t xml:space="preserve">100mm ID 3.5μm; Part No: 186004868, Waters) was used for separation. Mobile phase buffer A contained 95% water, 5% (v/v) acetonitrile, 20mM ammonium hydroxide, 20mM ammonium acetate and was adjusted to pH 9.0 at 25°C, while mobile phase buffer B was 100% acetonitrile. Lyophilized cell samples were resuspended with 100μl mobile phase buffer A. The column was maintained at a controlled temperature of 30°C and was equilibrated with 15% buffer A for 3 min at a constant flow rate of 350μl/min. Aliquots of 10μl of each sample were loaded into the column and compounds were eluted from the column with a linear gradient as flows: 0-3min, 15% A; 3-16min, to 50%A; 16-20 min, to 85% A; 20-23min, to15% A; 23-25min, 15%A. The ion transfer tube temperature was set to 350 °C and vaporizer temperature was 270 °C. All samples were measured in negative mode. Data were analyzed using Analyst TF1.7.1 software, and correction natural </w:t>
      </w:r>
      <w:r>
        <w:rPr>
          <w:rFonts w:ascii="Arial" w:eastAsia="等线" w:hAnsi="Arial" w:cs="Arial"/>
          <w:szCs w:val="21"/>
          <w:vertAlign w:val="superscript"/>
        </w:rPr>
        <w:t>13</w:t>
      </w:r>
      <w:r>
        <w:rPr>
          <w:rFonts w:ascii="Arial" w:eastAsia="等线" w:hAnsi="Arial" w:cs="Arial"/>
          <w:szCs w:val="21"/>
        </w:rPr>
        <w:t xml:space="preserve">C abundance from </w:t>
      </w:r>
      <w:r>
        <w:rPr>
          <w:rFonts w:ascii="Arial" w:eastAsia="等线" w:hAnsi="Arial" w:cs="Arial"/>
          <w:szCs w:val="21"/>
          <w:vertAlign w:val="superscript"/>
        </w:rPr>
        <w:t>13</w:t>
      </w:r>
      <w:r>
        <w:rPr>
          <w:rFonts w:ascii="Arial" w:eastAsia="等线" w:hAnsi="Arial" w:cs="Arial"/>
          <w:szCs w:val="21"/>
        </w:rPr>
        <w:t xml:space="preserve"> C-labelling experiments were used MATLAB</w:t>
      </w:r>
      <w:r>
        <w:rPr>
          <w:rFonts w:ascii="Arial" w:eastAsia="等线" w:hAnsi="Arial" w:cs="Arial"/>
          <w:szCs w:val="21"/>
        </w:rPr>
        <w:fldChar w:fldCharType="begin"/>
      </w:r>
      <w:r w:rsidR="00B846FB">
        <w:rPr>
          <w:rFonts w:ascii="Arial" w:eastAsia="等线" w:hAnsi="Arial" w:cs="Arial"/>
          <w:szCs w:val="21"/>
        </w:rPr>
        <w:instrText xml:space="preserve"> ADDIN EN.CITE &lt;EndNote&gt;&lt;Cite&gt;&lt;Author&gt;Li&lt;/Author&gt;&lt;Year&gt;2020&lt;/Year&gt;&lt;RecNum&gt;23&lt;/RecNum&gt;&lt;DisplayText&gt;[2]&lt;/DisplayText&gt;&lt;record&gt;&lt;rec-number&gt;23&lt;/rec-number&gt;&lt;foreign-keys&gt;&lt;key app="EN" db-id="evvpz9rpr00vxhe2907xs2fksdrpxxw2sd9a" timestamp="1645515065"&gt;23&lt;/key&gt;&lt;/foreign-keys&gt;&lt;ref-type name="Journal Article"&gt;17&lt;/ref-type&gt;&lt;contributors&gt;&lt;authors&gt;&lt;author&gt;Li, M.&lt;/author&gt;&lt;author&gt;He, X.&lt;/author&gt;&lt;author&gt;Guo, W.&lt;/author&gt;&lt;author&gt;Yu, H.&lt;/author&gt;&lt;author&gt;Zhang, S.&lt;/author&gt;&lt;author&gt;Wang, N.&lt;/author&gt;&lt;author&gt;Liu, G.&lt;/author&gt;&lt;author&gt;Sa, R.&lt;/author&gt;&lt;author&gt;Shen, X.&lt;/author&gt;&lt;author&gt;Jiang, Y.&lt;/author&gt;&lt;author&gt;Tang, Y.&lt;/author&gt;&lt;author&gt;Zhuo, Y.&lt;/author&gt;&lt;author&gt;Yin, C.&lt;/author&gt;&lt;author&gt;Tu, Q.&lt;/author&gt;&lt;author&gt;Li, N.&lt;/author&gt;&lt;author&gt;Nie, X.&lt;/author&gt;&lt;author&gt;Li, Y.&lt;/author&gt;&lt;author&gt;Hu, Z.&lt;/author&gt;&lt;author&gt;Zhu, H.&lt;/author&gt;&lt;author&gt;Ding, J.&lt;/author&gt;&lt;author&gt;Li, Z.&lt;/author&gt;&lt;author&gt;Liu, T.&lt;/author&gt;&lt;author&gt;Zhang, F.&lt;/author&gt;&lt;author&gt;Zhou, H.&lt;/author&gt;&lt;author&gt;Li, S.&lt;/author&gt;&lt;author&gt;Yue, J.&lt;/author&gt;&lt;author&gt;Yan, Z.&lt;/author&gt;&lt;author&gt;Cheng, S.&lt;/author&gt;&lt;author&gt;Tao, Y.&lt;/author&gt;&lt;author&gt;Yin, H.&lt;/author&gt;&lt;/authors&gt;&lt;/contributors&gt;&lt;titles&gt;&lt;title&gt;Aldolase B suppresses hepatocellular carcinogenesis by inhibiting G6PD and pentose phosphate pathways&lt;/title&gt;&lt;secondary-title&gt;Nature cancer&lt;/secondary-title&gt;&lt;/titles&gt;&lt;periodical&gt;&lt;full-title&gt;Nature cancer&lt;/full-title&gt;&lt;/periodical&gt;&lt;pages&gt;735-747&lt;/pages&gt;&lt;volume&gt;1&lt;/volume&gt;&lt;number&gt;7&lt;/number&gt;&lt;dates&gt;&lt;year&gt;2020&lt;/year&gt;&lt;/dates&gt;&lt;label&gt;0&lt;/label&gt;&lt;urls&gt;&lt;/urls&gt;&lt;electronic-resource-num&gt;10.1038/s43018-020-0086-7&lt;/electronic-resource-num&gt;&lt;/record&gt;&lt;/Cite&gt;&lt;/EndNote&gt;</w:instrText>
      </w:r>
      <w:r>
        <w:rPr>
          <w:rFonts w:ascii="Arial" w:eastAsia="等线" w:hAnsi="Arial" w:cs="Arial"/>
          <w:szCs w:val="21"/>
        </w:rPr>
        <w:fldChar w:fldCharType="separate"/>
      </w:r>
      <w:r w:rsidR="00B846FB">
        <w:rPr>
          <w:rFonts w:ascii="Arial" w:eastAsia="等线" w:hAnsi="Arial" w:cs="Arial"/>
          <w:noProof/>
          <w:szCs w:val="21"/>
        </w:rPr>
        <w:t>[2]</w:t>
      </w:r>
      <w:r>
        <w:rPr>
          <w:rFonts w:ascii="Arial" w:eastAsia="等线" w:hAnsi="Arial" w:cs="Arial"/>
          <w:szCs w:val="21"/>
        </w:rPr>
        <w:fldChar w:fldCharType="end"/>
      </w:r>
      <w:r>
        <w:rPr>
          <w:rFonts w:ascii="Arial" w:eastAsia="等线" w:hAnsi="Arial" w:cs="Arial"/>
          <w:szCs w:val="21"/>
        </w:rPr>
        <w:t>. To quantify polar metabolites concentrations, we used AB 6600 Triple TOF interfaced with Ultimate 3000 Liquid Chromatography system (</w:t>
      </w:r>
      <w:proofErr w:type="spellStart"/>
      <w:r>
        <w:rPr>
          <w:rFonts w:ascii="Arial" w:eastAsia="等线" w:hAnsi="Arial" w:cs="Arial"/>
          <w:szCs w:val="21"/>
        </w:rPr>
        <w:t>Thermo</w:t>
      </w:r>
      <w:proofErr w:type="spellEnd"/>
      <w:r>
        <w:rPr>
          <w:rFonts w:ascii="Arial" w:eastAsia="等线" w:hAnsi="Arial" w:cs="Arial"/>
          <w:szCs w:val="21"/>
        </w:rPr>
        <w:t xml:space="preserve"> Scientific) and </w:t>
      </w:r>
      <w:r>
        <w:rPr>
          <w:rFonts w:ascii="Arial" w:eastAsia="等线" w:hAnsi="Arial" w:cs="Arial"/>
          <w:szCs w:val="21"/>
        </w:rPr>
        <w:lastRenderedPageBreak/>
        <w:t>Triple quadrupole mass spectrometry to detect metabolites from tissues or cells. Polar metabolites were extracted according to the previous protocol</w:t>
      </w:r>
      <w:r>
        <w:rPr>
          <w:rFonts w:ascii="Arial" w:eastAsia="等线" w:hAnsi="Arial" w:cs="Arial"/>
          <w:szCs w:val="21"/>
        </w:rPr>
        <w:fldChar w:fldCharType="begin"/>
      </w:r>
      <w:r w:rsidR="00B846FB">
        <w:rPr>
          <w:rFonts w:ascii="Arial" w:eastAsia="等线" w:hAnsi="Arial" w:cs="Arial"/>
          <w:szCs w:val="21"/>
        </w:rPr>
        <w:instrText xml:space="preserve"> ADDIN EN.CITE &lt;EndNote&gt;&lt;Cite&gt;&lt;Author&gt;Nanchen&lt;/Author&gt;&lt;Year&gt;2007&lt;/Year&gt;&lt;RecNum&gt;24&lt;/RecNum&gt;&lt;DisplayText&gt;[3]&lt;/DisplayText&gt;&lt;record&gt;&lt;rec-number&gt;24&lt;/rec-number&gt;&lt;foreign-keys&gt;&lt;key app="EN" db-id="evvpz9rpr00vxhe2907xs2fksdrpxxw2sd9a" timestamp="1645515216"&gt;24&lt;/key&gt;&lt;/foreign-keys&gt;&lt;ref-type name="Journal Article"&gt;17&lt;/ref-type&gt;&lt;contributors&gt;&lt;authors&gt;&lt;author&gt;Nanchen, Annik&lt;/author&gt;&lt;author&gt;Fuhrer, Tobias&lt;/author&gt;&lt;author&gt;Sauer, Uwe&lt;/author&gt;&lt;/authors&gt;&lt;/contributors&gt;&lt;titles&gt;&lt;title&gt;Determination of Metabolic Flux Ratios From 13C-Experiments and Gas Chromatography-Mass Spectrometry Data&lt;/title&gt;&lt;secondary-title&gt;Humana Press&lt;/secondary-title&gt;&lt;/titles&gt;&lt;periodical&gt;&lt;full-title&gt;Humana Press&lt;/full-title&gt;&lt;/periodical&gt;&lt;dates&gt;&lt;year&gt;2007&lt;/year&gt;&lt;/dates&gt;&lt;urls&gt;&lt;/urls&gt;&lt;/record&gt;&lt;/Cite&gt;&lt;/EndNote&gt;</w:instrText>
      </w:r>
      <w:r>
        <w:rPr>
          <w:rFonts w:ascii="Arial" w:eastAsia="等线" w:hAnsi="Arial" w:cs="Arial"/>
          <w:szCs w:val="21"/>
        </w:rPr>
        <w:fldChar w:fldCharType="separate"/>
      </w:r>
      <w:r w:rsidR="00B846FB">
        <w:rPr>
          <w:rFonts w:ascii="Arial" w:eastAsia="等线" w:hAnsi="Arial" w:cs="Arial"/>
          <w:noProof/>
          <w:szCs w:val="21"/>
        </w:rPr>
        <w:t>[3]</w:t>
      </w:r>
      <w:r>
        <w:rPr>
          <w:rFonts w:ascii="Arial" w:eastAsia="等线" w:hAnsi="Arial" w:cs="Arial"/>
          <w:szCs w:val="21"/>
        </w:rPr>
        <w:fldChar w:fldCharType="end"/>
      </w:r>
      <w:r>
        <w:rPr>
          <w:rFonts w:ascii="Arial" w:eastAsia="等线" w:hAnsi="Arial" w:cs="Arial"/>
          <w:szCs w:val="21"/>
        </w:rPr>
        <w:t xml:space="preserve">. Briefly, we added 80% HPLC-grade methanol (cooled to -80°C) to fresh or frozen tissues or cells and grinded for 1-2min with tissue grinder in the tube on dry ice. After vortexed for 1 min at 4-8°C and incubated for 4h at -80°C, the samples were then centrifuged at 14000g for 10 min at 4°C. We transferred the supernatant to a new 2 mL tube and lyophilize the samples in a </w:t>
      </w:r>
      <w:proofErr w:type="spellStart"/>
      <w:r>
        <w:rPr>
          <w:rFonts w:ascii="Arial" w:eastAsia="等线" w:hAnsi="Arial" w:cs="Arial"/>
          <w:szCs w:val="21"/>
        </w:rPr>
        <w:t>speedVac</w:t>
      </w:r>
      <w:proofErr w:type="spellEnd"/>
      <w:r>
        <w:rPr>
          <w:rFonts w:ascii="Arial" w:eastAsia="等线" w:hAnsi="Arial" w:cs="Arial"/>
          <w:szCs w:val="21"/>
        </w:rPr>
        <w:t xml:space="preserve"> prior to LC-MS analysis. Mobile phase buffer A containing 95% water, 5% (v/v) acetonitrile, 20mM ammonium hydroxide, 20mM ammonium acetate was adjusted to pH 9.0 at 25 °C, while mobile phase buffer B was 100% acetonitrile. Lyophilized cell samples were resuspended with 100μL of mobile phase buffer A. The column was maintained at a controlled temperature of 30°C and was equilibrated with 15% buffer A for 3min at a constant flow rate of 350μL min</w:t>
      </w:r>
      <w:r>
        <w:rPr>
          <w:rFonts w:ascii="Arial" w:eastAsia="等线" w:hAnsi="Arial" w:cs="Arial"/>
          <w:szCs w:val="21"/>
          <w:vertAlign w:val="superscript"/>
        </w:rPr>
        <w:t>−1</w:t>
      </w:r>
      <w:r>
        <w:rPr>
          <w:rFonts w:ascii="Arial" w:eastAsia="等线" w:hAnsi="Arial" w:cs="Arial"/>
          <w:szCs w:val="21"/>
        </w:rPr>
        <w:t xml:space="preserve">.Aliquots of 1μL of each sample were loaded into the column and compounds were eluted from the column with a linear gradient as follows: 0–3min, 15% A; 3–16min, to 50% A; 16–20min, to 85% A; 20–23min, to 15% A; 23–25min, 15%A. The ion transfer tube temperature was set to 350°C and vaporizer temperature was 270°C. The instrument was run in the negative mode with a spray voltage of 3,000, sheath gas 40 and Aux gas 5.0. The 7-8 concentrations (from low to high) of the different standard mix were measured using multiple reactions monitoring mode (MRM) with optimal collision energies to produce standard curve. Data were analyzed using </w:t>
      </w:r>
      <w:proofErr w:type="spellStart"/>
      <w:r>
        <w:rPr>
          <w:rFonts w:ascii="Arial" w:eastAsia="等线" w:hAnsi="Arial" w:cs="Arial"/>
          <w:szCs w:val="21"/>
        </w:rPr>
        <w:t>Labsolution</w:t>
      </w:r>
      <w:proofErr w:type="spellEnd"/>
      <w:r>
        <w:rPr>
          <w:rFonts w:ascii="Arial" w:eastAsia="等线" w:hAnsi="Arial" w:cs="Arial"/>
          <w:szCs w:val="21"/>
        </w:rPr>
        <w:t xml:space="preserve"> software.</w:t>
      </w:r>
    </w:p>
    <w:p w14:paraId="1CD7746F" w14:textId="77777777" w:rsidR="005D4E30" w:rsidRDefault="00000000">
      <w:pPr>
        <w:spacing w:line="360" w:lineRule="auto"/>
        <w:rPr>
          <w:rFonts w:ascii="Arial" w:eastAsia="等线" w:hAnsi="Arial" w:cs="Arial"/>
          <w:b/>
          <w:szCs w:val="21"/>
        </w:rPr>
      </w:pPr>
      <w:bookmarkStart w:id="5" w:name="_Hlk95752294"/>
      <w:bookmarkEnd w:id="5"/>
      <w:r>
        <w:rPr>
          <w:rFonts w:ascii="Arial" w:eastAsia="等线" w:hAnsi="Arial" w:cs="Arial"/>
          <w:b/>
          <w:szCs w:val="21"/>
        </w:rPr>
        <w:t>PET imaging</w:t>
      </w:r>
    </w:p>
    <w:p w14:paraId="109A78E7" w14:textId="41987B0C" w:rsidR="005D4E30" w:rsidRDefault="00000000">
      <w:pPr>
        <w:spacing w:line="360" w:lineRule="auto"/>
        <w:rPr>
          <w:rFonts w:ascii="Arial" w:eastAsia="等线" w:hAnsi="Arial" w:cs="Arial"/>
          <w:szCs w:val="21"/>
        </w:rPr>
      </w:pPr>
      <w:r>
        <w:rPr>
          <w:rFonts w:ascii="Arial" w:eastAsia="等线" w:hAnsi="Arial" w:cs="Arial"/>
          <w:szCs w:val="21"/>
        </w:rPr>
        <w:t xml:space="preserve">For PET imaging, the following solutions were mixed according to the manufacturer's instructions: 50μg of NOTA-S3 peptide with 6μl of </w:t>
      </w:r>
      <w:proofErr w:type="spellStart"/>
      <w:r>
        <w:rPr>
          <w:rFonts w:ascii="Arial" w:eastAsia="等线" w:hAnsi="Arial" w:cs="Arial"/>
          <w:szCs w:val="21"/>
        </w:rPr>
        <w:t>AlCl</w:t>
      </w:r>
      <w:proofErr w:type="spellEnd"/>
      <w:r>
        <w:rPr>
          <w:rFonts w:ascii="Arial" w:eastAsia="等线" w:hAnsi="Arial" w:cs="Arial"/>
          <w:szCs w:val="21"/>
        </w:rPr>
        <w:t xml:space="preserve"> 3 (2 mM). The peptide is available as a freeze-dried powder freely soluble in saline solution. Thereafter, 5μl of ethanoic acid, 324μl of ethanol and 10mCi of fluoride ion (~370 MBq) were added, and the mixture was boiled for 10 min and cooled gradually. The </w:t>
      </w:r>
      <w:r>
        <w:rPr>
          <w:rFonts w:ascii="Arial" w:eastAsia="等线" w:hAnsi="Arial" w:cs="Arial"/>
          <w:szCs w:val="21"/>
          <w:vertAlign w:val="superscript"/>
        </w:rPr>
        <w:t>18</w:t>
      </w:r>
      <w:r>
        <w:rPr>
          <w:rFonts w:ascii="Arial" w:eastAsia="等线" w:hAnsi="Arial" w:cs="Arial"/>
          <w:szCs w:val="21"/>
        </w:rPr>
        <w:t xml:space="preserve">F-AlF-NOTA-S3 product was captured using the C18 plus column (Waters, Sep-Pak, USA), and the free fluoride ion was concentrated and disregarded. The columns were washed with saline solution twice and were eluted with 400μl of ethanol. The samples were prepared for HPLC analysis (Agilent 1200, USA). The mice were injected via the tail vein with 100μCi of eluted </w:t>
      </w:r>
      <w:r>
        <w:rPr>
          <w:rFonts w:ascii="Arial" w:eastAsia="等线" w:hAnsi="Arial" w:cs="Arial"/>
          <w:szCs w:val="21"/>
          <w:vertAlign w:val="superscript"/>
        </w:rPr>
        <w:t>18</w:t>
      </w:r>
      <w:r>
        <w:rPr>
          <w:rFonts w:ascii="Arial" w:eastAsia="等线" w:hAnsi="Arial" w:cs="Arial"/>
          <w:szCs w:val="21"/>
        </w:rPr>
        <w:t xml:space="preserve">F-AlF-NOTA-S3 imaging tracer. After circulation for 1h, PET scans and image analysis were performed. After </w:t>
      </w:r>
      <w:r>
        <w:rPr>
          <w:rFonts w:ascii="Arial" w:eastAsia="等线" w:hAnsi="Arial" w:cs="Arial"/>
          <w:szCs w:val="21"/>
        </w:rPr>
        <w:lastRenderedPageBreak/>
        <w:t>imaging was acquired, regions of interest (ROIs) were drawn on the tumor and normal organs, and the maximum uptake value was calculated</w:t>
      </w:r>
      <w:r>
        <w:rPr>
          <w:rFonts w:ascii="Arial" w:eastAsia="等线" w:hAnsi="Arial" w:cs="Arial"/>
          <w:szCs w:val="21"/>
        </w:rPr>
        <w:fldChar w:fldCharType="begin"/>
      </w:r>
      <w:r w:rsidR="00B846FB">
        <w:rPr>
          <w:rFonts w:ascii="Arial" w:eastAsia="等线" w:hAnsi="Arial" w:cs="Arial"/>
          <w:szCs w:val="21"/>
        </w:rPr>
        <w:instrText xml:space="preserve"> ADDIN EN.CITE &lt;EndNote&gt;&lt;Cite&gt;&lt;Author&gt;Wang&lt;/Author&gt;&lt;Year&gt;2018&lt;/Year&gt;&lt;RecNum&gt;17&lt;/RecNum&gt;&lt;DisplayText&gt;[4]&lt;/DisplayText&gt;&lt;record&gt;&lt;rec-number&gt;17&lt;/rec-number&gt;&lt;foreign-keys&gt;&lt;key app="EN" db-id="evvpz9rpr00vxhe2907xs2fksdrpxxw2sd9a" timestamp="1644894437"&gt;17&lt;/key&gt;&lt;/foreign-keys&gt;&lt;ref-type name="Journal Article"&gt;17&lt;/ref-type&gt;&lt;contributors&gt;&lt;authors&gt;&lt;author&gt;Wang, Qian&lt;/author&gt;&lt;author&gt;Li, Shi Bing&lt;/author&gt;&lt;author&gt;Zhao, Yi Ying&lt;/author&gt;&lt;author&gt;Dai, Da Nian&lt;/author&gt;&lt;author&gt;Du, Hui&lt;/author&gt;&lt;author&gt;Lin, Yan Zhu&lt;/author&gt;&lt;author&gt;Ye, Jia Cong&lt;/author&gt;&lt;author&gt;Zhao, Jing&lt;/author&gt;&lt;author&gt;Xiao, Wei&lt;/author&gt;&lt;author&gt;Mei, Yan&lt;/author&gt;&lt;/authors&gt;&lt;/contributors&gt;&lt;titles&gt;&lt;title&gt;Identification of a sodium pump Na + /K + ATPase α1-targeted peptide for PET imaging of breast cancer&lt;/title&gt;&lt;secondary-title&gt;Journal of Controlled Release&lt;/secondary-title&gt;&lt;/titles&gt;&lt;periodical&gt;&lt;full-title&gt;Journal of Controlled Release&lt;/full-title&gt;&lt;/periodical&gt;&lt;pages&gt;S0168365918302840&lt;/pages&gt;&lt;dates&gt;&lt;year&gt;2018&lt;/year&gt;&lt;/dates&gt;&lt;urls&gt;&lt;/urls&gt;&lt;/record&gt;&lt;/Cite&gt;&lt;/EndNote&gt;</w:instrText>
      </w:r>
      <w:r>
        <w:rPr>
          <w:rFonts w:ascii="Arial" w:eastAsia="等线" w:hAnsi="Arial" w:cs="Arial"/>
          <w:szCs w:val="21"/>
        </w:rPr>
        <w:fldChar w:fldCharType="separate"/>
      </w:r>
      <w:r w:rsidR="00B846FB">
        <w:rPr>
          <w:rFonts w:ascii="Arial" w:eastAsia="等线" w:hAnsi="Arial" w:cs="Arial"/>
          <w:noProof/>
          <w:szCs w:val="21"/>
        </w:rPr>
        <w:t>[4]</w:t>
      </w:r>
      <w:r>
        <w:rPr>
          <w:rFonts w:ascii="Arial" w:eastAsia="等线" w:hAnsi="Arial" w:cs="Arial"/>
          <w:szCs w:val="21"/>
        </w:rPr>
        <w:fldChar w:fldCharType="end"/>
      </w:r>
      <w:r>
        <w:rPr>
          <w:rFonts w:ascii="Arial" w:eastAsia="等线" w:hAnsi="Arial" w:cs="Arial"/>
          <w:szCs w:val="21"/>
        </w:rPr>
        <w:t>.</w:t>
      </w:r>
    </w:p>
    <w:p w14:paraId="00327862" w14:textId="77777777" w:rsidR="00B846FB" w:rsidRPr="00B846FB" w:rsidRDefault="00000000" w:rsidP="00B846FB">
      <w:pPr>
        <w:pStyle w:val="EndNoteBibliography"/>
        <w:ind w:left="720" w:hanging="720"/>
        <w:rPr>
          <w:noProof/>
        </w:rPr>
      </w:pPr>
      <w:r>
        <w:rPr>
          <w:rFonts w:ascii="Arial" w:hAnsi="Arial" w:cs="Arial"/>
          <w:szCs w:val="21"/>
        </w:rPr>
        <w:fldChar w:fldCharType="begin"/>
      </w:r>
      <w:r>
        <w:rPr>
          <w:rFonts w:ascii="Arial" w:hAnsi="Arial" w:cs="Arial"/>
          <w:szCs w:val="21"/>
        </w:rPr>
        <w:instrText xml:space="preserve"> ADDIN EN.REFLIST </w:instrText>
      </w:r>
      <w:r>
        <w:rPr>
          <w:rFonts w:ascii="Arial" w:hAnsi="Arial" w:cs="Arial"/>
          <w:szCs w:val="21"/>
        </w:rPr>
        <w:fldChar w:fldCharType="separate"/>
      </w:r>
      <w:r w:rsidR="00B846FB" w:rsidRPr="00B846FB">
        <w:rPr>
          <w:noProof/>
        </w:rPr>
        <w:t>1.</w:t>
      </w:r>
      <w:r w:rsidR="00B846FB" w:rsidRPr="00B846FB">
        <w:rPr>
          <w:noProof/>
        </w:rPr>
        <w:tab/>
        <w:t xml:space="preserve">Han, C., et al., </w:t>
      </w:r>
      <w:r w:rsidR="00B846FB" w:rsidRPr="00B846FB">
        <w:rPr>
          <w:i/>
          <w:noProof/>
        </w:rPr>
        <w:t>Amplification of USP13 drives ovarian cancer metabolism.</w:t>
      </w:r>
      <w:r w:rsidR="00B846FB" w:rsidRPr="00B846FB">
        <w:rPr>
          <w:noProof/>
        </w:rPr>
        <w:t xml:space="preserve"> Nature communications, 2016. </w:t>
      </w:r>
      <w:r w:rsidR="00B846FB" w:rsidRPr="00B846FB">
        <w:rPr>
          <w:b/>
          <w:noProof/>
        </w:rPr>
        <w:t>7</w:t>
      </w:r>
      <w:r w:rsidR="00B846FB" w:rsidRPr="00B846FB">
        <w:rPr>
          <w:noProof/>
        </w:rPr>
        <w:t>: p. 13525.</w:t>
      </w:r>
    </w:p>
    <w:p w14:paraId="5FA33C26" w14:textId="77777777" w:rsidR="00B846FB" w:rsidRPr="00B846FB" w:rsidRDefault="00B846FB" w:rsidP="00B846FB">
      <w:pPr>
        <w:pStyle w:val="EndNoteBibliography"/>
        <w:ind w:left="720" w:hanging="720"/>
        <w:rPr>
          <w:noProof/>
        </w:rPr>
      </w:pPr>
      <w:r w:rsidRPr="00B846FB">
        <w:rPr>
          <w:noProof/>
        </w:rPr>
        <w:t>2.</w:t>
      </w:r>
      <w:r w:rsidRPr="00B846FB">
        <w:rPr>
          <w:noProof/>
        </w:rPr>
        <w:tab/>
        <w:t xml:space="preserve">Li, M., et al., </w:t>
      </w:r>
      <w:r w:rsidRPr="00B846FB">
        <w:rPr>
          <w:i/>
          <w:noProof/>
        </w:rPr>
        <w:t>Aldolase B suppresses hepatocellular carcinogenesis by inhibiting G6PD and pentose phosphate pathways.</w:t>
      </w:r>
      <w:r w:rsidRPr="00B846FB">
        <w:rPr>
          <w:noProof/>
        </w:rPr>
        <w:t xml:space="preserve"> Nature cancer, 2020. </w:t>
      </w:r>
      <w:r w:rsidRPr="00B846FB">
        <w:rPr>
          <w:b/>
          <w:noProof/>
        </w:rPr>
        <w:t>1</w:t>
      </w:r>
      <w:r w:rsidRPr="00B846FB">
        <w:rPr>
          <w:noProof/>
        </w:rPr>
        <w:t>(7): p. 735-747.</w:t>
      </w:r>
    </w:p>
    <w:p w14:paraId="1227CD87" w14:textId="77777777" w:rsidR="00B846FB" w:rsidRPr="00B846FB" w:rsidRDefault="00B846FB" w:rsidP="00B846FB">
      <w:pPr>
        <w:pStyle w:val="EndNoteBibliography"/>
        <w:ind w:left="720" w:hanging="720"/>
        <w:rPr>
          <w:noProof/>
        </w:rPr>
      </w:pPr>
      <w:r w:rsidRPr="00B846FB">
        <w:rPr>
          <w:noProof/>
        </w:rPr>
        <w:t>3.</w:t>
      </w:r>
      <w:r w:rsidRPr="00B846FB">
        <w:rPr>
          <w:noProof/>
        </w:rPr>
        <w:tab/>
        <w:t xml:space="preserve">Nanchen, A., T. Fuhrer, and U. Sauer, </w:t>
      </w:r>
      <w:r w:rsidRPr="00B846FB">
        <w:rPr>
          <w:i/>
          <w:noProof/>
        </w:rPr>
        <w:t>Determination of Metabolic Flux Ratios From 13C-Experiments and Gas Chromatography-Mass Spectrometry Data.</w:t>
      </w:r>
      <w:r w:rsidRPr="00B846FB">
        <w:rPr>
          <w:noProof/>
        </w:rPr>
        <w:t xml:space="preserve"> Humana Press, 2007.</w:t>
      </w:r>
    </w:p>
    <w:p w14:paraId="27D974FE" w14:textId="77777777" w:rsidR="00B846FB" w:rsidRPr="00B846FB" w:rsidRDefault="00B846FB" w:rsidP="00B846FB">
      <w:pPr>
        <w:pStyle w:val="EndNoteBibliography"/>
        <w:ind w:left="720" w:hanging="720"/>
        <w:rPr>
          <w:noProof/>
        </w:rPr>
      </w:pPr>
      <w:r w:rsidRPr="00B846FB">
        <w:rPr>
          <w:noProof/>
        </w:rPr>
        <w:t>4.</w:t>
      </w:r>
      <w:r w:rsidRPr="00B846FB">
        <w:rPr>
          <w:noProof/>
        </w:rPr>
        <w:tab/>
        <w:t xml:space="preserve">Wang, Q., et al., </w:t>
      </w:r>
      <w:r w:rsidRPr="00B846FB">
        <w:rPr>
          <w:i/>
          <w:noProof/>
        </w:rPr>
        <w:t>Identification of a sodium pump Na + /K + ATPase α1-targeted peptide for PET imaging of breast cancer.</w:t>
      </w:r>
      <w:r w:rsidRPr="00B846FB">
        <w:rPr>
          <w:noProof/>
        </w:rPr>
        <w:t xml:space="preserve"> Journal of Controlled Release, 2018: p. S0168365918302840.</w:t>
      </w:r>
    </w:p>
    <w:p w14:paraId="18F65326" w14:textId="70DEA128" w:rsidR="005D4E30" w:rsidRDefault="00000000">
      <w:pPr>
        <w:spacing w:line="360" w:lineRule="auto"/>
        <w:jc w:val="left"/>
        <w:rPr>
          <w:rFonts w:ascii="Arial" w:hAnsi="Arial" w:cs="Arial"/>
          <w:szCs w:val="24"/>
          <w:lang w:bidi="ar"/>
        </w:rPr>
      </w:pPr>
      <w:r>
        <w:rPr>
          <w:rFonts w:ascii="Arial" w:eastAsia="等线" w:hAnsi="Arial" w:cs="Arial"/>
          <w:szCs w:val="21"/>
        </w:rPr>
        <w:fldChar w:fldCharType="end"/>
      </w:r>
    </w:p>
    <w:sectPr w:rsidR="005D4E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85A15" w14:textId="77777777" w:rsidR="002D59B8" w:rsidRDefault="002D59B8" w:rsidP="00B846FB">
      <w:r>
        <w:separator/>
      </w:r>
    </w:p>
  </w:endnote>
  <w:endnote w:type="continuationSeparator" w:id="0">
    <w:p w14:paraId="5BA867F9" w14:textId="77777777" w:rsidR="002D59B8" w:rsidRDefault="002D59B8" w:rsidP="00B84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E32C9" w14:textId="77777777" w:rsidR="002D59B8" w:rsidRDefault="002D59B8" w:rsidP="00B846FB">
      <w:r>
        <w:separator/>
      </w:r>
    </w:p>
  </w:footnote>
  <w:footnote w:type="continuationSeparator" w:id="0">
    <w:p w14:paraId="5228EDAE" w14:textId="77777777" w:rsidR="002D59B8" w:rsidRDefault="002D59B8" w:rsidP="00B846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ViMjMzOTRiOGVmZTZhMjkxYTcwYTQxYTQwYzNkYTkifQ=="/>
    <w:docVar w:name="EN.Layout" w:val="&lt;ENLayout&gt;&lt;Style&gt;Number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C5AFC"/>
    <w:rsid w:val="00053731"/>
    <w:rsid w:val="000A60CC"/>
    <w:rsid w:val="000C5AFC"/>
    <w:rsid w:val="00141A3E"/>
    <w:rsid w:val="001733D1"/>
    <w:rsid w:val="001A4889"/>
    <w:rsid w:val="001E0017"/>
    <w:rsid w:val="00202ADE"/>
    <w:rsid w:val="00293D5D"/>
    <w:rsid w:val="002D59B8"/>
    <w:rsid w:val="002E1AE7"/>
    <w:rsid w:val="002F3A4D"/>
    <w:rsid w:val="00315F13"/>
    <w:rsid w:val="0034186A"/>
    <w:rsid w:val="00351F60"/>
    <w:rsid w:val="00376653"/>
    <w:rsid w:val="00395399"/>
    <w:rsid w:val="003B0638"/>
    <w:rsid w:val="004D0E3C"/>
    <w:rsid w:val="00512C52"/>
    <w:rsid w:val="00554E38"/>
    <w:rsid w:val="005D4E30"/>
    <w:rsid w:val="00622AD5"/>
    <w:rsid w:val="00625489"/>
    <w:rsid w:val="00651A1E"/>
    <w:rsid w:val="00656319"/>
    <w:rsid w:val="00673A60"/>
    <w:rsid w:val="006B2E08"/>
    <w:rsid w:val="006F03A5"/>
    <w:rsid w:val="006F0F58"/>
    <w:rsid w:val="006F1060"/>
    <w:rsid w:val="00710CF6"/>
    <w:rsid w:val="00753CDC"/>
    <w:rsid w:val="0076693A"/>
    <w:rsid w:val="007B6BCA"/>
    <w:rsid w:val="00872A10"/>
    <w:rsid w:val="00930035"/>
    <w:rsid w:val="0094521E"/>
    <w:rsid w:val="00983011"/>
    <w:rsid w:val="009A5C5B"/>
    <w:rsid w:val="009C21E1"/>
    <w:rsid w:val="00B846FB"/>
    <w:rsid w:val="00B9135C"/>
    <w:rsid w:val="00B95510"/>
    <w:rsid w:val="00BC79C3"/>
    <w:rsid w:val="00C67455"/>
    <w:rsid w:val="00CF30DC"/>
    <w:rsid w:val="00CF6A58"/>
    <w:rsid w:val="00E564D1"/>
    <w:rsid w:val="00E91ED2"/>
    <w:rsid w:val="00E94BB5"/>
    <w:rsid w:val="00F00747"/>
    <w:rsid w:val="00F77B5C"/>
    <w:rsid w:val="00F80C38"/>
    <w:rsid w:val="00FE1D72"/>
    <w:rsid w:val="2189409D"/>
    <w:rsid w:val="392E1663"/>
    <w:rsid w:val="4B1E7B63"/>
    <w:rsid w:val="67617E7B"/>
    <w:rsid w:val="6F440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E08BC"/>
  <w15:docId w15:val="{A7CCD5D6-681D-4779-A6C8-B4A827E14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kern w:val="2"/>
      <w:szCs w:val="22"/>
    </w:rPr>
  </w:style>
  <w:style w:type="paragraph" w:customStyle="1" w:styleId="EndNoteBibliography">
    <w:name w:val="EndNote Bibliography"/>
    <w:basedOn w:val="a"/>
    <w:link w:val="EndNoteBibliography0"/>
    <w:qFormat/>
    <w:pPr>
      <w:jc w:val="left"/>
    </w:pPr>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kern w:val="2"/>
      <w:szCs w:val="22"/>
    </w:rPr>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oconductor.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3900</Words>
  <Characters>22236</Characters>
  <Application>Microsoft Office Word</Application>
  <DocSecurity>0</DocSecurity>
  <Lines>185</Lines>
  <Paragraphs>52</Paragraphs>
  <ScaleCrop>false</ScaleCrop>
  <Company/>
  <LinksUpToDate>false</LinksUpToDate>
  <CharactersWithSpaces>26084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yuan yichuan</cp:lastModifiedBy>
  <cp:revision>41</cp:revision>
  <dcterms:created xsi:type="dcterms:W3CDTF">2022-05-19T07:25:00Z</dcterms:created>
  <dcterms:modified xsi:type="dcterms:W3CDTF">2022-11-03T03:10:00Z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70E47CE03B7A48E3A41209B9F41DF2C0</vt:lpwstr>
  </property>
</Properties>
</file>