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ABB8F" w14:textId="4AA2C25A" w:rsidR="00F72B88" w:rsidRPr="00C65116" w:rsidRDefault="00F72B88" w:rsidP="00962B58">
      <w:pPr>
        <w:rPr>
          <w:b/>
        </w:rPr>
      </w:pPr>
      <w:r w:rsidRPr="00C65116">
        <w:rPr>
          <w:b/>
        </w:rPr>
        <w:t xml:space="preserve">Supplementary Appendix </w:t>
      </w:r>
      <w:r w:rsidR="0078316E">
        <w:rPr>
          <w:b/>
        </w:rPr>
        <w:t>2</w:t>
      </w:r>
      <w:r w:rsidRPr="00C65116">
        <w:rPr>
          <w:b/>
        </w:rPr>
        <w:t xml:space="preserve">: Detail on methods for creating weighted percentages to account for potential response bias in the sample. </w:t>
      </w:r>
    </w:p>
    <w:p w14:paraId="03C60FE5" w14:textId="0E488B74" w:rsidR="00F72B88" w:rsidRPr="00F72B88" w:rsidRDefault="00F72B88" w:rsidP="00F72B88">
      <w:pPr>
        <w:spacing w:after="0" w:line="480" w:lineRule="auto"/>
        <w:rPr>
          <w:rFonts w:ascii="Arial" w:eastAsia="Times New Roman" w:hAnsi="Arial" w:cs="Times New Roman"/>
          <w:szCs w:val="20"/>
        </w:rPr>
      </w:pPr>
      <w:r w:rsidRPr="00F72B88">
        <w:rPr>
          <w:rFonts w:ascii="Arial" w:eastAsia="Times New Roman" w:hAnsi="Arial" w:cs="Times New Roman"/>
          <w:szCs w:val="20"/>
        </w:rPr>
        <w:t xml:space="preserve">To adjust for potential response bias in the sample percentages we provided weighted percentages calculated using inverse probability weights (IPW) using Stata’s </w:t>
      </w:r>
      <w:r w:rsidRPr="00F72B88">
        <w:rPr>
          <w:rFonts w:ascii="Arial" w:eastAsia="Times New Roman" w:hAnsi="Arial" w:cs="Times New Roman"/>
          <w:i/>
          <w:szCs w:val="20"/>
        </w:rPr>
        <w:t>survey</w:t>
      </w:r>
      <w:r w:rsidRPr="00F72B88">
        <w:rPr>
          <w:rFonts w:ascii="Arial" w:eastAsia="Times New Roman" w:hAnsi="Arial" w:cs="Times New Roman"/>
          <w:szCs w:val="20"/>
        </w:rPr>
        <w:t xml:space="preserve"> command. We first predicted each student’s probability weight of response by fitting a logistic regression on all the students who were sent an invitation to complete the survey. The dependant variable (outcome) was a binary response of whether the student responded to the survey (1) or not (0) and the predictor variables were gender (male/female/</w:t>
      </w:r>
      <w:r w:rsidR="00617245">
        <w:rPr>
          <w:rFonts w:ascii="Arial" w:eastAsia="Times New Roman" w:hAnsi="Arial" w:cs="Times New Roman"/>
          <w:szCs w:val="20"/>
        </w:rPr>
        <w:t>self-described</w:t>
      </w:r>
      <w:r w:rsidRPr="00F72B88">
        <w:rPr>
          <w:rFonts w:ascii="Arial" w:eastAsia="Times New Roman" w:hAnsi="Arial" w:cs="Times New Roman"/>
          <w:szCs w:val="20"/>
        </w:rPr>
        <w:t xml:space="preserve">) and citizenship (local and </w:t>
      </w:r>
      <w:r w:rsidR="000B6953">
        <w:rPr>
          <w:rFonts w:ascii="Arial" w:eastAsia="Times New Roman" w:hAnsi="Arial" w:cs="Times New Roman"/>
          <w:szCs w:val="20"/>
        </w:rPr>
        <w:t>i</w:t>
      </w:r>
      <w:r w:rsidRPr="00F72B88">
        <w:rPr>
          <w:rFonts w:ascii="Arial" w:eastAsia="Times New Roman" w:hAnsi="Arial" w:cs="Times New Roman"/>
          <w:szCs w:val="20"/>
        </w:rPr>
        <w:t xml:space="preserve">nternational students). </w:t>
      </w:r>
    </w:p>
    <w:p w14:paraId="605C7378" w14:textId="77777777" w:rsidR="00F72B88" w:rsidRPr="00F72B88" w:rsidRDefault="00F72B88" w:rsidP="00F72B88">
      <w:pPr>
        <w:spacing w:after="0" w:line="480" w:lineRule="auto"/>
        <w:rPr>
          <w:rFonts w:ascii="Arial" w:eastAsia="Times New Roman" w:hAnsi="Arial" w:cs="Times New Roman"/>
          <w:szCs w:val="20"/>
        </w:rPr>
      </w:pPr>
    </w:p>
    <w:p w14:paraId="55C6B409" w14:textId="17DA557C" w:rsidR="00F72B88" w:rsidRPr="00F72B88" w:rsidRDefault="00F72B88" w:rsidP="00F72B88">
      <w:pPr>
        <w:spacing w:after="0" w:line="480" w:lineRule="auto"/>
        <w:rPr>
          <w:rFonts w:ascii="Arial" w:eastAsia="Times New Roman" w:hAnsi="Arial" w:cs="Times New Roman"/>
          <w:szCs w:val="20"/>
        </w:rPr>
      </w:pPr>
      <w:r w:rsidRPr="00F72B88">
        <w:rPr>
          <w:rFonts w:ascii="Arial" w:eastAsia="Times New Roman" w:hAnsi="Arial" w:cs="Times New Roman"/>
          <w:szCs w:val="20"/>
        </w:rPr>
        <w:t xml:space="preserve">We identified the predictor variables by comparing summary statistics of available demographic characteristics on the original university students (such as, age, gender, citizenship status, country of birth (Australia, China, Other), course level, faculty, fee status, attendance type, disability status) who were sent an invitation to the survey by whether they responded to the survey or not. </w:t>
      </w:r>
      <w:bookmarkStart w:id="0" w:name="_Hlk93395531"/>
      <w:r w:rsidRPr="00F72B88">
        <w:rPr>
          <w:rFonts w:ascii="Arial" w:eastAsia="Times New Roman" w:hAnsi="Arial" w:cs="Times New Roman"/>
          <w:szCs w:val="20"/>
        </w:rPr>
        <w:t xml:space="preserve">The demographic profile and enrolment status of the 14,880 students who responded to the survey and were included in the analysis was </w:t>
      </w:r>
      <w:proofErr w:type="gramStart"/>
      <w:r w:rsidRPr="00F72B88">
        <w:rPr>
          <w:rFonts w:ascii="Arial" w:eastAsia="Times New Roman" w:hAnsi="Arial" w:cs="Times New Roman"/>
          <w:szCs w:val="20"/>
        </w:rPr>
        <w:t>similar to</w:t>
      </w:r>
      <w:proofErr w:type="gramEnd"/>
      <w:r w:rsidRPr="00F72B88">
        <w:rPr>
          <w:rFonts w:ascii="Arial" w:eastAsia="Times New Roman" w:hAnsi="Arial" w:cs="Times New Roman"/>
          <w:szCs w:val="20"/>
        </w:rPr>
        <w:t xml:space="preserve"> the 41,512 non-responders </w:t>
      </w:r>
      <w:bookmarkEnd w:id="0"/>
      <w:r w:rsidRPr="00F72B88">
        <w:rPr>
          <w:rFonts w:ascii="Arial" w:eastAsia="Times New Roman" w:hAnsi="Arial" w:cs="Times New Roman"/>
          <w:szCs w:val="20"/>
        </w:rPr>
        <w:t xml:space="preserve">(see Supplementary </w:t>
      </w:r>
      <w:r w:rsidRPr="00FC1E50">
        <w:rPr>
          <w:rFonts w:ascii="Arial" w:eastAsia="Times New Roman" w:hAnsi="Arial" w:cs="Times New Roman"/>
          <w:szCs w:val="20"/>
        </w:rPr>
        <w:t xml:space="preserve">Table </w:t>
      </w:r>
      <w:r w:rsidR="00156E8D" w:rsidRPr="00FC1E50">
        <w:rPr>
          <w:rFonts w:ascii="Arial" w:eastAsia="Times New Roman" w:hAnsi="Arial" w:cs="Times New Roman"/>
          <w:szCs w:val="20"/>
        </w:rPr>
        <w:t>2</w:t>
      </w:r>
      <w:r w:rsidRPr="00F72B88">
        <w:rPr>
          <w:rFonts w:ascii="Arial" w:eastAsia="Times New Roman" w:hAnsi="Arial" w:cs="Times New Roman"/>
          <w:szCs w:val="20"/>
        </w:rPr>
        <w:t xml:space="preserve">), including mean age (24.8 (SD=6.9) vs 24.8 (SD=7.2), respectively). The exception was that females were more likely to respond than males (64% responded vs 54% males). Although citizenship was balanced between responders and non-responders, we included it as a predictor in the logistic model to calculate the IPW because the examination of local and international student issues was a key focus of this study. </w:t>
      </w:r>
    </w:p>
    <w:p w14:paraId="42F59742" w14:textId="77777777" w:rsidR="00F72B88" w:rsidRPr="00F72B88" w:rsidRDefault="00F72B88" w:rsidP="00F72B88">
      <w:pPr>
        <w:spacing w:after="0" w:line="480" w:lineRule="auto"/>
        <w:rPr>
          <w:rFonts w:ascii="Arial" w:eastAsia="Times New Roman" w:hAnsi="Arial" w:cs="Times New Roman"/>
          <w:szCs w:val="20"/>
        </w:rPr>
      </w:pPr>
    </w:p>
    <w:p w14:paraId="62B89E95" w14:textId="1E144170" w:rsidR="00F72B88" w:rsidRPr="00F72B88" w:rsidRDefault="00F72B88" w:rsidP="00F72B88">
      <w:pPr>
        <w:spacing w:after="0" w:line="480" w:lineRule="auto"/>
        <w:rPr>
          <w:rFonts w:ascii="Arial" w:hAnsi="Arial" w:cs="Times New Roman"/>
          <w:szCs w:val="20"/>
          <w:lang w:val="en-US"/>
        </w:rPr>
      </w:pPr>
      <w:r w:rsidRPr="00F72B88">
        <w:rPr>
          <w:rFonts w:ascii="Arial" w:eastAsia="Times New Roman" w:hAnsi="Arial" w:cs="Times New Roman"/>
          <w:szCs w:val="20"/>
        </w:rPr>
        <w:t xml:space="preserve">To keep the identity of student responders private from researchers and the students’ survey responses private from university administrative staff, the university records used to compare the demographic characteristics for responders and non-responders could not be linked to the student’s survey responses. University </w:t>
      </w:r>
      <w:proofErr w:type="gramStart"/>
      <w:r w:rsidRPr="00F72B88">
        <w:rPr>
          <w:rFonts w:ascii="Arial" w:eastAsia="Times New Roman" w:hAnsi="Arial" w:cs="Times New Roman"/>
          <w:szCs w:val="20"/>
        </w:rPr>
        <w:t>administration</w:t>
      </w:r>
      <w:proofErr w:type="gramEnd"/>
      <w:r w:rsidRPr="00F72B88">
        <w:rPr>
          <w:rFonts w:ascii="Arial" w:eastAsia="Times New Roman" w:hAnsi="Arial" w:cs="Times New Roman"/>
          <w:szCs w:val="20"/>
        </w:rPr>
        <w:t xml:space="preserve"> were therefore only able to provide the summary statistics comparing responders’ and non-responders’ demographic characteristics and the predicted response weights for responders only. There was less than 1% discrepancy in the percentages in the demographic characteristics of responders between the university records and the self-reported survey data, indicating minimal response bias in the survey for the selected demographics characteristics. Also, Supplementary Table </w:t>
      </w:r>
      <w:r w:rsidR="00156E8D">
        <w:rPr>
          <w:rFonts w:ascii="Arial" w:eastAsia="Times New Roman" w:hAnsi="Arial" w:cs="Times New Roman"/>
          <w:szCs w:val="20"/>
        </w:rPr>
        <w:t>2</w:t>
      </w:r>
      <w:r w:rsidRPr="00F72B88">
        <w:rPr>
          <w:rFonts w:ascii="Arial" w:eastAsia="Times New Roman" w:hAnsi="Arial" w:cs="Times New Roman"/>
          <w:szCs w:val="20"/>
        </w:rPr>
        <w:t xml:space="preserve"> included an additional 17 students (0.04%) of the 41,512 non-responders as they were recorded as being less than 18 years old according to university records</w:t>
      </w:r>
      <w:r w:rsidRPr="00F72B88">
        <w:rPr>
          <w:rFonts w:ascii="Arial" w:hAnsi="Arial" w:cs="Times New Roman"/>
          <w:szCs w:val="20"/>
          <w:lang w:val="en-US"/>
        </w:rPr>
        <w:t xml:space="preserve">. We could identify these individuals in the university records to exclude them from the descriptive analysis provided in Supplementary Table </w:t>
      </w:r>
      <w:r w:rsidR="00156E8D">
        <w:rPr>
          <w:rFonts w:ascii="Arial" w:hAnsi="Arial" w:cs="Times New Roman"/>
          <w:szCs w:val="20"/>
          <w:lang w:val="en-US"/>
        </w:rPr>
        <w:t>2</w:t>
      </w:r>
      <w:r w:rsidRPr="00F72B88">
        <w:rPr>
          <w:rFonts w:ascii="Arial" w:hAnsi="Arial" w:cs="Times New Roman"/>
          <w:szCs w:val="20"/>
          <w:lang w:val="en-US"/>
        </w:rPr>
        <w:t xml:space="preserve">. However, as they make up less </w:t>
      </w:r>
      <w:r w:rsidRPr="00F72B88">
        <w:rPr>
          <w:rFonts w:ascii="Arial" w:hAnsi="Arial" w:cs="Times New Roman"/>
          <w:szCs w:val="20"/>
          <w:lang w:val="en-US"/>
        </w:rPr>
        <w:lastRenderedPageBreak/>
        <w:t xml:space="preserve">than 0.04% of the non-responders they will not impact the weights. The study sample and weighted percentages referring to the values for the university population are reported in tables. Generally, there was negligible difference between the sample percentages and weighted percentages.  Sample percentages only are reported in the text.  </w:t>
      </w:r>
    </w:p>
    <w:p w14:paraId="0E90F699" w14:textId="77777777" w:rsidR="00F72B88" w:rsidRDefault="00F72B88" w:rsidP="00962B58"/>
    <w:p w14:paraId="04463F07" w14:textId="77777777" w:rsidR="00DF488B" w:rsidRPr="00DF488B" w:rsidRDefault="00DF488B" w:rsidP="00962B58"/>
    <w:sectPr w:rsidR="00DF488B" w:rsidRPr="00DF488B" w:rsidSect="00C50B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8B"/>
    <w:rsid w:val="00033C86"/>
    <w:rsid w:val="00042EA9"/>
    <w:rsid w:val="00062F6C"/>
    <w:rsid w:val="00094517"/>
    <w:rsid w:val="00095207"/>
    <w:rsid w:val="000B6953"/>
    <w:rsid w:val="000C69D4"/>
    <w:rsid w:val="000D589B"/>
    <w:rsid w:val="00126851"/>
    <w:rsid w:val="001407C3"/>
    <w:rsid w:val="001559F2"/>
    <w:rsid w:val="00156E8D"/>
    <w:rsid w:val="001A38D1"/>
    <w:rsid w:val="001E4C05"/>
    <w:rsid w:val="00214180"/>
    <w:rsid w:val="00214677"/>
    <w:rsid w:val="00243386"/>
    <w:rsid w:val="002619D3"/>
    <w:rsid w:val="00262769"/>
    <w:rsid w:val="0029767A"/>
    <w:rsid w:val="002A701A"/>
    <w:rsid w:val="002D572C"/>
    <w:rsid w:val="00327596"/>
    <w:rsid w:val="00331D6C"/>
    <w:rsid w:val="00353682"/>
    <w:rsid w:val="00364BFD"/>
    <w:rsid w:val="00376042"/>
    <w:rsid w:val="0039792B"/>
    <w:rsid w:val="00464925"/>
    <w:rsid w:val="004821E3"/>
    <w:rsid w:val="004C1FF8"/>
    <w:rsid w:val="004E204B"/>
    <w:rsid w:val="004E6911"/>
    <w:rsid w:val="004F7D0C"/>
    <w:rsid w:val="005136BA"/>
    <w:rsid w:val="005339BC"/>
    <w:rsid w:val="005F4916"/>
    <w:rsid w:val="00601CE6"/>
    <w:rsid w:val="0060690E"/>
    <w:rsid w:val="006115CC"/>
    <w:rsid w:val="00617245"/>
    <w:rsid w:val="0062442F"/>
    <w:rsid w:val="006404E7"/>
    <w:rsid w:val="006600D4"/>
    <w:rsid w:val="00660396"/>
    <w:rsid w:val="006B7C6C"/>
    <w:rsid w:val="006F6138"/>
    <w:rsid w:val="007068BA"/>
    <w:rsid w:val="007810C1"/>
    <w:rsid w:val="0078316E"/>
    <w:rsid w:val="00792414"/>
    <w:rsid w:val="007F21AD"/>
    <w:rsid w:val="007F4377"/>
    <w:rsid w:val="0083321F"/>
    <w:rsid w:val="00846683"/>
    <w:rsid w:val="0085102B"/>
    <w:rsid w:val="00863831"/>
    <w:rsid w:val="008D1455"/>
    <w:rsid w:val="00902D59"/>
    <w:rsid w:val="009035AC"/>
    <w:rsid w:val="009113C8"/>
    <w:rsid w:val="00962B58"/>
    <w:rsid w:val="00993662"/>
    <w:rsid w:val="0099440F"/>
    <w:rsid w:val="009C40DE"/>
    <w:rsid w:val="009C5661"/>
    <w:rsid w:val="00A3319C"/>
    <w:rsid w:val="00A5023E"/>
    <w:rsid w:val="00A95652"/>
    <w:rsid w:val="00AA02A0"/>
    <w:rsid w:val="00AD69FA"/>
    <w:rsid w:val="00AE1915"/>
    <w:rsid w:val="00AF429F"/>
    <w:rsid w:val="00AF62C3"/>
    <w:rsid w:val="00B123EA"/>
    <w:rsid w:val="00B22EAC"/>
    <w:rsid w:val="00B45862"/>
    <w:rsid w:val="00B52374"/>
    <w:rsid w:val="00B6357E"/>
    <w:rsid w:val="00B66C22"/>
    <w:rsid w:val="00BD12A6"/>
    <w:rsid w:val="00BD3D11"/>
    <w:rsid w:val="00BE4AD4"/>
    <w:rsid w:val="00BE7061"/>
    <w:rsid w:val="00C2005F"/>
    <w:rsid w:val="00C2272E"/>
    <w:rsid w:val="00C45E85"/>
    <w:rsid w:val="00C50B68"/>
    <w:rsid w:val="00C5158F"/>
    <w:rsid w:val="00C61F4B"/>
    <w:rsid w:val="00C65116"/>
    <w:rsid w:val="00C7049F"/>
    <w:rsid w:val="00CC4339"/>
    <w:rsid w:val="00CF17BB"/>
    <w:rsid w:val="00D260A6"/>
    <w:rsid w:val="00D971A7"/>
    <w:rsid w:val="00DA4F18"/>
    <w:rsid w:val="00DB36D9"/>
    <w:rsid w:val="00DB4C42"/>
    <w:rsid w:val="00DF488B"/>
    <w:rsid w:val="00E16E70"/>
    <w:rsid w:val="00E2618D"/>
    <w:rsid w:val="00EE180A"/>
    <w:rsid w:val="00EE7569"/>
    <w:rsid w:val="00F03EB0"/>
    <w:rsid w:val="00F659CF"/>
    <w:rsid w:val="00F72B88"/>
    <w:rsid w:val="00F73717"/>
    <w:rsid w:val="00FB583F"/>
    <w:rsid w:val="00FC1E50"/>
    <w:rsid w:val="00FD588E"/>
    <w:rsid w:val="00FF30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2E4FC"/>
  <w15:chartTrackingRefBased/>
  <w15:docId w15:val="{C2FA2E7D-038D-45AA-955A-3E7698A83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488B"/>
    <w:rPr>
      <w:sz w:val="16"/>
      <w:szCs w:val="16"/>
    </w:rPr>
  </w:style>
  <w:style w:type="paragraph" w:styleId="CommentText">
    <w:name w:val="annotation text"/>
    <w:basedOn w:val="Normal"/>
    <w:link w:val="CommentTextChar"/>
    <w:uiPriority w:val="99"/>
    <w:unhideWhenUsed/>
    <w:rsid w:val="00DF488B"/>
    <w:pPr>
      <w:spacing w:line="240" w:lineRule="auto"/>
    </w:pPr>
    <w:rPr>
      <w:sz w:val="20"/>
      <w:szCs w:val="20"/>
    </w:rPr>
  </w:style>
  <w:style w:type="character" w:customStyle="1" w:styleId="CommentTextChar">
    <w:name w:val="Comment Text Char"/>
    <w:basedOn w:val="DefaultParagraphFont"/>
    <w:link w:val="CommentText"/>
    <w:uiPriority w:val="99"/>
    <w:rsid w:val="00DF488B"/>
    <w:rPr>
      <w:sz w:val="20"/>
      <w:szCs w:val="20"/>
    </w:rPr>
  </w:style>
  <w:style w:type="table" w:styleId="TableGrid">
    <w:name w:val="Table Grid"/>
    <w:basedOn w:val="TableNormal"/>
    <w:uiPriority w:val="59"/>
    <w:rsid w:val="00DF488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5339BC"/>
    <w:rPr>
      <w:b/>
      <w:bCs/>
    </w:rPr>
  </w:style>
  <w:style w:type="character" w:customStyle="1" w:styleId="CommentSubjectChar">
    <w:name w:val="Comment Subject Char"/>
    <w:basedOn w:val="CommentTextChar"/>
    <w:link w:val="CommentSubject"/>
    <w:uiPriority w:val="99"/>
    <w:semiHidden/>
    <w:rsid w:val="005339BC"/>
    <w:rPr>
      <w:b/>
      <w:bCs/>
      <w:sz w:val="20"/>
      <w:szCs w:val="20"/>
    </w:rPr>
  </w:style>
  <w:style w:type="paragraph" w:styleId="BalloonText">
    <w:name w:val="Balloon Text"/>
    <w:basedOn w:val="Normal"/>
    <w:link w:val="BalloonTextChar"/>
    <w:uiPriority w:val="99"/>
    <w:semiHidden/>
    <w:unhideWhenUsed/>
    <w:rsid w:val="006603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50514">
      <w:bodyDiv w:val="1"/>
      <w:marLeft w:val="0"/>
      <w:marRight w:val="0"/>
      <w:marTop w:val="0"/>
      <w:marBottom w:val="0"/>
      <w:divBdr>
        <w:top w:val="none" w:sz="0" w:space="0" w:color="auto"/>
        <w:left w:val="none" w:sz="0" w:space="0" w:color="auto"/>
        <w:bottom w:val="none" w:sz="0" w:space="0" w:color="auto"/>
        <w:right w:val="none" w:sz="0" w:space="0" w:color="auto"/>
      </w:divBdr>
    </w:div>
    <w:div w:id="156880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D6A96C962AF042A05211A2E13838B4" ma:contentTypeVersion="14" ma:contentTypeDescription="Create a new document." ma:contentTypeScope="" ma:versionID="6b5c94562a359696aa6322cad4561d9b">
  <xsd:schema xmlns:xsd="http://www.w3.org/2001/XMLSchema" xmlns:xs="http://www.w3.org/2001/XMLSchema" xmlns:p="http://schemas.microsoft.com/office/2006/metadata/properties" xmlns:ns3="f972fc1b-2843-43ad-9fd6-3c49f303e829" xmlns:ns4="7f2d4146-e8cd-425b-a959-5bb8c804bd3a" targetNamespace="http://schemas.microsoft.com/office/2006/metadata/properties" ma:root="true" ma:fieldsID="f96b3f993f903ea1ae56b5141436d7b9" ns3:_="" ns4:_="">
    <xsd:import namespace="f972fc1b-2843-43ad-9fd6-3c49f303e829"/>
    <xsd:import namespace="7f2d4146-e8cd-425b-a959-5bb8c804bd3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2fc1b-2843-43ad-9fd6-3c49f303e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2d4146-e8cd-425b-a959-5bb8c804bd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E3993-CA9F-4BA4-B160-3FE8A1DD94B8}">
  <ds:schemaRefs>
    <ds:schemaRef ds:uri="http://schemas.microsoft.com/sharepoint/v3/contenttype/forms"/>
  </ds:schemaRefs>
</ds:datastoreItem>
</file>

<file path=customXml/itemProps2.xml><?xml version="1.0" encoding="utf-8"?>
<ds:datastoreItem xmlns:ds="http://schemas.openxmlformats.org/officeDocument/2006/customXml" ds:itemID="{D417D2BC-A6BD-4091-AF0C-00372AC90A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7B3999-3398-409D-A84E-61AFCC530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2fc1b-2843-43ad-9fd6-3c49f303e829"/>
    <ds:schemaRef ds:uri="7f2d4146-e8cd-425b-a959-5bb8c804b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Chondros</dc:creator>
  <cp:keywords/>
  <dc:description/>
  <cp:lastModifiedBy>Ann-Maree Duncan</cp:lastModifiedBy>
  <cp:revision>15</cp:revision>
  <dcterms:created xsi:type="dcterms:W3CDTF">2022-07-02T11:13:00Z</dcterms:created>
  <dcterms:modified xsi:type="dcterms:W3CDTF">2022-07-04T23:53:00Z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0x010100A3D6A96C962AF042A05211A2E13838B4</vt:lpwstr>
  </property>
</Properties>
</file>